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C834B5B" w14:textId="77777777">
        <w:trPr>
          <w:cantSplit/>
        </w:trPr>
        <w:tc>
          <w:tcPr>
            <w:tcW w:w="6911" w:type="dxa"/>
          </w:tcPr>
          <w:p w14:paraId="16854C9E"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2D9118F" w14:textId="77777777" w:rsidR="00A066F1" w:rsidRDefault="005F04D8" w:rsidP="003B2284">
            <w:pPr>
              <w:spacing w:before="0" w:line="240" w:lineRule="atLeast"/>
              <w:jc w:val="right"/>
            </w:pPr>
            <w:bookmarkStart w:id="0" w:name="ditulogo"/>
            <w:bookmarkEnd w:id="0"/>
            <w:r>
              <w:rPr>
                <w:noProof/>
                <w:lang w:val="en-US" w:eastAsia="zh-CN"/>
              </w:rPr>
              <w:drawing>
                <wp:inline distT="0" distB="0" distL="0" distR="0" wp14:anchorId="699CD9E7" wp14:editId="41604FA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2A1136B" w14:textId="77777777">
        <w:trPr>
          <w:cantSplit/>
        </w:trPr>
        <w:tc>
          <w:tcPr>
            <w:tcW w:w="6911" w:type="dxa"/>
            <w:tcBorders>
              <w:bottom w:val="single" w:sz="12" w:space="0" w:color="auto"/>
            </w:tcBorders>
          </w:tcPr>
          <w:p w14:paraId="43EEA292"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4DFA3F1" w14:textId="77777777" w:rsidR="00A066F1" w:rsidRPr="00617BE4" w:rsidRDefault="00A066F1" w:rsidP="00A066F1">
            <w:pPr>
              <w:spacing w:before="0" w:line="240" w:lineRule="atLeast"/>
              <w:rPr>
                <w:rFonts w:ascii="Verdana" w:hAnsi="Verdana"/>
                <w:szCs w:val="24"/>
              </w:rPr>
            </w:pPr>
          </w:p>
        </w:tc>
      </w:tr>
      <w:tr w:rsidR="00A066F1" w:rsidRPr="00C324A8" w14:paraId="18AC9190" w14:textId="77777777">
        <w:trPr>
          <w:cantSplit/>
        </w:trPr>
        <w:tc>
          <w:tcPr>
            <w:tcW w:w="6911" w:type="dxa"/>
            <w:tcBorders>
              <w:top w:val="single" w:sz="12" w:space="0" w:color="auto"/>
            </w:tcBorders>
          </w:tcPr>
          <w:p w14:paraId="7872B28E"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338E4C0" w14:textId="77777777" w:rsidR="00A066F1" w:rsidRPr="00C324A8" w:rsidRDefault="00A066F1" w:rsidP="00A066F1">
            <w:pPr>
              <w:spacing w:before="0" w:line="240" w:lineRule="atLeast"/>
              <w:rPr>
                <w:rFonts w:ascii="Verdana" w:hAnsi="Verdana"/>
                <w:sz w:val="20"/>
              </w:rPr>
            </w:pPr>
          </w:p>
        </w:tc>
      </w:tr>
      <w:tr w:rsidR="00A066F1" w:rsidRPr="00C324A8" w14:paraId="0C8BC6A9" w14:textId="77777777">
        <w:trPr>
          <w:cantSplit/>
          <w:trHeight w:val="23"/>
        </w:trPr>
        <w:tc>
          <w:tcPr>
            <w:tcW w:w="6911" w:type="dxa"/>
            <w:shd w:val="clear" w:color="auto" w:fill="auto"/>
          </w:tcPr>
          <w:p w14:paraId="2F5905CC"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05403DB4" w14:textId="46BBBA81" w:rsidR="00A066F1" w:rsidRPr="00841216" w:rsidRDefault="00E55816" w:rsidP="00F009C9">
            <w:pPr>
              <w:tabs>
                <w:tab w:val="left" w:pos="851"/>
              </w:tabs>
              <w:spacing w:before="0" w:line="240" w:lineRule="atLeast"/>
              <w:rPr>
                <w:rFonts w:ascii="Verdana" w:hAnsi="Verdana"/>
                <w:sz w:val="20"/>
              </w:rPr>
            </w:pPr>
            <w:r>
              <w:rPr>
                <w:rFonts w:ascii="Verdana" w:hAnsi="Verdana"/>
                <w:b/>
                <w:sz w:val="20"/>
              </w:rPr>
              <w:t xml:space="preserve">Document </w:t>
            </w:r>
            <w:r w:rsidR="005C27DB">
              <w:rPr>
                <w:rFonts w:ascii="Verdana" w:hAnsi="Verdana"/>
                <w:b/>
                <w:sz w:val="20"/>
              </w:rPr>
              <w:t>275</w:t>
            </w:r>
            <w:r w:rsidR="00A066F1" w:rsidRPr="00841216">
              <w:rPr>
                <w:rFonts w:ascii="Verdana" w:hAnsi="Verdana"/>
                <w:b/>
                <w:sz w:val="20"/>
              </w:rPr>
              <w:t>-</w:t>
            </w:r>
            <w:r w:rsidR="005E10C9" w:rsidRPr="00841216">
              <w:rPr>
                <w:rFonts w:ascii="Verdana" w:hAnsi="Verdana"/>
                <w:b/>
                <w:sz w:val="20"/>
              </w:rPr>
              <w:t>E</w:t>
            </w:r>
          </w:p>
        </w:tc>
      </w:tr>
      <w:tr w:rsidR="00A066F1" w:rsidRPr="00C324A8" w14:paraId="64743FC6" w14:textId="77777777">
        <w:trPr>
          <w:cantSplit/>
          <w:trHeight w:val="23"/>
        </w:trPr>
        <w:tc>
          <w:tcPr>
            <w:tcW w:w="6911" w:type="dxa"/>
            <w:shd w:val="clear" w:color="auto" w:fill="auto"/>
          </w:tcPr>
          <w:p w14:paraId="6950F192"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150665F" w14:textId="7847707B" w:rsidR="00A066F1" w:rsidRPr="00841216" w:rsidRDefault="005C27DB" w:rsidP="00A066F1">
            <w:pPr>
              <w:tabs>
                <w:tab w:val="left" w:pos="993"/>
              </w:tabs>
              <w:spacing w:before="0"/>
              <w:rPr>
                <w:rFonts w:ascii="Verdana" w:hAnsi="Verdana"/>
                <w:sz w:val="20"/>
              </w:rPr>
            </w:pPr>
            <w:r>
              <w:rPr>
                <w:rFonts w:ascii="Verdana" w:hAnsi="Verdana"/>
                <w:b/>
                <w:sz w:val="20"/>
              </w:rPr>
              <w:t>1</w:t>
            </w:r>
            <w:r w:rsidR="001536B3">
              <w:rPr>
                <w:rFonts w:ascii="Verdana" w:hAnsi="Verdana"/>
                <w:b/>
                <w:sz w:val="20"/>
              </w:rPr>
              <w:t>7</w:t>
            </w:r>
            <w:r>
              <w:rPr>
                <w:rFonts w:ascii="Verdana" w:hAnsi="Verdana"/>
                <w:b/>
                <w:sz w:val="20"/>
              </w:rPr>
              <w:t xml:space="preserve"> November </w:t>
            </w:r>
            <w:r w:rsidR="00420873" w:rsidRPr="00841216">
              <w:rPr>
                <w:rFonts w:ascii="Verdana" w:hAnsi="Verdana"/>
                <w:b/>
                <w:sz w:val="20"/>
              </w:rPr>
              <w:t>2019</w:t>
            </w:r>
          </w:p>
        </w:tc>
      </w:tr>
      <w:tr w:rsidR="00A066F1" w:rsidRPr="00C324A8" w14:paraId="6E20EB91" w14:textId="77777777">
        <w:trPr>
          <w:cantSplit/>
          <w:trHeight w:val="23"/>
        </w:trPr>
        <w:tc>
          <w:tcPr>
            <w:tcW w:w="6911" w:type="dxa"/>
            <w:shd w:val="clear" w:color="auto" w:fill="auto"/>
          </w:tcPr>
          <w:p w14:paraId="5ABF7308"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7DACED84"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8F91BE6" w14:textId="77777777" w:rsidTr="00025864">
        <w:trPr>
          <w:cantSplit/>
          <w:trHeight w:val="23"/>
        </w:trPr>
        <w:tc>
          <w:tcPr>
            <w:tcW w:w="10031" w:type="dxa"/>
            <w:gridSpan w:val="2"/>
            <w:shd w:val="clear" w:color="auto" w:fill="auto"/>
          </w:tcPr>
          <w:p w14:paraId="7FFA1B60" w14:textId="77777777" w:rsidR="00A066F1" w:rsidRPr="00C324A8" w:rsidRDefault="00A066F1" w:rsidP="00A066F1">
            <w:pPr>
              <w:tabs>
                <w:tab w:val="left" w:pos="993"/>
              </w:tabs>
              <w:spacing w:before="0"/>
              <w:rPr>
                <w:rFonts w:ascii="Verdana" w:hAnsi="Verdana"/>
                <w:b/>
                <w:sz w:val="20"/>
              </w:rPr>
            </w:pPr>
          </w:p>
        </w:tc>
      </w:tr>
    </w:tbl>
    <w:tbl>
      <w:tblPr>
        <w:tblW w:w="5221" w:type="pct"/>
        <w:tblLook w:val="0000" w:firstRow="0" w:lastRow="0" w:firstColumn="0" w:lastColumn="0" w:noHBand="0" w:noVBand="0"/>
      </w:tblPr>
      <w:tblGrid>
        <w:gridCol w:w="10065"/>
      </w:tblGrid>
      <w:tr w:rsidR="003613C1" w:rsidRPr="009271F2" w14:paraId="6CBF8801" w14:textId="77777777" w:rsidTr="003613C1">
        <w:trPr>
          <w:cantSplit/>
        </w:trPr>
        <w:tc>
          <w:tcPr>
            <w:tcW w:w="5000" w:type="pct"/>
          </w:tcPr>
          <w:p w14:paraId="47B0214B" w14:textId="77777777" w:rsidR="003613C1" w:rsidRPr="009271F2" w:rsidRDefault="003613C1" w:rsidP="00EA4502">
            <w:pPr>
              <w:pStyle w:val="Title1"/>
              <w:spacing w:before="720"/>
              <w:rPr>
                <w:rFonts w:asciiTheme="majorBidi" w:hAnsiTheme="majorBidi" w:cstheme="majorBidi"/>
                <w:sz w:val="24"/>
                <w:szCs w:val="24"/>
              </w:rPr>
            </w:pPr>
            <w:bookmarkStart w:id="8" w:name="dtitle1" w:colFirst="0" w:colLast="0"/>
            <w:bookmarkEnd w:id="6"/>
            <w:bookmarkEnd w:id="7"/>
            <w:r w:rsidRPr="009271F2">
              <w:rPr>
                <w:rFonts w:asciiTheme="majorBidi" w:hAnsiTheme="majorBidi" w:cstheme="majorBidi"/>
                <w:sz w:val="24"/>
                <w:szCs w:val="24"/>
              </w:rPr>
              <w:t>MINUTES</w:t>
            </w:r>
          </w:p>
          <w:p w14:paraId="4AFA12D0" w14:textId="77777777" w:rsidR="003613C1" w:rsidRPr="009271F2" w:rsidRDefault="003613C1" w:rsidP="00EA4502">
            <w:pPr>
              <w:pStyle w:val="Title1"/>
              <w:rPr>
                <w:rFonts w:asciiTheme="majorBidi" w:hAnsiTheme="majorBidi" w:cstheme="majorBidi"/>
                <w:sz w:val="24"/>
                <w:szCs w:val="24"/>
              </w:rPr>
            </w:pPr>
            <w:r w:rsidRPr="009271F2">
              <w:rPr>
                <w:rFonts w:asciiTheme="majorBidi" w:hAnsiTheme="majorBidi" w:cstheme="majorBidi"/>
                <w:sz w:val="24"/>
                <w:szCs w:val="24"/>
              </w:rPr>
              <w:t>OF THE</w:t>
            </w:r>
          </w:p>
          <w:p w14:paraId="76B083DC" w14:textId="7A576B18" w:rsidR="003613C1" w:rsidRPr="009271F2" w:rsidRDefault="003613C1" w:rsidP="00EA4502">
            <w:pPr>
              <w:pStyle w:val="Title1"/>
              <w:rPr>
                <w:rFonts w:asciiTheme="majorBidi" w:hAnsiTheme="majorBidi" w:cstheme="majorBidi"/>
                <w:sz w:val="24"/>
                <w:szCs w:val="24"/>
              </w:rPr>
            </w:pPr>
            <w:r w:rsidRPr="009271F2">
              <w:rPr>
                <w:rFonts w:asciiTheme="majorBidi" w:hAnsiTheme="majorBidi" w:cstheme="majorBidi"/>
                <w:sz w:val="24"/>
                <w:szCs w:val="24"/>
              </w:rPr>
              <w:t>F</w:t>
            </w:r>
            <w:r w:rsidR="009F0CD2">
              <w:rPr>
                <w:rFonts w:asciiTheme="majorBidi" w:hAnsiTheme="majorBidi" w:cstheme="majorBidi"/>
                <w:sz w:val="24"/>
                <w:szCs w:val="24"/>
              </w:rPr>
              <w:t>IFTH</w:t>
            </w:r>
            <w:r w:rsidRPr="009271F2">
              <w:rPr>
                <w:rFonts w:asciiTheme="majorBidi" w:hAnsiTheme="majorBidi" w:cstheme="majorBidi"/>
                <w:sz w:val="24"/>
                <w:szCs w:val="24"/>
              </w:rPr>
              <w:t xml:space="preserve"> plenary meeting</w:t>
            </w:r>
          </w:p>
        </w:tc>
      </w:tr>
      <w:bookmarkEnd w:id="8"/>
      <w:tr w:rsidR="003613C1" w:rsidRPr="009271F2" w14:paraId="21A54177" w14:textId="77777777" w:rsidTr="003613C1">
        <w:trPr>
          <w:cantSplit/>
        </w:trPr>
        <w:tc>
          <w:tcPr>
            <w:tcW w:w="5000" w:type="pct"/>
          </w:tcPr>
          <w:p w14:paraId="0AD17C96" w14:textId="3869A150" w:rsidR="003613C1" w:rsidRPr="009271F2" w:rsidRDefault="009F0CD2" w:rsidP="00EA4502">
            <w:pPr>
              <w:pStyle w:val="Normalaftertitle"/>
              <w:jc w:val="center"/>
              <w:rPr>
                <w:rFonts w:asciiTheme="majorBidi" w:hAnsiTheme="majorBidi" w:cstheme="majorBidi"/>
                <w:szCs w:val="24"/>
              </w:rPr>
            </w:pPr>
            <w:r>
              <w:rPr>
                <w:rFonts w:asciiTheme="majorBidi" w:hAnsiTheme="majorBidi" w:cstheme="majorBidi"/>
                <w:szCs w:val="24"/>
              </w:rPr>
              <w:t>Friday</w:t>
            </w:r>
            <w:r w:rsidR="003613C1" w:rsidRPr="009271F2">
              <w:rPr>
                <w:rFonts w:asciiTheme="majorBidi" w:hAnsiTheme="majorBidi" w:cstheme="majorBidi"/>
                <w:szCs w:val="24"/>
              </w:rPr>
              <w:t xml:space="preserve">, </w:t>
            </w:r>
            <w:r>
              <w:rPr>
                <w:rFonts w:asciiTheme="majorBidi" w:hAnsiTheme="majorBidi" w:cstheme="majorBidi"/>
                <w:szCs w:val="24"/>
              </w:rPr>
              <w:t>8</w:t>
            </w:r>
            <w:r w:rsidR="003613C1" w:rsidRPr="009271F2">
              <w:rPr>
                <w:rFonts w:asciiTheme="majorBidi" w:hAnsiTheme="majorBidi" w:cstheme="majorBidi"/>
                <w:szCs w:val="24"/>
              </w:rPr>
              <w:t xml:space="preserve"> </w:t>
            </w:r>
            <w:r w:rsidR="00121AFC">
              <w:rPr>
                <w:rFonts w:asciiTheme="majorBidi" w:hAnsiTheme="majorBidi" w:cstheme="majorBidi"/>
                <w:szCs w:val="24"/>
              </w:rPr>
              <w:t xml:space="preserve">November </w:t>
            </w:r>
            <w:r w:rsidR="009401BB">
              <w:rPr>
                <w:rFonts w:asciiTheme="majorBidi" w:hAnsiTheme="majorBidi" w:cstheme="majorBidi"/>
                <w:szCs w:val="24"/>
              </w:rPr>
              <w:t>2019</w:t>
            </w:r>
            <w:r w:rsidR="003613C1" w:rsidRPr="009271F2">
              <w:rPr>
                <w:rFonts w:asciiTheme="majorBidi" w:hAnsiTheme="majorBidi" w:cstheme="majorBidi"/>
                <w:szCs w:val="24"/>
              </w:rPr>
              <w:t xml:space="preserve">, at </w:t>
            </w:r>
            <w:r>
              <w:rPr>
                <w:rFonts w:asciiTheme="majorBidi" w:hAnsiTheme="majorBidi" w:cstheme="majorBidi"/>
                <w:szCs w:val="24"/>
              </w:rPr>
              <w:t>1</w:t>
            </w:r>
            <w:r w:rsidR="00BA7B66">
              <w:rPr>
                <w:rFonts w:asciiTheme="majorBidi" w:hAnsiTheme="majorBidi" w:cstheme="majorBidi"/>
                <w:szCs w:val="24"/>
              </w:rPr>
              <w:t>6</w:t>
            </w:r>
            <w:r>
              <w:rPr>
                <w:rFonts w:asciiTheme="majorBidi" w:hAnsiTheme="majorBidi" w:cstheme="majorBidi"/>
                <w:szCs w:val="24"/>
              </w:rPr>
              <w:t>15</w:t>
            </w:r>
            <w:r w:rsidR="009401BB">
              <w:rPr>
                <w:rFonts w:asciiTheme="majorBidi" w:hAnsiTheme="majorBidi" w:cstheme="majorBidi"/>
                <w:szCs w:val="24"/>
              </w:rPr>
              <w:t xml:space="preserve"> </w:t>
            </w:r>
            <w:r w:rsidR="003613C1" w:rsidRPr="009271F2">
              <w:rPr>
                <w:rFonts w:asciiTheme="majorBidi" w:hAnsiTheme="majorBidi" w:cstheme="majorBidi"/>
                <w:szCs w:val="24"/>
              </w:rPr>
              <w:t>hours</w:t>
            </w:r>
          </w:p>
        </w:tc>
      </w:tr>
      <w:tr w:rsidR="003613C1" w:rsidRPr="009271F2" w14:paraId="67E485A8" w14:textId="77777777" w:rsidTr="003613C1">
        <w:trPr>
          <w:cantSplit/>
        </w:trPr>
        <w:tc>
          <w:tcPr>
            <w:tcW w:w="5000" w:type="pct"/>
          </w:tcPr>
          <w:p w14:paraId="5BCD23D5" w14:textId="5ED9DE3C" w:rsidR="003613C1" w:rsidRPr="009271F2" w:rsidRDefault="003613C1" w:rsidP="00EA4502">
            <w:pPr>
              <w:jc w:val="center"/>
              <w:rPr>
                <w:rFonts w:asciiTheme="majorBidi" w:hAnsiTheme="majorBidi" w:cstheme="majorBidi"/>
                <w:szCs w:val="24"/>
              </w:rPr>
            </w:pPr>
            <w:r w:rsidRPr="009271F2">
              <w:rPr>
                <w:rFonts w:asciiTheme="majorBidi" w:hAnsiTheme="majorBidi" w:cstheme="majorBidi"/>
                <w:b/>
                <w:bCs/>
                <w:szCs w:val="24"/>
              </w:rPr>
              <w:t>Chairman:</w:t>
            </w:r>
            <w:r w:rsidR="009401BB">
              <w:rPr>
                <w:rFonts w:asciiTheme="majorBidi" w:hAnsiTheme="majorBidi" w:cstheme="majorBidi"/>
                <w:szCs w:val="24"/>
              </w:rPr>
              <w:t xml:space="preserve"> </w:t>
            </w:r>
            <w:r w:rsidR="00121AFC">
              <w:rPr>
                <w:rFonts w:asciiTheme="majorBidi" w:hAnsiTheme="majorBidi" w:cstheme="majorBidi"/>
                <w:szCs w:val="24"/>
              </w:rPr>
              <w:t>Mr A. BADAWI</w:t>
            </w:r>
            <w:r w:rsidR="009401BB">
              <w:rPr>
                <w:rFonts w:asciiTheme="majorBidi" w:hAnsiTheme="majorBidi" w:cstheme="majorBidi"/>
                <w:szCs w:val="24"/>
              </w:rPr>
              <w:t xml:space="preserve"> </w:t>
            </w:r>
            <w:r w:rsidRPr="009271F2">
              <w:rPr>
                <w:rFonts w:asciiTheme="majorBidi" w:hAnsiTheme="majorBidi" w:cstheme="majorBidi"/>
                <w:szCs w:val="24"/>
              </w:rPr>
              <w:t>(</w:t>
            </w:r>
            <w:r w:rsidR="009401BB">
              <w:rPr>
                <w:rFonts w:asciiTheme="majorBidi" w:hAnsiTheme="majorBidi" w:cstheme="majorBidi"/>
                <w:szCs w:val="24"/>
              </w:rPr>
              <w:t>Egypt</w:t>
            </w:r>
            <w:r w:rsidRPr="009271F2">
              <w:rPr>
                <w:rFonts w:asciiTheme="majorBidi" w:hAnsiTheme="majorBidi" w:cstheme="majorBidi"/>
                <w:szCs w:val="24"/>
              </w:rPr>
              <w:t>)</w:t>
            </w:r>
          </w:p>
        </w:tc>
      </w:tr>
    </w:tbl>
    <w:p w14:paraId="44E871B8" w14:textId="77777777" w:rsidR="003613C1" w:rsidRPr="009271F2" w:rsidRDefault="003613C1" w:rsidP="003613C1">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3613C1" w:rsidRPr="005C27DB" w14:paraId="1F810310" w14:textId="77777777" w:rsidTr="00FF03A7">
        <w:tc>
          <w:tcPr>
            <w:tcW w:w="534" w:type="dxa"/>
          </w:tcPr>
          <w:p w14:paraId="245F8B11" w14:textId="77777777" w:rsidR="003613C1" w:rsidRPr="005C27DB" w:rsidRDefault="003613C1" w:rsidP="005C27DB">
            <w:pPr>
              <w:pStyle w:val="Tablehead"/>
              <w:rPr>
                <w:sz w:val="24"/>
                <w:szCs w:val="24"/>
              </w:rPr>
            </w:pPr>
          </w:p>
        </w:tc>
        <w:tc>
          <w:tcPr>
            <w:tcW w:w="7159" w:type="dxa"/>
          </w:tcPr>
          <w:p w14:paraId="0066E23F" w14:textId="77777777" w:rsidR="003613C1" w:rsidRPr="005C27DB" w:rsidRDefault="003613C1" w:rsidP="005C27DB">
            <w:pPr>
              <w:pStyle w:val="Tablehead"/>
              <w:rPr>
                <w:sz w:val="24"/>
                <w:szCs w:val="24"/>
              </w:rPr>
            </w:pPr>
            <w:r w:rsidRPr="005C27DB">
              <w:rPr>
                <w:sz w:val="24"/>
                <w:szCs w:val="24"/>
              </w:rPr>
              <w:t>Subjects discussed</w:t>
            </w:r>
          </w:p>
        </w:tc>
        <w:tc>
          <w:tcPr>
            <w:tcW w:w="2338" w:type="dxa"/>
          </w:tcPr>
          <w:p w14:paraId="060240EA" w14:textId="77777777" w:rsidR="003613C1" w:rsidRPr="005C27DB" w:rsidRDefault="003613C1" w:rsidP="005C27DB">
            <w:pPr>
              <w:pStyle w:val="Tablehead"/>
              <w:rPr>
                <w:sz w:val="24"/>
                <w:szCs w:val="24"/>
              </w:rPr>
            </w:pPr>
            <w:r w:rsidRPr="005C27DB">
              <w:rPr>
                <w:sz w:val="24"/>
                <w:szCs w:val="24"/>
              </w:rPr>
              <w:t>Documents</w:t>
            </w:r>
          </w:p>
        </w:tc>
      </w:tr>
      <w:tr w:rsidR="005C27DB" w:rsidRPr="009271F2" w14:paraId="74528653" w14:textId="77777777" w:rsidTr="00FF03A7">
        <w:tc>
          <w:tcPr>
            <w:tcW w:w="534" w:type="dxa"/>
          </w:tcPr>
          <w:p w14:paraId="236B30CC" w14:textId="77777777" w:rsidR="005C27DB" w:rsidRPr="0019037C" w:rsidRDefault="005C27DB" w:rsidP="005C27DB">
            <w:pPr>
              <w:pStyle w:val="Tabletext"/>
            </w:pPr>
          </w:p>
        </w:tc>
        <w:tc>
          <w:tcPr>
            <w:tcW w:w="7159" w:type="dxa"/>
          </w:tcPr>
          <w:p w14:paraId="623BC432" w14:textId="77777777" w:rsidR="005C27DB" w:rsidRDefault="005C27DB" w:rsidP="005C27DB">
            <w:pPr>
              <w:pStyle w:val="Tabletext"/>
            </w:pPr>
          </w:p>
        </w:tc>
        <w:tc>
          <w:tcPr>
            <w:tcW w:w="2338" w:type="dxa"/>
          </w:tcPr>
          <w:p w14:paraId="29E293F2" w14:textId="77777777" w:rsidR="005C27DB" w:rsidRPr="0019037C" w:rsidRDefault="005C27DB" w:rsidP="005C27DB">
            <w:pPr>
              <w:pStyle w:val="Tabletext"/>
              <w:jc w:val="center"/>
            </w:pPr>
          </w:p>
        </w:tc>
      </w:tr>
      <w:tr w:rsidR="009F0CD2" w:rsidRPr="005C27DB" w14:paraId="08F50338" w14:textId="77777777" w:rsidTr="00FF03A7">
        <w:tc>
          <w:tcPr>
            <w:tcW w:w="534" w:type="dxa"/>
          </w:tcPr>
          <w:p w14:paraId="3A19BDFF" w14:textId="35D5BCF8" w:rsidR="009F0CD2" w:rsidRPr="005C27DB" w:rsidRDefault="0019037C" w:rsidP="005C27DB">
            <w:pPr>
              <w:pStyle w:val="Tabletext"/>
              <w:rPr>
                <w:sz w:val="24"/>
                <w:szCs w:val="24"/>
              </w:rPr>
            </w:pPr>
            <w:r w:rsidRPr="005C27DB">
              <w:rPr>
                <w:sz w:val="24"/>
                <w:szCs w:val="24"/>
              </w:rPr>
              <w:t>1</w:t>
            </w:r>
          </w:p>
        </w:tc>
        <w:tc>
          <w:tcPr>
            <w:tcW w:w="7159" w:type="dxa"/>
          </w:tcPr>
          <w:p w14:paraId="089AA699" w14:textId="07C82C0A" w:rsidR="009F0CD2" w:rsidRPr="005C27DB" w:rsidRDefault="009F0CD2" w:rsidP="005C27DB">
            <w:pPr>
              <w:pStyle w:val="Tabletext"/>
              <w:rPr>
                <w:sz w:val="24"/>
                <w:szCs w:val="24"/>
              </w:rPr>
            </w:pPr>
            <w:r w:rsidRPr="005C27DB">
              <w:rPr>
                <w:sz w:val="24"/>
                <w:szCs w:val="24"/>
              </w:rPr>
              <w:t>Opening remarks by the Chairman</w:t>
            </w:r>
          </w:p>
        </w:tc>
        <w:tc>
          <w:tcPr>
            <w:tcW w:w="2338" w:type="dxa"/>
          </w:tcPr>
          <w:p w14:paraId="2FF5EF95" w14:textId="40C848A4" w:rsidR="009F0CD2" w:rsidRPr="005C27DB" w:rsidRDefault="009F51FB" w:rsidP="005C27DB">
            <w:pPr>
              <w:pStyle w:val="Tabletext"/>
              <w:jc w:val="center"/>
              <w:rPr>
                <w:sz w:val="24"/>
                <w:szCs w:val="24"/>
              </w:rPr>
            </w:pPr>
            <w:r w:rsidRPr="005C27DB">
              <w:rPr>
                <w:sz w:val="24"/>
                <w:szCs w:val="24"/>
              </w:rPr>
              <w:t>9</w:t>
            </w:r>
          </w:p>
        </w:tc>
      </w:tr>
      <w:tr w:rsidR="009401BB" w:rsidRPr="005C27DB" w14:paraId="6AC05128" w14:textId="77777777" w:rsidTr="00FF03A7">
        <w:tc>
          <w:tcPr>
            <w:tcW w:w="534" w:type="dxa"/>
          </w:tcPr>
          <w:p w14:paraId="335F4B8D" w14:textId="63BF33D5" w:rsidR="009401BB" w:rsidRPr="005C27DB" w:rsidRDefault="0019037C" w:rsidP="005C27DB">
            <w:pPr>
              <w:pStyle w:val="Tabletext"/>
              <w:rPr>
                <w:sz w:val="24"/>
                <w:szCs w:val="24"/>
              </w:rPr>
            </w:pPr>
            <w:r w:rsidRPr="005C27DB">
              <w:rPr>
                <w:sz w:val="24"/>
                <w:szCs w:val="24"/>
              </w:rPr>
              <w:t>2</w:t>
            </w:r>
          </w:p>
        </w:tc>
        <w:tc>
          <w:tcPr>
            <w:tcW w:w="7159" w:type="dxa"/>
          </w:tcPr>
          <w:p w14:paraId="69E21F7F" w14:textId="18AFE6BC" w:rsidR="009401BB" w:rsidRPr="005C27DB" w:rsidRDefault="00121AFC" w:rsidP="005C27DB">
            <w:pPr>
              <w:pStyle w:val="Tabletext"/>
              <w:rPr>
                <w:sz w:val="24"/>
                <w:szCs w:val="24"/>
              </w:rPr>
            </w:pPr>
            <w:r w:rsidRPr="005C27DB">
              <w:rPr>
                <w:sz w:val="24"/>
                <w:szCs w:val="24"/>
              </w:rPr>
              <w:t xml:space="preserve">Oral reports by the </w:t>
            </w:r>
            <w:r w:rsidR="003E49B4" w:rsidRPr="005C27DB">
              <w:rPr>
                <w:sz w:val="24"/>
                <w:szCs w:val="24"/>
              </w:rPr>
              <w:t>c</w:t>
            </w:r>
            <w:r w:rsidRPr="005C27DB">
              <w:rPr>
                <w:sz w:val="24"/>
                <w:szCs w:val="24"/>
              </w:rPr>
              <w:t xml:space="preserve">ommittee </w:t>
            </w:r>
            <w:r w:rsidR="009F0CD2" w:rsidRPr="005C27DB">
              <w:rPr>
                <w:sz w:val="24"/>
                <w:szCs w:val="24"/>
              </w:rPr>
              <w:t>c</w:t>
            </w:r>
            <w:r w:rsidRPr="005C27DB">
              <w:rPr>
                <w:sz w:val="24"/>
                <w:szCs w:val="24"/>
              </w:rPr>
              <w:t>hairmen</w:t>
            </w:r>
          </w:p>
        </w:tc>
        <w:tc>
          <w:tcPr>
            <w:tcW w:w="2338" w:type="dxa"/>
          </w:tcPr>
          <w:p w14:paraId="22DF4755" w14:textId="66D19DB1" w:rsidR="009401BB" w:rsidRPr="005C27DB" w:rsidRDefault="00121AFC" w:rsidP="005C27DB">
            <w:pPr>
              <w:pStyle w:val="Tabletext"/>
              <w:jc w:val="center"/>
              <w:rPr>
                <w:sz w:val="24"/>
                <w:szCs w:val="24"/>
              </w:rPr>
            </w:pPr>
            <w:r w:rsidRPr="005C27DB">
              <w:rPr>
                <w:sz w:val="24"/>
                <w:szCs w:val="24"/>
              </w:rPr>
              <w:t>-</w:t>
            </w:r>
          </w:p>
        </w:tc>
      </w:tr>
      <w:tr w:rsidR="009401BB" w:rsidRPr="005C27DB" w14:paraId="22E1EF32" w14:textId="77777777" w:rsidTr="00FF03A7">
        <w:tc>
          <w:tcPr>
            <w:tcW w:w="534" w:type="dxa"/>
          </w:tcPr>
          <w:p w14:paraId="1C04A9E6" w14:textId="393465FE" w:rsidR="009401BB" w:rsidRPr="005C27DB" w:rsidRDefault="0019037C" w:rsidP="005C27DB">
            <w:pPr>
              <w:pStyle w:val="Tabletext"/>
              <w:rPr>
                <w:sz w:val="24"/>
                <w:szCs w:val="24"/>
              </w:rPr>
            </w:pPr>
            <w:r w:rsidRPr="005C27DB">
              <w:rPr>
                <w:sz w:val="24"/>
                <w:szCs w:val="24"/>
              </w:rPr>
              <w:t>3</w:t>
            </w:r>
          </w:p>
        </w:tc>
        <w:tc>
          <w:tcPr>
            <w:tcW w:w="7159" w:type="dxa"/>
          </w:tcPr>
          <w:p w14:paraId="79F69AF7" w14:textId="5DCAD6A6" w:rsidR="009401BB" w:rsidRPr="005C27DB" w:rsidRDefault="00121AFC" w:rsidP="005C27DB">
            <w:pPr>
              <w:pStyle w:val="Tabletext"/>
              <w:rPr>
                <w:sz w:val="24"/>
                <w:szCs w:val="24"/>
              </w:rPr>
            </w:pPr>
            <w:r w:rsidRPr="005C27DB">
              <w:rPr>
                <w:sz w:val="24"/>
                <w:szCs w:val="24"/>
              </w:rPr>
              <w:t>Fi</w:t>
            </w:r>
            <w:r w:rsidR="009F0CD2" w:rsidRPr="005C27DB">
              <w:rPr>
                <w:sz w:val="24"/>
                <w:szCs w:val="24"/>
              </w:rPr>
              <w:t>fth</w:t>
            </w:r>
            <w:r w:rsidRPr="005C27DB">
              <w:rPr>
                <w:sz w:val="24"/>
                <w:szCs w:val="24"/>
              </w:rPr>
              <w:t xml:space="preserve"> series of texts submitted by the Editorial Committee </w:t>
            </w:r>
            <w:r w:rsidR="008F217D" w:rsidRPr="005C27DB">
              <w:rPr>
                <w:sz w:val="24"/>
                <w:szCs w:val="24"/>
              </w:rPr>
              <w:t xml:space="preserve">for first reading </w:t>
            </w:r>
            <w:r w:rsidRPr="005C27DB">
              <w:rPr>
                <w:sz w:val="24"/>
                <w:szCs w:val="24"/>
              </w:rPr>
              <w:t>(B</w:t>
            </w:r>
            <w:r w:rsidR="009F0CD2" w:rsidRPr="005C27DB">
              <w:rPr>
                <w:sz w:val="24"/>
                <w:szCs w:val="24"/>
              </w:rPr>
              <w:t>5</w:t>
            </w:r>
            <w:r w:rsidRPr="005C27DB">
              <w:rPr>
                <w:sz w:val="24"/>
                <w:szCs w:val="24"/>
              </w:rPr>
              <w:t>)</w:t>
            </w:r>
          </w:p>
        </w:tc>
        <w:tc>
          <w:tcPr>
            <w:tcW w:w="2338" w:type="dxa"/>
          </w:tcPr>
          <w:p w14:paraId="04A401B3" w14:textId="4C96B10F" w:rsidR="009401BB" w:rsidRPr="005C27DB" w:rsidRDefault="009F0CD2" w:rsidP="005C27DB">
            <w:pPr>
              <w:pStyle w:val="Tabletext"/>
              <w:jc w:val="center"/>
              <w:rPr>
                <w:sz w:val="24"/>
                <w:szCs w:val="24"/>
              </w:rPr>
            </w:pPr>
            <w:r w:rsidRPr="005C27DB">
              <w:rPr>
                <w:sz w:val="24"/>
                <w:szCs w:val="24"/>
              </w:rPr>
              <w:t>221</w:t>
            </w:r>
          </w:p>
        </w:tc>
      </w:tr>
      <w:tr w:rsidR="00B10D85" w:rsidRPr="005C27DB" w14:paraId="08D22CFE" w14:textId="77777777" w:rsidTr="00FF03A7">
        <w:tc>
          <w:tcPr>
            <w:tcW w:w="534" w:type="dxa"/>
          </w:tcPr>
          <w:p w14:paraId="14FFEA0A" w14:textId="2A39A587" w:rsidR="00B10D85" w:rsidRPr="005C27DB" w:rsidRDefault="0019037C" w:rsidP="005C27DB">
            <w:pPr>
              <w:pStyle w:val="Tabletext"/>
              <w:rPr>
                <w:sz w:val="24"/>
                <w:szCs w:val="24"/>
              </w:rPr>
            </w:pPr>
            <w:r w:rsidRPr="005C27DB">
              <w:rPr>
                <w:sz w:val="24"/>
                <w:szCs w:val="24"/>
              </w:rPr>
              <w:t>4</w:t>
            </w:r>
          </w:p>
        </w:tc>
        <w:tc>
          <w:tcPr>
            <w:tcW w:w="7159" w:type="dxa"/>
          </w:tcPr>
          <w:p w14:paraId="38C23F4D" w14:textId="3BCD9BC7" w:rsidR="00B10D85" w:rsidRPr="005C27DB" w:rsidRDefault="00B10D85" w:rsidP="005C27DB">
            <w:pPr>
              <w:pStyle w:val="Tabletext"/>
              <w:rPr>
                <w:sz w:val="24"/>
                <w:szCs w:val="24"/>
              </w:rPr>
            </w:pPr>
            <w:r w:rsidRPr="005C27DB">
              <w:rPr>
                <w:sz w:val="24"/>
                <w:szCs w:val="24"/>
              </w:rPr>
              <w:t>Fi</w:t>
            </w:r>
            <w:r w:rsidR="009F0CD2" w:rsidRPr="005C27DB">
              <w:rPr>
                <w:sz w:val="24"/>
                <w:szCs w:val="24"/>
              </w:rPr>
              <w:t>fth</w:t>
            </w:r>
            <w:r w:rsidRPr="005C27DB">
              <w:rPr>
                <w:sz w:val="24"/>
                <w:szCs w:val="24"/>
              </w:rPr>
              <w:t xml:space="preserve"> series of texts submitted by the Editorial Committee</w:t>
            </w:r>
            <w:r w:rsidR="008F217D" w:rsidRPr="005C27DB">
              <w:rPr>
                <w:sz w:val="24"/>
                <w:szCs w:val="24"/>
              </w:rPr>
              <w:t xml:space="preserve"> (B</w:t>
            </w:r>
            <w:r w:rsidR="009F0CD2" w:rsidRPr="005C27DB">
              <w:rPr>
                <w:sz w:val="24"/>
                <w:szCs w:val="24"/>
              </w:rPr>
              <w:t>5</w:t>
            </w:r>
            <w:r w:rsidR="008F217D" w:rsidRPr="005C27DB">
              <w:rPr>
                <w:sz w:val="24"/>
                <w:szCs w:val="24"/>
              </w:rPr>
              <w:t>) – second reading</w:t>
            </w:r>
          </w:p>
        </w:tc>
        <w:tc>
          <w:tcPr>
            <w:tcW w:w="2338" w:type="dxa"/>
          </w:tcPr>
          <w:p w14:paraId="0F033342" w14:textId="0E368AC0" w:rsidR="00B10D85" w:rsidRPr="005C27DB" w:rsidRDefault="009F0CD2" w:rsidP="005C27DB">
            <w:pPr>
              <w:pStyle w:val="Tabletext"/>
              <w:jc w:val="center"/>
              <w:rPr>
                <w:sz w:val="24"/>
                <w:szCs w:val="24"/>
              </w:rPr>
            </w:pPr>
            <w:r w:rsidRPr="005C27DB">
              <w:rPr>
                <w:sz w:val="24"/>
                <w:szCs w:val="24"/>
              </w:rPr>
              <w:t>221</w:t>
            </w:r>
          </w:p>
        </w:tc>
      </w:tr>
      <w:tr w:rsidR="00121AFC" w:rsidRPr="005C27DB" w14:paraId="4FEB2F94" w14:textId="77777777" w:rsidTr="00FF03A7">
        <w:tc>
          <w:tcPr>
            <w:tcW w:w="534" w:type="dxa"/>
          </w:tcPr>
          <w:p w14:paraId="50A2095C" w14:textId="0090073C" w:rsidR="00121AFC" w:rsidRPr="005C27DB" w:rsidRDefault="0019037C" w:rsidP="005C27DB">
            <w:pPr>
              <w:pStyle w:val="Tabletext"/>
              <w:rPr>
                <w:sz w:val="24"/>
                <w:szCs w:val="24"/>
              </w:rPr>
            </w:pPr>
            <w:r w:rsidRPr="005C27DB">
              <w:rPr>
                <w:sz w:val="24"/>
                <w:szCs w:val="24"/>
              </w:rPr>
              <w:t>5</w:t>
            </w:r>
          </w:p>
        </w:tc>
        <w:tc>
          <w:tcPr>
            <w:tcW w:w="7159" w:type="dxa"/>
          </w:tcPr>
          <w:p w14:paraId="734DF11A" w14:textId="69D6D764" w:rsidR="00121AFC" w:rsidRPr="005C27DB" w:rsidRDefault="00121AFC" w:rsidP="005C27DB">
            <w:pPr>
              <w:pStyle w:val="Tabletext"/>
              <w:rPr>
                <w:sz w:val="24"/>
                <w:szCs w:val="24"/>
              </w:rPr>
            </w:pPr>
            <w:r w:rsidRPr="005C27DB">
              <w:rPr>
                <w:sz w:val="24"/>
                <w:szCs w:val="24"/>
              </w:rPr>
              <w:t>S</w:t>
            </w:r>
            <w:r w:rsidR="009F0CD2" w:rsidRPr="005C27DB">
              <w:rPr>
                <w:sz w:val="24"/>
                <w:szCs w:val="24"/>
              </w:rPr>
              <w:t>ixth</w:t>
            </w:r>
            <w:r w:rsidRPr="005C27DB">
              <w:rPr>
                <w:sz w:val="24"/>
                <w:szCs w:val="24"/>
              </w:rPr>
              <w:t xml:space="preserve"> series of texts submitted by the Editorial Committee </w:t>
            </w:r>
            <w:r w:rsidR="008F217D" w:rsidRPr="005C27DB">
              <w:rPr>
                <w:sz w:val="24"/>
                <w:szCs w:val="24"/>
              </w:rPr>
              <w:t xml:space="preserve">for first reading </w:t>
            </w:r>
            <w:r w:rsidRPr="005C27DB">
              <w:rPr>
                <w:sz w:val="24"/>
                <w:szCs w:val="24"/>
              </w:rPr>
              <w:t>(B</w:t>
            </w:r>
            <w:r w:rsidR="009F0CD2" w:rsidRPr="005C27DB">
              <w:rPr>
                <w:sz w:val="24"/>
                <w:szCs w:val="24"/>
              </w:rPr>
              <w:t>6</w:t>
            </w:r>
            <w:r w:rsidRPr="005C27DB">
              <w:rPr>
                <w:sz w:val="24"/>
                <w:szCs w:val="24"/>
              </w:rPr>
              <w:t>)</w:t>
            </w:r>
          </w:p>
        </w:tc>
        <w:tc>
          <w:tcPr>
            <w:tcW w:w="2338" w:type="dxa"/>
          </w:tcPr>
          <w:p w14:paraId="102754C1" w14:textId="0538F1D0" w:rsidR="00121AFC" w:rsidRPr="005C27DB" w:rsidRDefault="009F0CD2" w:rsidP="005C27DB">
            <w:pPr>
              <w:pStyle w:val="Tabletext"/>
              <w:jc w:val="center"/>
              <w:rPr>
                <w:sz w:val="24"/>
                <w:szCs w:val="24"/>
              </w:rPr>
            </w:pPr>
            <w:r w:rsidRPr="005C27DB">
              <w:rPr>
                <w:sz w:val="24"/>
                <w:szCs w:val="24"/>
              </w:rPr>
              <w:t>222</w:t>
            </w:r>
          </w:p>
        </w:tc>
      </w:tr>
      <w:tr w:rsidR="008F217D" w:rsidRPr="005C27DB" w14:paraId="783366BD" w14:textId="77777777" w:rsidTr="00FF03A7">
        <w:tc>
          <w:tcPr>
            <w:tcW w:w="534" w:type="dxa"/>
          </w:tcPr>
          <w:p w14:paraId="35AE5C7C" w14:textId="30723E72" w:rsidR="008F217D" w:rsidRPr="005C27DB" w:rsidRDefault="0019037C" w:rsidP="005C27DB">
            <w:pPr>
              <w:pStyle w:val="Tabletext"/>
              <w:rPr>
                <w:sz w:val="24"/>
                <w:szCs w:val="24"/>
              </w:rPr>
            </w:pPr>
            <w:r w:rsidRPr="005C27DB">
              <w:rPr>
                <w:sz w:val="24"/>
                <w:szCs w:val="24"/>
              </w:rPr>
              <w:t>6</w:t>
            </w:r>
          </w:p>
        </w:tc>
        <w:tc>
          <w:tcPr>
            <w:tcW w:w="7159" w:type="dxa"/>
          </w:tcPr>
          <w:p w14:paraId="7D1EC082" w14:textId="53F88984" w:rsidR="008F217D" w:rsidRPr="005C27DB" w:rsidRDefault="008F217D" w:rsidP="005C27DB">
            <w:pPr>
              <w:pStyle w:val="Tabletext"/>
              <w:rPr>
                <w:sz w:val="24"/>
                <w:szCs w:val="24"/>
              </w:rPr>
            </w:pPr>
            <w:r w:rsidRPr="005C27DB">
              <w:rPr>
                <w:sz w:val="24"/>
                <w:szCs w:val="24"/>
              </w:rPr>
              <w:t>S</w:t>
            </w:r>
            <w:r w:rsidR="009F0CD2" w:rsidRPr="005C27DB">
              <w:rPr>
                <w:sz w:val="24"/>
                <w:szCs w:val="24"/>
              </w:rPr>
              <w:t>ixth</w:t>
            </w:r>
            <w:r w:rsidRPr="005C27DB">
              <w:rPr>
                <w:sz w:val="24"/>
                <w:szCs w:val="24"/>
              </w:rPr>
              <w:t xml:space="preserve"> series of texts submitted by the Editorial Committee (B</w:t>
            </w:r>
            <w:r w:rsidR="009F0CD2" w:rsidRPr="005C27DB">
              <w:rPr>
                <w:sz w:val="24"/>
                <w:szCs w:val="24"/>
              </w:rPr>
              <w:t>6</w:t>
            </w:r>
            <w:r w:rsidRPr="005C27DB">
              <w:rPr>
                <w:sz w:val="24"/>
                <w:szCs w:val="24"/>
              </w:rPr>
              <w:t>) – second reading</w:t>
            </w:r>
          </w:p>
        </w:tc>
        <w:tc>
          <w:tcPr>
            <w:tcW w:w="2338" w:type="dxa"/>
          </w:tcPr>
          <w:p w14:paraId="1FCC35A9" w14:textId="053DB2EF" w:rsidR="008F217D" w:rsidRPr="005C27DB" w:rsidRDefault="009F0CD2" w:rsidP="005C27DB">
            <w:pPr>
              <w:pStyle w:val="Tabletext"/>
              <w:jc w:val="center"/>
              <w:rPr>
                <w:sz w:val="24"/>
                <w:szCs w:val="24"/>
              </w:rPr>
            </w:pPr>
            <w:r w:rsidRPr="005C27DB">
              <w:rPr>
                <w:sz w:val="24"/>
                <w:szCs w:val="24"/>
              </w:rPr>
              <w:t>222</w:t>
            </w:r>
          </w:p>
        </w:tc>
      </w:tr>
      <w:tr w:rsidR="008F217D" w:rsidRPr="005C27DB" w14:paraId="0584B905" w14:textId="77777777" w:rsidTr="00FF03A7">
        <w:tc>
          <w:tcPr>
            <w:tcW w:w="534" w:type="dxa"/>
          </w:tcPr>
          <w:p w14:paraId="0C8D14D7" w14:textId="29D2775B" w:rsidR="008F217D" w:rsidRPr="005C27DB" w:rsidRDefault="0019037C" w:rsidP="005C27DB">
            <w:pPr>
              <w:pStyle w:val="Tabletext"/>
              <w:rPr>
                <w:sz w:val="24"/>
                <w:szCs w:val="24"/>
              </w:rPr>
            </w:pPr>
            <w:r w:rsidRPr="005C27DB">
              <w:rPr>
                <w:sz w:val="24"/>
                <w:szCs w:val="24"/>
              </w:rPr>
              <w:t>7</w:t>
            </w:r>
          </w:p>
        </w:tc>
        <w:tc>
          <w:tcPr>
            <w:tcW w:w="7159" w:type="dxa"/>
          </w:tcPr>
          <w:p w14:paraId="1B6527F1" w14:textId="2CA2DDA5" w:rsidR="008F217D" w:rsidRPr="005C27DB" w:rsidRDefault="009F0CD2" w:rsidP="005C27DB">
            <w:pPr>
              <w:pStyle w:val="Tabletext"/>
              <w:rPr>
                <w:sz w:val="24"/>
                <w:szCs w:val="24"/>
              </w:rPr>
            </w:pPr>
            <w:r w:rsidRPr="005C27DB">
              <w:rPr>
                <w:sz w:val="24"/>
                <w:szCs w:val="24"/>
              </w:rPr>
              <w:t>Seventh</w:t>
            </w:r>
            <w:r w:rsidR="008F217D" w:rsidRPr="005C27DB">
              <w:rPr>
                <w:sz w:val="24"/>
                <w:szCs w:val="24"/>
              </w:rPr>
              <w:t xml:space="preserve"> series of texts submitted by the Editorial Committee </w:t>
            </w:r>
            <w:r w:rsidR="005964F4" w:rsidRPr="005C27DB">
              <w:rPr>
                <w:sz w:val="24"/>
                <w:szCs w:val="24"/>
              </w:rPr>
              <w:t xml:space="preserve">for first reading </w:t>
            </w:r>
            <w:r w:rsidR="008F217D" w:rsidRPr="005C27DB">
              <w:rPr>
                <w:sz w:val="24"/>
                <w:szCs w:val="24"/>
              </w:rPr>
              <w:t>(B</w:t>
            </w:r>
            <w:r w:rsidRPr="005C27DB">
              <w:rPr>
                <w:sz w:val="24"/>
                <w:szCs w:val="24"/>
              </w:rPr>
              <w:t>7</w:t>
            </w:r>
            <w:r w:rsidR="008F217D" w:rsidRPr="005C27DB">
              <w:rPr>
                <w:sz w:val="24"/>
                <w:szCs w:val="24"/>
              </w:rPr>
              <w:t>)</w:t>
            </w:r>
          </w:p>
        </w:tc>
        <w:tc>
          <w:tcPr>
            <w:tcW w:w="2338" w:type="dxa"/>
          </w:tcPr>
          <w:p w14:paraId="12BA05FF" w14:textId="68EC4604" w:rsidR="008F217D" w:rsidRPr="005C27DB" w:rsidRDefault="009F0CD2" w:rsidP="005C27DB">
            <w:pPr>
              <w:pStyle w:val="Tabletext"/>
              <w:jc w:val="center"/>
              <w:rPr>
                <w:sz w:val="24"/>
                <w:szCs w:val="24"/>
              </w:rPr>
            </w:pPr>
            <w:r w:rsidRPr="005C27DB">
              <w:rPr>
                <w:sz w:val="24"/>
                <w:szCs w:val="24"/>
              </w:rPr>
              <w:t>223</w:t>
            </w:r>
          </w:p>
        </w:tc>
      </w:tr>
      <w:tr w:rsidR="008F217D" w:rsidRPr="005C27DB" w14:paraId="0C9B3724" w14:textId="77777777" w:rsidTr="00FF03A7">
        <w:tc>
          <w:tcPr>
            <w:tcW w:w="534" w:type="dxa"/>
          </w:tcPr>
          <w:p w14:paraId="5C427C59" w14:textId="2199A441" w:rsidR="008F217D" w:rsidRPr="005C27DB" w:rsidRDefault="00B25CB0" w:rsidP="005C27DB">
            <w:pPr>
              <w:pStyle w:val="Tabletext"/>
              <w:rPr>
                <w:sz w:val="24"/>
                <w:szCs w:val="24"/>
              </w:rPr>
            </w:pPr>
            <w:r w:rsidRPr="005C27DB">
              <w:rPr>
                <w:sz w:val="24"/>
                <w:szCs w:val="24"/>
              </w:rPr>
              <w:t>8</w:t>
            </w:r>
          </w:p>
        </w:tc>
        <w:tc>
          <w:tcPr>
            <w:tcW w:w="7159" w:type="dxa"/>
          </w:tcPr>
          <w:p w14:paraId="7DA9399F" w14:textId="16F00A54" w:rsidR="008F217D" w:rsidRPr="005C27DB" w:rsidRDefault="009F0CD2" w:rsidP="005C27DB">
            <w:pPr>
              <w:pStyle w:val="Tabletext"/>
              <w:rPr>
                <w:sz w:val="24"/>
                <w:szCs w:val="24"/>
              </w:rPr>
            </w:pPr>
            <w:r w:rsidRPr="005C27DB">
              <w:rPr>
                <w:sz w:val="24"/>
                <w:szCs w:val="24"/>
              </w:rPr>
              <w:t>Proposals for the work of the conference</w:t>
            </w:r>
          </w:p>
        </w:tc>
        <w:tc>
          <w:tcPr>
            <w:tcW w:w="2338" w:type="dxa"/>
          </w:tcPr>
          <w:p w14:paraId="60147A0D" w14:textId="3DD7DE84" w:rsidR="008F217D" w:rsidRPr="005C27DB" w:rsidRDefault="008F217D" w:rsidP="005C27DB">
            <w:pPr>
              <w:pStyle w:val="Tabletext"/>
              <w:jc w:val="center"/>
              <w:rPr>
                <w:sz w:val="24"/>
                <w:szCs w:val="24"/>
              </w:rPr>
            </w:pPr>
            <w:r w:rsidRPr="005C27DB">
              <w:rPr>
                <w:sz w:val="24"/>
                <w:szCs w:val="24"/>
              </w:rPr>
              <w:t>1</w:t>
            </w:r>
            <w:r w:rsidR="009F0CD2" w:rsidRPr="005C27DB">
              <w:rPr>
                <w:sz w:val="24"/>
                <w:szCs w:val="24"/>
              </w:rPr>
              <w:t>84(Rev.1)</w:t>
            </w:r>
          </w:p>
        </w:tc>
      </w:tr>
      <w:tr w:rsidR="009F0CD2" w:rsidRPr="005C27DB" w14:paraId="7EB058EF" w14:textId="77777777" w:rsidTr="00FF03A7">
        <w:tc>
          <w:tcPr>
            <w:tcW w:w="534" w:type="dxa"/>
          </w:tcPr>
          <w:p w14:paraId="7DB90EBB" w14:textId="74AFDE22" w:rsidR="009F0CD2" w:rsidRPr="005C27DB" w:rsidRDefault="00B25CB0" w:rsidP="005C27DB">
            <w:pPr>
              <w:pStyle w:val="Tabletext"/>
              <w:rPr>
                <w:sz w:val="24"/>
                <w:szCs w:val="24"/>
              </w:rPr>
            </w:pPr>
            <w:r w:rsidRPr="005C27DB">
              <w:rPr>
                <w:sz w:val="24"/>
                <w:szCs w:val="24"/>
              </w:rPr>
              <w:t>9</w:t>
            </w:r>
          </w:p>
        </w:tc>
        <w:tc>
          <w:tcPr>
            <w:tcW w:w="7159" w:type="dxa"/>
          </w:tcPr>
          <w:p w14:paraId="3F770FFF" w14:textId="04F6E8AD" w:rsidR="009F0CD2" w:rsidRPr="005C27DB" w:rsidRDefault="00B25CB0" w:rsidP="005C27DB">
            <w:pPr>
              <w:pStyle w:val="Tabletext"/>
              <w:rPr>
                <w:sz w:val="24"/>
                <w:szCs w:val="24"/>
              </w:rPr>
            </w:pPr>
            <w:r w:rsidRPr="005C27DB">
              <w:rPr>
                <w:sz w:val="24"/>
                <w:szCs w:val="24"/>
              </w:rPr>
              <w:t>Statement</w:t>
            </w:r>
            <w:r w:rsidR="009F0CD2" w:rsidRPr="005C27DB">
              <w:rPr>
                <w:sz w:val="24"/>
                <w:szCs w:val="24"/>
              </w:rPr>
              <w:t xml:space="preserve"> by Mr Niklas Hedman, U</w:t>
            </w:r>
            <w:r w:rsidRPr="005C27DB">
              <w:rPr>
                <w:sz w:val="24"/>
                <w:szCs w:val="24"/>
              </w:rPr>
              <w:t>nited Nations</w:t>
            </w:r>
            <w:r w:rsidR="009F0CD2" w:rsidRPr="005C27DB">
              <w:rPr>
                <w:sz w:val="24"/>
                <w:szCs w:val="24"/>
              </w:rPr>
              <w:t xml:space="preserve"> Office </w:t>
            </w:r>
            <w:r w:rsidR="00041A11" w:rsidRPr="005C27DB">
              <w:rPr>
                <w:sz w:val="24"/>
                <w:szCs w:val="24"/>
              </w:rPr>
              <w:t>for</w:t>
            </w:r>
            <w:r w:rsidR="009F0CD2" w:rsidRPr="005C27DB">
              <w:rPr>
                <w:sz w:val="24"/>
                <w:szCs w:val="24"/>
              </w:rPr>
              <w:t xml:space="preserve"> Outer Space Affairs</w:t>
            </w:r>
            <w:r w:rsidRPr="005C27DB">
              <w:rPr>
                <w:sz w:val="24"/>
                <w:szCs w:val="24"/>
              </w:rPr>
              <w:t xml:space="preserve"> (UNOOSA)</w:t>
            </w:r>
          </w:p>
        </w:tc>
        <w:tc>
          <w:tcPr>
            <w:tcW w:w="2338" w:type="dxa"/>
          </w:tcPr>
          <w:p w14:paraId="55AD9169" w14:textId="0C4862C7" w:rsidR="009F0CD2" w:rsidRPr="005C27DB" w:rsidRDefault="009F0CD2" w:rsidP="005C27DB">
            <w:pPr>
              <w:pStyle w:val="Tabletext"/>
              <w:jc w:val="center"/>
              <w:rPr>
                <w:sz w:val="24"/>
                <w:szCs w:val="24"/>
              </w:rPr>
            </w:pPr>
            <w:r w:rsidRPr="005C27DB">
              <w:rPr>
                <w:sz w:val="24"/>
                <w:szCs w:val="24"/>
              </w:rPr>
              <w:t>-</w:t>
            </w:r>
          </w:p>
        </w:tc>
      </w:tr>
      <w:tr w:rsidR="008F217D" w:rsidRPr="005C27DB" w14:paraId="2C5ACD63" w14:textId="77777777" w:rsidTr="00FF03A7">
        <w:tc>
          <w:tcPr>
            <w:tcW w:w="534" w:type="dxa"/>
          </w:tcPr>
          <w:p w14:paraId="30D206B4" w14:textId="3F526856" w:rsidR="008F217D" w:rsidRPr="005C27DB" w:rsidRDefault="0019037C" w:rsidP="005C27DB">
            <w:pPr>
              <w:pStyle w:val="Tabletext"/>
              <w:rPr>
                <w:sz w:val="24"/>
                <w:szCs w:val="24"/>
              </w:rPr>
            </w:pPr>
            <w:r w:rsidRPr="005C27DB">
              <w:rPr>
                <w:sz w:val="24"/>
                <w:szCs w:val="24"/>
              </w:rPr>
              <w:t>1</w:t>
            </w:r>
            <w:r w:rsidR="00B25CB0" w:rsidRPr="005C27DB">
              <w:rPr>
                <w:sz w:val="24"/>
                <w:szCs w:val="24"/>
              </w:rPr>
              <w:t>0</w:t>
            </w:r>
          </w:p>
        </w:tc>
        <w:tc>
          <w:tcPr>
            <w:tcW w:w="7159" w:type="dxa"/>
          </w:tcPr>
          <w:p w14:paraId="0457FFBC" w14:textId="6CBB499E" w:rsidR="008F217D" w:rsidRPr="005C27DB" w:rsidRDefault="008F217D" w:rsidP="005C27DB">
            <w:pPr>
              <w:pStyle w:val="Tabletext"/>
              <w:rPr>
                <w:sz w:val="24"/>
                <w:szCs w:val="24"/>
              </w:rPr>
            </w:pPr>
            <w:r w:rsidRPr="005C27DB">
              <w:rPr>
                <w:sz w:val="24"/>
                <w:szCs w:val="24"/>
              </w:rPr>
              <w:t>Reminder of deadline for the deletion of country names from footnotes</w:t>
            </w:r>
          </w:p>
        </w:tc>
        <w:tc>
          <w:tcPr>
            <w:tcW w:w="2338" w:type="dxa"/>
          </w:tcPr>
          <w:p w14:paraId="3EFA88B1" w14:textId="0BC03714" w:rsidR="008F217D" w:rsidRPr="005C27DB" w:rsidRDefault="00C22E68" w:rsidP="005C27DB">
            <w:pPr>
              <w:pStyle w:val="Tabletext"/>
              <w:jc w:val="center"/>
              <w:rPr>
                <w:sz w:val="24"/>
                <w:szCs w:val="24"/>
              </w:rPr>
            </w:pPr>
            <w:r w:rsidRPr="005C27DB">
              <w:rPr>
                <w:sz w:val="24"/>
                <w:szCs w:val="24"/>
              </w:rPr>
              <w:t>131</w:t>
            </w:r>
          </w:p>
        </w:tc>
      </w:tr>
    </w:tbl>
    <w:p w14:paraId="1E1DE58F" w14:textId="77777777" w:rsidR="00FF03A7" w:rsidRPr="005C27DB" w:rsidRDefault="00FF03A7" w:rsidP="005C27DB">
      <w:pPr>
        <w:pStyle w:val="Tabletext"/>
        <w:rPr>
          <w:sz w:val="24"/>
          <w:szCs w:val="24"/>
          <w:lang w:val="en-CA"/>
        </w:rPr>
      </w:pPr>
    </w:p>
    <w:p w14:paraId="1AC1E7F6" w14:textId="77777777" w:rsidR="00FF03A7" w:rsidRDefault="00FF03A7">
      <w:pPr>
        <w:tabs>
          <w:tab w:val="clear" w:pos="1134"/>
          <w:tab w:val="clear" w:pos="1871"/>
          <w:tab w:val="clear" w:pos="2268"/>
        </w:tabs>
        <w:overflowPunct/>
        <w:autoSpaceDE/>
        <w:autoSpaceDN/>
        <w:adjustRightInd/>
        <w:spacing w:before="0"/>
        <w:textAlignment w:val="auto"/>
        <w:rPr>
          <w:b/>
          <w:bCs/>
          <w:sz w:val="28"/>
          <w:szCs w:val="28"/>
          <w:lang w:val="en-CA"/>
        </w:rPr>
      </w:pPr>
      <w:r>
        <w:rPr>
          <w:b/>
          <w:bCs/>
          <w:sz w:val="28"/>
          <w:szCs w:val="28"/>
          <w:lang w:val="en-CA"/>
        </w:rPr>
        <w:br w:type="page"/>
      </w:r>
    </w:p>
    <w:p w14:paraId="4092938A" w14:textId="25C832CF" w:rsidR="00FF03A7" w:rsidRPr="005A51F3" w:rsidRDefault="009C7731" w:rsidP="005C27DB">
      <w:pPr>
        <w:pStyle w:val="Heading1"/>
        <w:rPr>
          <w:lang w:val="en-CA"/>
        </w:rPr>
      </w:pPr>
      <w:r>
        <w:rPr>
          <w:lang w:val="en-CA"/>
        </w:rPr>
        <w:lastRenderedPageBreak/>
        <w:t>1</w:t>
      </w:r>
      <w:r>
        <w:rPr>
          <w:lang w:val="en-CA"/>
        </w:rPr>
        <w:tab/>
      </w:r>
      <w:r w:rsidR="00FF03A7" w:rsidRPr="005A51F3">
        <w:rPr>
          <w:lang w:val="en-CA"/>
        </w:rPr>
        <w:t>Opening remarks by the Chairman</w:t>
      </w:r>
      <w:r w:rsidR="00FF03A7">
        <w:rPr>
          <w:lang w:val="en-CA"/>
        </w:rPr>
        <w:t xml:space="preserve"> (Document 9)</w:t>
      </w:r>
    </w:p>
    <w:p w14:paraId="5232F87D" w14:textId="294CFE1A" w:rsidR="00FF03A7" w:rsidRPr="00A767A0" w:rsidRDefault="009C7731" w:rsidP="005C27DB">
      <w:pPr>
        <w:rPr>
          <w:lang w:val="en-CA"/>
        </w:rPr>
      </w:pPr>
      <w:r>
        <w:rPr>
          <w:lang w:val="en-CA"/>
        </w:rPr>
        <w:t>1.1</w:t>
      </w:r>
      <w:r>
        <w:rPr>
          <w:lang w:val="en-CA"/>
        </w:rPr>
        <w:tab/>
      </w:r>
      <w:r w:rsidR="00FF03A7" w:rsidRPr="00A767A0">
        <w:rPr>
          <w:lang w:val="en-CA"/>
        </w:rPr>
        <w:t xml:space="preserve">The </w:t>
      </w:r>
      <w:r w:rsidR="00FF03A7" w:rsidRPr="009C7731">
        <w:rPr>
          <w:b/>
          <w:bCs/>
          <w:lang w:val="en-CA"/>
        </w:rPr>
        <w:t>Chairman</w:t>
      </w:r>
      <w:r w:rsidR="00FF03A7" w:rsidRPr="00A767A0">
        <w:rPr>
          <w:lang w:val="en-CA"/>
        </w:rPr>
        <w:t xml:space="preserve"> recalled Document 9, which had been noted by the </w:t>
      </w:r>
      <w:r w:rsidR="00FF03A7">
        <w:rPr>
          <w:lang w:val="en-CA"/>
        </w:rPr>
        <w:t>first</w:t>
      </w:r>
      <w:r w:rsidR="00FF03A7" w:rsidRPr="00A767A0">
        <w:rPr>
          <w:lang w:val="en-CA"/>
        </w:rPr>
        <w:t xml:space="preserve"> plenary meeting </w:t>
      </w:r>
      <w:r w:rsidR="00B25CB0">
        <w:rPr>
          <w:lang w:val="en-CA"/>
        </w:rPr>
        <w:t>and further addressed by the second plenary meeting</w:t>
      </w:r>
      <w:r w:rsidR="00BA7B66">
        <w:rPr>
          <w:lang w:val="en-CA"/>
        </w:rPr>
        <w:t xml:space="preserve">, </w:t>
      </w:r>
      <w:r w:rsidR="00FF03A7" w:rsidRPr="00A767A0">
        <w:rPr>
          <w:lang w:val="en-CA"/>
        </w:rPr>
        <w:t xml:space="preserve">and which explained that the participation of observers in conferences, assemblies and meetings of the Union was addressed in Resolution 145 (Antalya, 2006) as far as the rights conferred upon each category of participant were concerned. All delegates, and particularly the chairmen of committees, working groups and all subgroups of the conference, must take the provisions concerned into account in the conduct of meetings. </w:t>
      </w:r>
    </w:p>
    <w:p w14:paraId="0873A7B5" w14:textId="3018C31D" w:rsidR="00FF03A7" w:rsidRPr="005A51F3" w:rsidRDefault="009C7731" w:rsidP="000F318E">
      <w:pPr>
        <w:pStyle w:val="Heading1"/>
        <w:rPr>
          <w:lang w:val="en-CA"/>
        </w:rPr>
      </w:pPr>
      <w:r>
        <w:rPr>
          <w:lang w:val="en-CA"/>
        </w:rPr>
        <w:t>2</w:t>
      </w:r>
      <w:r>
        <w:rPr>
          <w:lang w:val="en-CA"/>
        </w:rPr>
        <w:tab/>
      </w:r>
      <w:r w:rsidR="00FF03A7" w:rsidRPr="005A51F3">
        <w:rPr>
          <w:lang w:val="en-CA"/>
        </w:rPr>
        <w:t>Oral reports by the committee chairmen</w:t>
      </w:r>
    </w:p>
    <w:p w14:paraId="57F58B7E" w14:textId="0A2D72A1" w:rsidR="00FF03A7" w:rsidRPr="00A767A0" w:rsidRDefault="009C7731" w:rsidP="000F318E">
      <w:pPr>
        <w:rPr>
          <w:lang w:val="en-CA"/>
        </w:rPr>
      </w:pPr>
      <w:r>
        <w:rPr>
          <w:lang w:val="en-CA"/>
        </w:rPr>
        <w:t>2.1</w:t>
      </w:r>
      <w:r>
        <w:rPr>
          <w:lang w:val="en-CA"/>
        </w:rPr>
        <w:tab/>
      </w:r>
      <w:r w:rsidR="00FF03A7" w:rsidRPr="00A767A0">
        <w:rPr>
          <w:lang w:val="en-CA"/>
        </w:rPr>
        <w:t xml:space="preserve">The </w:t>
      </w:r>
      <w:r w:rsidR="00FF03A7" w:rsidRPr="009C7731">
        <w:rPr>
          <w:b/>
          <w:bCs/>
          <w:lang w:val="en-CA"/>
        </w:rPr>
        <w:t>Chairman of Committee 2</w:t>
      </w:r>
      <w:r w:rsidR="00FF03A7" w:rsidRPr="00A767A0">
        <w:rPr>
          <w:lang w:val="en-CA"/>
        </w:rPr>
        <w:t xml:space="preserve"> reported that his committee had not met since the previous plenary meeting but had received 38 new credentials and was expecting to receive more. Administrations not yet having submitted their credentials were urged to do so before 11</w:t>
      </w:r>
      <w:r w:rsidR="001536B3">
        <w:rPr>
          <w:lang w:val="en-CA"/>
        </w:rPr>
        <w:t> </w:t>
      </w:r>
      <w:r w:rsidR="00FF03A7" w:rsidRPr="00A767A0">
        <w:rPr>
          <w:lang w:val="en-CA"/>
        </w:rPr>
        <w:t>November</w:t>
      </w:r>
      <w:r w:rsidR="001536B3">
        <w:rPr>
          <w:lang w:val="en-CA"/>
        </w:rPr>
        <w:t> </w:t>
      </w:r>
      <w:r w:rsidR="00FF03A7">
        <w:rPr>
          <w:lang w:val="en-CA"/>
        </w:rPr>
        <w:t>2019</w:t>
      </w:r>
      <w:r w:rsidR="00FF03A7" w:rsidRPr="00A767A0">
        <w:rPr>
          <w:lang w:val="en-CA"/>
        </w:rPr>
        <w:t>, which was the day before the final meeting</w:t>
      </w:r>
      <w:r w:rsidR="00FF03A7">
        <w:rPr>
          <w:lang w:val="en-CA"/>
        </w:rPr>
        <w:t xml:space="preserve"> of Committee 2</w:t>
      </w:r>
      <w:r w:rsidR="00FF03A7" w:rsidRPr="00A767A0">
        <w:rPr>
          <w:lang w:val="en-CA"/>
        </w:rPr>
        <w:t>.</w:t>
      </w:r>
    </w:p>
    <w:p w14:paraId="01F53838" w14:textId="0955B727" w:rsidR="00FF03A7" w:rsidRPr="00A767A0" w:rsidRDefault="009C7731" w:rsidP="000F318E">
      <w:pPr>
        <w:rPr>
          <w:b/>
          <w:bCs/>
          <w:lang w:val="en-CA"/>
        </w:rPr>
      </w:pPr>
      <w:r>
        <w:rPr>
          <w:lang w:val="en-CA"/>
        </w:rPr>
        <w:t>2.2</w:t>
      </w:r>
      <w:r>
        <w:rPr>
          <w:lang w:val="en-CA"/>
        </w:rPr>
        <w:tab/>
      </w:r>
      <w:r w:rsidR="00FF03A7" w:rsidRPr="00A767A0">
        <w:rPr>
          <w:lang w:val="en-CA"/>
        </w:rPr>
        <w:t>The oral report by the Chairman of Committee 2 was</w:t>
      </w:r>
      <w:r w:rsidR="00FF03A7" w:rsidRPr="00A767A0">
        <w:rPr>
          <w:b/>
          <w:bCs/>
          <w:lang w:val="en-CA"/>
        </w:rPr>
        <w:t xml:space="preserve"> noted.</w:t>
      </w:r>
    </w:p>
    <w:p w14:paraId="377A6ED9" w14:textId="19540B55" w:rsidR="00FF03A7" w:rsidRPr="00A767A0" w:rsidRDefault="009C7731" w:rsidP="000F318E">
      <w:pPr>
        <w:rPr>
          <w:lang w:val="en-CA"/>
        </w:rPr>
      </w:pPr>
      <w:r>
        <w:rPr>
          <w:lang w:val="en-CA"/>
        </w:rPr>
        <w:t>2.3</w:t>
      </w:r>
      <w:r>
        <w:rPr>
          <w:lang w:val="en-CA"/>
        </w:rPr>
        <w:tab/>
      </w:r>
      <w:r w:rsidR="00FF03A7" w:rsidRPr="00A767A0">
        <w:rPr>
          <w:lang w:val="en-CA"/>
        </w:rPr>
        <w:t xml:space="preserve">The </w:t>
      </w:r>
      <w:r w:rsidR="00FF03A7" w:rsidRPr="009C7731">
        <w:rPr>
          <w:b/>
          <w:bCs/>
          <w:lang w:val="en-CA"/>
        </w:rPr>
        <w:t>Chairman of Committee 3</w:t>
      </w:r>
      <w:r w:rsidR="00FF03A7" w:rsidRPr="00A767A0">
        <w:rPr>
          <w:lang w:val="en-CA"/>
        </w:rPr>
        <w:t xml:space="preserve"> reported that his committee had not met since the previous plenary meeting and that, to date, it had not received any decisions or proposals that would have an impact on the budget. </w:t>
      </w:r>
    </w:p>
    <w:p w14:paraId="6EFB3EA4" w14:textId="4DA84AFA" w:rsidR="00FF03A7" w:rsidRPr="00A767A0" w:rsidRDefault="005F47B3" w:rsidP="000F318E">
      <w:pPr>
        <w:rPr>
          <w:b/>
          <w:bCs/>
          <w:lang w:val="en-CA"/>
        </w:rPr>
      </w:pPr>
      <w:r>
        <w:rPr>
          <w:lang w:val="en-CA"/>
        </w:rPr>
        <w:t>2.4</w:t>
      </w:r>
      <w:r>
        <w:rPr>
          <w:lang w:val="en-CA"/>
        </w:rPr>
        <w:tab/>
      </w:r>
      <w:r w:rsidR="00FF03A7" w:rsidRPr="00A767A0">
        <w:rPr>
          <w:lang w:val="en-CA"/>
        </w:rPr>
        <w:t>The oral report by the Chairman of Committee 3 was</w:t>
      </w:r>
      <w:r w:rsidR="00FF03A7" w:rsidRPr="00A767A0">
        <w:rPr>
          <w:b/>
          <w:bCs/>
          <w:lang w:val="en-CA"/>
        </w:rPr>
        <w:t xml:space="preserve"> noted.</w:t>
      </w:r>
    </w:p>
    <w:p w14:paraId="379F192F" w14:textId="432C1469" w:rsidR="00FF03A7" w:rsidRPr="00A26D07" w:rsidRDefault="005F47B3" w:rsidP="000F318E">
      <w:pPr>
        <w:rPr>
          <w:lang w:val="en-US"/>
        </w:rPr>
      </w:pPr>
      <w:r>
        <w:rPr>
          <w:lang w:val="en-CA"/>
        </w:rPr>
        <w:t>2.5</w:t>
      </w:r>
      <w:r>
        <w:rPr>
          <w:lang w:val="en-CA"/>
        </w:rPr>
        <w:tab/>
      </w:r>
      <w:r w:rsidR="00FF03A7" w:rsidRPr="00A26D07">
        <w:rPr>
          <w:lang w:val="en-CA"/>
        </w:rPr>
        <w:t>T</w:t>
      </w:r>
      <w:r w:rsidR="00FF03A7" w:rsidRPr="00A26D07">
        <w:rPr>
          <w:lang w:val="en-US"/>
        </w:rPr>
        <w:t xml:space="preserve">he </w:t>
      </w:r>
      <w:r w:rsidR="00FF03A7" w:rsidRPr="00A26D07">
        <w:rPr>
          <w:b/>
          <w:bCs/>
          <w:lang w:val="en-US"/>
        </w:rPr>
        <w:t xml:space="preserve">Chairman of Committee 4 </w:t>
      </w:r>
      <w:r w:rsidR="00FF03A7" w:rsidRPr="00A26D07">
        <w:rPr>
          <w:lang w:val="en-US"/>
        </w:rPr>
        <w:t xml:space="preserve">reported that his committee had met once since the previous plenary meeting and </w:t>
      </w:r>
      <w:r w:rsidR="00FF03A7">
        <w:rPr>
          <w:lang w:val="en-US"/>
        </w:rPr>
        <w:t xml:space="preserve">had approved </w:t>
      </w:r>
      <w:r w:rsidR="00FF03A7" w:rsidRPr="00A26D07">
        <w:rPr>
          <w:lang w:val="en-US"/>
        </w:rPr>
        <w:t>various documents</w:t>
      </w:r>
      <w:r w:rsidR="00FF03A7">
        <w:rPr>
          <w:lang w:val="en-US"/>
        </w:rPr>
        <w:t xml:space="preserve"> that it had sent directly </w:t>
      </w:r>
      <w:r w:rsidR="00FF03A7" w:rsidRPr="00A26D07">
        <w:rPr>
          <w:lang w:val="en-US"/>
        </w:rPr>
        <w:t xml:space="preserve">to the Editorial Committee. Its working and sub-working groups </w:t>
      </w:r>
      <w:r w:rsidR="00FF03A7">
        <w:rPr>
          <w:lang w:val="en-US"/>
        </w:rPr>
        <w:t>would</w:t>
      </w:r>
      <w:r w:rsidR="00FF03A7" w:rsidRPr="00A26D07">
        <w:rPr>
          <w:lang w:val="en-US"/>
        </w:rPr>
        <w:t xml:space="preserve"> continu</w:t>
      </w:r>
      <w:r w:rsidR="00FF03A7">
        <w:rPr>
          <w:lang w:val="en-US"/>
        </w:rPr>
        <w:t>e</w:t>
      </w:r>
      <w:r w:rsidR="00FF03A7" w:rsidRPr="00A26D07">
        <w:rPr>
          <w:lang w:val="en-US"/>
        </w:rPr>
        <w:t xml:space="preserve"> their deliberations and looked forward to </w:t>
      </w:r>
      <w:r w:rsidR="00FF03A7">
        <w:rPr>
          <w:lang w:val="en-US"/>
        </w:rPr>
        <w:t>achieving</w:t>
      </w:r>
      <w:r w:rsidR="00FF03A7" w:rsidRPr="00A26D07">
        <w:rPr>
          <w:lang w:val="en-US"/>
        </w:rPr>
        <w:t xml:space="preserve"> progress</w:t>
      </w:r>
      <w:r w:rsidR="00FF03A7">
        <w:rPr>
          <w:lang w:val="en-US"/>
        </w:rPr>
        <w:t xml:space="preserve"> in the work assigned to them.</w:t>
      </w:r>
    </w:p>
    <w:p w14:paraId="6D95E06F" w14:textId="6D4DD423" w:rsidR="00FF03A7" w:rsidRPr="00A26D07" w:rsidRDefault="005F47B3" w:rsidP="000F318E">
      <w:pPr>
        <w:rPr>
          <w:lang w:val="en-CA"/>
        </w:rPr>
      </w:pPr>
      <w:r>
        <w:rPr>
          <w:lang w:val="en-CA"/>
        </w:rPr>
        <w:t>2.6</w:t>
      </w:r>
      <w:r>
        <w:rPr>
          <w:lang w:val="en-CA"/>
        </w:rPr>
        <w:tab/>
      </w:r>
      <w:r w:rsidR="00FF03A7" w:rsidRPr="00A26D07">
        <w:rPr>
          <w:lang w:val="en-CA"/>
        </w:rPr>
        <w:t xml:space="preserve">The oral report by the Chairman of Committee 4 was </w:t>
      </w:r>
      <w:r w:rsidR="00FF03A7" w:rsidRPr="00A26D07">
        <w:rPr>
          <w:b/>
          <w:bCs/>
          <w:lang w:val="en-CA"/>
        </w:rPr>
        <w:t>noted</w:t>
      </w:r>
      <w:r w:rsidR="00FF03A7" w:rsidRPr="00A26D07">
        <w:rPr>
          <w:lang w:val="en-CA"/>
        </w:rPr>
        <w:t>.</w:t>
      </w:r>
    </w:p>
    <w:p w14:paraId="29D003A7" w14:textId="38EE85C9" w:rsidR="00FF03A7" w:rsidRPr="00A26D07" w:rsidRDefault="005F47B3" w:rsidP="000F318E">
      <w:pPr>
        <w:rPr>
          <w:lang w:val="en-CA"/>
        </w:rPr>
      </w:pPr>
      <w:r>
        <w:rPr>
          <w:lang w:val="en-CA"/>
        </w:rPr>
        <w:t>2.7</w:t>
      </w:r>
      <w:r>
        <w:rPr>
          <w:lang w:val="en-CA"/>
        </w:rPr>
        <w:tab/>
      </w:r>
      <w:r w:rsidR="00FF03A7" w:rsidRPr="00A26D07">
        <w:rPr>
          <w:lang w:val="en-CA"/>
        </w:rPr>
        <w:t>T</w:t>
      </w:r>
      <w:r w:rsidR="00FF03A7" w:rsidRPr="00A26D07">
        <w:rPr>
          <w:lang w:val="en-US"/>
        </w:rPr>
        <w:t xml:space="preserve">he </w:t>
      </w:r>
      <w:r w:rsidR="00FF03A7" w:rsidRPr="00A26D07">
        <w:rPr>
          <w:b/>
          <w:bCs/>
          <w:lang w:val="en-US"/>
        </w:rPr>
        <w:t xml:space="preserve">Chairman of Committee 5 </w:t>
      </w:r>
      <w:r w:rsidR="00FF03A7" w:rsidRPr="00A26D07">
        <w:rPr>
          <w:lang w:val="en-US"/>
        </w:rPr>
        <w:t>reported that the committee’s working and sub-working group</w:t>
      </w:r>
      <w:r w:rsidR="00FF03A7">
        <w:rPr>
          <w:lang w:val="en-US"/>
        </w:rPr>
        <w:t>s</w:t>
      </w:r>
      <w:r w:rsidR="00FF03A7" w:rsidRPr="00A26D07">
        <w:rPr>
          <w:lang w:val="en-US"/>
        </w:rPr>
        <w:t xml:space="preserve"> were proceeding with their difficult tasks and that their work with respect </w:t>
      </w:r>
      <w:r w:rsidR="00FF03A7">
        <w:rPr>
          <w:lang w:val="en-US"/>
        </w:rPr>
        <w:t xml:space="preserve">to </w:t>
      </w:r>
      <w:r w:rsidR="00FF03A7" w:rsidRPr="00A26D07">
        <w:rPr>
          <w:lang w:val="en-US"/>
        </w:rPr>
        <w:t>some agenda items was nearing completion, whereas other</w:t>
      </w:r>
      <w:r w:rsidR="00FF03A7">
        <w:rPr>
          <w:lang w:val="en-US"/>
        </w:rPr>
        <w:t>s</w:t>
      </w:r>
      <w:r w:rsidR="00FF03A7" w:rsidRPr="00A26D07">
        <w:rPr>
          <w:lang w:val="en-US"/>
        </w:rPr>
        <w:t xml:space="preserve"> required further discussion.</w:t>
      </w:r>
    </w:p>
    <w:p w14:paraId="2C28E4ED" w14:textId="6BEE535D" w:rsidR="00FF03A7" w:rsidRPr="00A26D07" w:rsidRDefault="00B25CB0" w:rsidP="000F318E">
      <w:pPr>
        <w:rPr>
          <w:lang w:val="en-CA"/>
        </w:rPr>
      </w:pPr>
      <w:r>
        <w:rPr>
          <w:lang w:val="en-CA"/>
        </w:rPr>
        <w:t>2.8</w:t>
      </w:r>
      <w:r>
        <w:rPr>
          <w:lang w:val="en-CA"/>
        </w:rPr>
        <w:tab/>
      </w:r>
      <w:r w:rsidR="00FF03A7" w:rsidRPr="00A26D07">
        <w:rPr>
          <w:lang w:val="en-CA"/>
        </w:rPr>
        <w:t xml:space="preserve">The oral report by the Chairman of Committee 5 was </w:t>
      </w:r>
      <w:r w:rsidR="00FF03A7" w:rsidRPr="00A26D07">
        <w:rPr>
          <w:b/>
          <w:bCs/>
          <w:lang w:val="en-CA"/>
        </w:rPr>
        <w:t>noted</w:t>
      </w:r>
      <w:r w:rsidR="00FF03A7" w:rsidRPr="00A26D07">
        <w:rPr>
          <w:lang w:val="en-CA"/>
        </w:rPr>
        <w:t>.</w:t>
      </w:r>
    </w:p>
    <w:p w14:paraId="37E327F9" w14:textId="09ED8530" w:rsidR="00FF03A7" w:rsidRPr="00A26D07" w:rsidRDefault="00B25CB0" w:rsidP="000F318E">
      <w:pPr>
        <w:rPr>
          <w:lang w:val="en-CA"/>
        </w:rPr>
      </w:pPr>
      <w:r>
        <w:rPr>
          <w:lang w:val="en-CA"/>
        </w:rPr>
        <w:t>2.9</w:t>
      </w:r>
      <w:r>
        <w:rPr>
          <w:lang w:val="en-CA"/>
        </w:rPr>
        <w:tab/>
      </w:r>
      <w:r w:rsidR="00FF03A7" w:rsidRPr="00A26D07">
        <w:rPr>
          <w:lang w:val="en-CA"/>
        </w:rPr>
        <w:t>T</w:t>
      </w:r>
      <w:r w:rsidR="00FF03A7" w:rsidRPr="00A26D07">
        <w:rPr>
          <w:lang w:val="en-US"/>
        </w:rPr>
        <w:t xml:space="preserve">he </w:t>
      </w:r>
      <w:r w:rsidR="00FF03A7" w:rsidRPr="00A26D07">
        <w:rPr>
          <w:b/>
          <w:bCs/>
          <w:lang w:val="en-US"/>
        </w:rPr>
        <w:t xml:space="preserve">Chairman of Committee 6 </w:t>
      </w:r>
      <w:r w:rsidR="00FF03A7" w:rsidRPr="00A26D07">
        <w:rPr>
          <w:lang w:val="en-US"/>
        </w:rPr>
        <w:t xml:space="preserve">reported that his committee had met once since the previous plenary meeting and had </w:t>
      </w:r>
      <w:r w:rsidR="00FF03A7">
        <w:rPr>
          <w:lang w:val="en-US"/>
        </w:rPr>
        <w:t>sent</w:t>
      </w:r>
      <w:r w:rsidR="00FF03A7" w:rsidRPr="00A26D07">
        <w:rPr>
          <w:lang w:val="en-US"/>
        </w:rPr>
        <w:t xml:space="preserve"> documents on some agenda items to the Editorial Committee. Formal and informal discussions on the remaining agenda items </w:t>
      </w:r>
      <w:r w:rsidR="00FF03A7">
        <w:rPr>
          <w:lang w:val="en-US"/>
        </w:rPr>
        <w:t xml:space="preserve">assigned to it </w:t>
      </w:r>
      <w:r w:rsidR="00FF03A7" w:rsidRPr="00A26D07">
        <w:rPr>
          <w:lang w:val="en-US"/>
        </w:rPr>
        <w:t>remained ongoing.</w:t>
      </w:r>
    </w:p>
    <w:p w14:paraId="20814710" w14:textId="4C1D7531" w:rsidR="00FF03A7" w:rsidRPr="00A26D07" w:rsidRDefault="00B25CB0" w:rsidP="000F318E">
      <w:pPr>
        <w:rPr>
          <w:lang w:val="en-CA"/>
        </w:rPr>
      </w:pPr>
      <w:r>
        <w:rPr>
          <w:lang w:val="en-CA"/>
        </w:rPr>
        <w:t>2.10</w:t>
      </w:r>
      <w:r>
        <w:rPr>
          <w:lang w:val="en-CA"/>
        </w:rPr>
        <w:tab/>
      </w:r>
      <w:r w:rsidR="00FF03A7" w:rsidRPr="00A26D07">
        <w:rPr>
          <w:lang w:val="en-CA"/>
        </w:rPr>
        <w:t xml:space="preserve">The oral report by the Chairman of Committee 6 was </w:t>
      </w:r>
      <w:r w:rsidR="00FF03A7" w:rsidRPr="00A26D07">
        <w:rPr>
          <w:b/>
          <w:bCs/>
          <w:lang w:val="en-CA"/>
        </w:rPr>
        <w:t>noted</w:t>
      </w:r>
      <w:r w:rsidR="00FF03A7" w:rsidRPr="00A26D07">
        <w:rPr>
          <w:lang w:val="en-CA"/>
        </w:rPr>
        <w:t>.</w:t>
      </w:r>
    </w:p>
    <w:p w14:paraId="1A8FEEDB" w14:textId="3B8BC023" w:rsidR="00FF03A7" w:rsidRPr="00A26D07" w:rsidRDefault="00B25CB0" w:rsidP="000F318E">
      <w:pPr>
        <w:rPr>
          <w:lang w:val="en-CA"/>
        </w:rPr>
      </w:pPr>
      <w:r>
        <w:rPr>
          <w:lang w:val="en-CA"/>
        </w:rPr>
        <w:t>2.11</w:t>
      </w:r>
      <w:r>
        <w:rPr>
          <w:lang w:val="en-CA"/>
        </w:rPr>
        <w:tab/>
      </w:r>
      <w:r w:rsidR="00FF03A7" w:rsidRPr="00A26D07">
        <w:rPr>
          <w:lang w:val="en-CA"/>
        </w:rPr>
        <w:t>T</w:t>
      </w:r>
      <w:r w:rsidR="00FF03A7" w:rsidRPr="00A26D07">
        <w:rPr>
          <w:lang w:val="en-US"/>
        </w:rPr>
        <w:t xml:space="preserve">he </w:t>
      </w:r>
      <w:r w:rsidR="00FF03A7" w:rsidRPr="00A26D07">
        <w:rPr>
          <w:b/>
          <w:bCs/>
          <w:lang w:val="en-US"/>
        </w:rPr>
        <w:t xml:space="preserve">Chairman of Committee 7 </w:t>
      </w:r>
      <w:r w:rsidR="00FF03A7" w:rsidRPr="00A26D07">
        <w:rPr>
          <w:lang w:val="en-US"/>
        </w:rPr>
        <w:t>reported that his committee had met the previous day</w:t>
      </w:r>
      <w:r w:rsidR="00FF03A7">
        <w:rPr>
          <w:lang w:val="en-US"/>
        </w:rPr>
        <w:t xml:space="preserve"> and </w:t>
      </w:r>
      <w:r w:rsidR="00FF03A7" w:rsidRPr="00A26D07">
        <w:rPr>
          <w:lang w:val="en-US"/>
        </w:rPr>
        <w:t xml:space="preserve">had finalized three series of texts for </w:t>
      </w:r>
      <w:r>
        <w:rPr>
          <w:lang w:val="en-US"/>
        </w:rPr>
        <w:t xml:space="preserve">consideration </w:t>
      </w:r>
      <w:r w:rsidR="00FF03A7" w:rsidRPr="00A26D07">
        <w:rPr>
          <w:lang w:val="en-US"/>
        </w:rPr>
        <w:t>by the Plenary</w:t>
      </w:r>
      <w:r w:rsidR="00FF03A7">
        <w:rPr>
          <w:lang w:val="en-US"/>
        </w:rPr>
        <w:t xml:space="preserve"> on first reading.</w:t>
      </w:r>
    </w:p>
    <w:p w14:paraId="1ECB0A52" w14:textId="00C3177B" w:rsidR="00FF03A7" w:rsidRPr="00A26D07" w:rsidRDefault="00B25CB0" w:rsidP="000F318E">
      <w:pPr>
        <w:rPr>
          <w:lang w:val="en-CA"/>
        </w:rPr>
      </w:pPr>
      <w:r>
        <w:rPr>
          <w:lang w:val="en-CA"/>
        </w:rPr>
        <w:t>2.12</w:t>
      </w:r>
      <w:r>
        <w:rPr>
          <w:lang w:val="en-CA"/>
        </w:rPr>
        <w:tab/>
      </w:r>
      <w:r w:rsidR="00FF03A7" w:rsidRPr="00A26D07">
        <w:rPr>
          <w:lang w:val="en-CA"/>
        </w:rPr>
        <w:t xml:space="preserve">The oral report by the Chairman of Committee </w:t>
      </w:r>
      <w:r w:rsidR="00FF03A7">
        <w:rPr>
          <w:lang w:val="en-CA"/>
        </w:rPr>
        <w:t>7</w:t>
      </w:r>
      <w:r w:rsidR="00FF03A7" w:rsidRPr="00A26D07">
        <w:rPr>
          <w:lang w:val="en-CA"/>
        </w:rPr>
        <w:t xml:space="preserve"> was </w:t>
      </w:r>
      <w:r w:rsidR="00FF03A7" w:rsidRPr="00A26D07">
        <w:rPr>
          <w:b/>
          <w:bCs/>
          <w:lang w:val="en-CA"/>
        </w:rPr>
        <w:t>noted</w:t>
      </w:r>
      <w:r w:rsidR="00FF03A7" w:rsidRPr="00A26D07">
        <w:rPr>
          <w:lang w:val="en-CA"/>
        </w:rPr>
        <w:t>.</w:t>
      </w:r>
    </w:p>
    <w:p w14:paraId="375CADA3" w14:textId="5B91225B" w:rsidR="00FF03A7" w:rsidRPr="00A653E9" w:rsidRDefault="00B25CB0" w:rsidP="000F318E">
      <w:pPr>
        <w:pStyle w:val="Heading1"/>
        <w:rPr>
          <w:lang w:val="en-CA"/>
        </w:rPr>
      </w:pPr>
      <w:r>
        <w:rPr>
          <w:lang w:val="en-CA"/>
        </w:rPr>
        <w:t>3</w:t>
      </w:r>
      <w:r>
        <w:rPr>
          <w:lang w:val="en-CA"/>
        </w:rPr>
        <w:tab/>
      </w:r>
      <w:r w:rsidR="00FF03A7" w:rsidRPr="00A653E9">
        <w:rPr>
          <w:lang w:val="en-CA"/>
        </w:rPr>
        <w:t>Fifth series of texts submitted by the Editorial Committee for first reading (B5) (Document 221)</w:t>
      </w:r>
    </w:p>
    <w:p w14:paraId="797E1436" w14:textId="65079127" w:rsidR="00FF03A7" w:rsidRPr="00A653E9" w:rsidRDefault="00B25CB0" w:rsidP="000F318E">
      <w:pPr>
        <w:rPr>
          <w:lang w:val="en-CA"/>
        </w:rPr>
      </w:pPr>
      <w:r>
        <w:rPr>
          <w:lang w:val="en-CA"/>
        </w:rPr>
        <w:t>3.1</w:t>
      </w:r>
      <w:r>
        <w:rPr>
          <w:lang w:val="en-CA"/>
        </w:rPr>
        <w:tab/>
      </w:r>
      <w:r w:rsidR="00FF03A7" w:rsidRPr="00A653E9">
        <w:rPr>
          <w:lang w:val="en-CA"/>
        </w:rPr>
        <w:t xml:space="preserve">The </w:t>
      </w:r>
      <w:r w:rsidR="00FF03A7" w:rsidRPr="00C87D52">
        <w:rPr>
          <w:b/>
          <w:bCs/>
          <w:lang w:val="en-CA"/>
        </w:rPr>
        <w:t>Chairman of the Editorial Committee</w:t>
      </w:r>
      <w:r w:rsidR="00FF03A7" w:rsidRPr="00A653E9">
        <w:rPr>
          <w:lang w:val="en-CA"/>
        </w:rPr>
        <w:t xml:space="preserve"> introduced Document 221.</w:t>
      </w:r>
    </w:p>
    <w:p w14:paraId="74DA5F30" w14:textId="755F470B" w:rsidR="00FF03A7" w:rsidRPr="00A653E9" w:rsidRDefault="00B25CB0" w:rsidP="000F318E">
      <w:pPr>
        <w:rPr>
          <w:lang w:val="en-CA"/>
        </w:rPr>
      </w:pPr>
      <w:r>
        <w:rPr>
          <w:lang w:val="en-CA"/>
        </w:rPr>
        <w:t>3.2</w:t>
      </w:r>
      <w:r>
        <w:rPr>
          <w:lang w:val="en-CA"/>
        </w:rPr>
        <w:tab/>
      </w:r>
      <w:r w:rsidR="00FF03A7" w:rsidRPr="00A653E9">
        <w:rPr>
          <w:lang w:val="en-CA"/>
        </w:rPr>
        <w:t xml:space="preserve">The </w:t>
      </w:r>
      <w:r w:rsidR="00FF03A7" w:rsidRPr="00C87D52">
        <w:rPr>
          <w:b/>
          <w:bCs/>
          <w:lang w:val="en-CA"/>
        </w:rPr>
        <w:t>Chairman</w:t>
      </w:r>
      <w:r w:rsidR="00FF03A7" w:rsidRPr="00A653E9">
        <w:rPr>
          <w:lang w:val="en-CA"/>
        </w:rPr>
        <w:t xml:space="preserve"> invited participants to consider Document 221.</w:t>
      </w:r>
    </w:p>
    <w:p w14:paraId="7882B323" w14:textId="1119F622" w:rsidR="00FF03A7" w:rsidRPr="00B263FD" w:rsidRDefault="00FF03A7" w:rsidP="000F318E">
      <w:pPr>
        <w:rPr>
          <w:b/>
          <w:bCs/>
          <w:lang w:val="en-CA"/>
        </w:rPr>
      </w:pPr>
      <w:r w:rsidRPr="00B263FD">
        <w:rPr>
          <w:b/>
          <w:bCs/>
          <w:lang w:val="en-CA"/>
        </w:rPr>
        <w:t xml:space="preserve">Appendix 27 (MOD Title, Article 2 </w:t>
      </w:r>
      <w:r w:rsidR="00B25CB0" w:rsidRPr="00B263FD">
        <w:rPr>
          <w:b/>
          <w:bCs/>
          <w:lang w:val="en-CA"/>
        </w:rPr>
        <w:t xml:space="preserve">– </w:t>
      </w:r>
      <w:r w:rsidRPr="00B263FD">
        <w:rPr>
          <w:b/>
          <w:bCs/>
          <w:lang w:val="en-CA"/>
        </w:rPr>
        <w:t>MOD 27/114, MOD 27/116, MOD 27/117, MOD 27/121, MOD 27/130, MOD 27/132, MOD 27/133)</w:t>
      </w:r>
    </w:p>
    <w:p w14:paraId="491F4BE9" w14:textId="173DDFD2" w:rsidR="00FF03A7" w:rsidRPr="00A653E9" w:rsidRDefault="00B25CB0" w:rsidP="000F318E">
      <w:pPr>
        <w:rPr>
          <w:lang w:val="en-CA"/>
        </w:rPr>
      </w:pPr>
      <w:r>
        <w:rPr>
          <w:lang w:val="en-CA"/>
        </w:rPr>
        <w:lastRenderedPageBreak/>
        <w:t>3.3</w:t>
      </w:r>
      <w:r>
        <w:rPr>
          <w:lang w:val="en-CA"/>
        </w:rPr>
        <w:tab/>
      </w:r>
      <w:r w:rsidR="00FF03A7" w:rsidRPr="0082597F">
        <w:rPr>
          <w:b/>
          <w:bCs/>
          <w:lang w:val="en-CA"/>
        </w:rPr>
        <w:t>Approved</w:t>
      </w:r>
      <w:r w:rsidR="00FF03A7" w:rsidRPr="00A653E9">
        <w:rPr>
          <w:lang w:val="en-CA"/>
        </w:rPr>
        <w:t>.</w:t>
      </w:r>
    </w:p>
    <w:p w14:paraId="50B00FC5" w14:textId="56C7E37E" w:rsidR="00FF03A7" w:rsidRPr="00A653E9" w:rsidRDefault="00B25CB0" w:rsidP="000F318E">
      <w:pPr>
        <w:rPr>
          <w:lang w:val="en-CA"/>
        </w:rPr>
      </w:pPr>
      <w:r>
        <w:rPr>
          <w:lang w:val="en-CA"/>
        </w:rPr>
        <w:t>3.4</w:t>
      </w:r>
      <w:r>
        <w:rPr>
          <w:lang w:val="en-CA"/>
        </w:rPr>
        <w:tab/>
      </w:r>
      <w:r w:rsidR="00FF03A7" w:rsidRPr="00A653E9">
        <w:rPr>
          <w:lang w:val="en-CA"/>
        </w:rPr>
        <w:t xml:space="preserve">The fifth series of texts submitted by the Editorial Committee for first reading (B5) (Document 221) was </w:t>
      </w:r>
      <w:r w:rsidR="00FF03A7" w:rsidRPr="0082597F">
        <w:rPr>
          <w:b/>
          <w:bCs/>
          <w:lang w:val="en-CA"/>
        </w:rPr>
        <w:t>approved</w:t>
      </w:r>
      <w:r w:rsidR="00FF03A7" w:rsidRPr="00A653E9">
        <w:rPr>
          <w:lang w:val="en-CA"/>
        </w:rPr>
        <w:t>.</w:t>
      </w:r>
    </w:p>
    <w:p w14:paraId="0D59E883" w14:textId="3FA1CF70" w:rsidR="00FF03A7" w:rsidRPr="00A653E9" w:rsidRDefault="00B25CB0" w:rsidP="002321A6">
      <w:pPr>
        <w:pStyle w:val="Heading1"/>
        <w:rPr>
          <w:lang w:val="en-CA"/>
        </w:rPr>
      </w:pPr>
      <w:r>
        <w:rPr>
          <w:lang w:val="en-CA"/>
        </w:rPr>
        <w:t>4</w:t>
      </w:r>
      <w:r>
        <w:rPr>
          <w:lang w:val="en-CA"/>
        </w:rPr>
        <w:tab/>
      </w:r>
      <w:r w:rsidR="00FF03A7" w:rsidRPr="00A653E9">
        <w:rPr>
          <w:lang w:val="en-CA"/>
        </w:rPr>
        <w:t>Fifth series of texts submitted by the Editorial Committee (B5) – second reading (Document 221)</w:t>
      </w:r>
    </w:p>
    <w:p w14:paraId="4D39AB4D" w14:textId="1DB40D6A" w:rsidR="00FF03A7" w:rsidRPr="00A653E9" w:rsidRDefault="00B25CB0" w:rsidP="002321A6">
      <w:pPr>
        <w:rPr>
          <w:lang w:val="en-CA"/>
        </w:rPr>
      </w:pPr>
      <w:r>
        <w:rPr>
          <w:lang w:val="en-CA"/>
        </w:rPr>
        <w:t>4.1</w:t>
      </w:r>
      <w:r>
        <w:rPr>
          <w:lang w:val="en-CA"/>
        </w:rPr>
        <w:tab/>
      </w:r>
      <w:r w:rsidR="00FF03A7" w:rsidRPr="00A653E9">
        <w:rPr>
          <w:lang w:val="en-CA"/>
        </w:rPr>
        <w:t xml:space="preserve">The fifth series of texts submitted by the Editorial Committee (B5) (Document 221) was </w:t>
      </w:r>
      <w:r w:rsidR="00FF03A7" w:rsidRPr="00A653E9">
        <w:rPr>
          <w:b/>
          <w:bCs/>
          <w:lang w:val="en-CA"/>
        </w:rPr>
        <w:t>approved</w:t>
      </w:r>
      <w:r w:rsidR="00FF03A7" w:rsidRPr="00A653E9">
        <w:rPr>
          <w:lang w:val="en-CA"/>
        </w:rPr>
        <w:t xml:space="preserve"> on second reading.</w:t>
      </w:r>
    </w:p>
    <w:p w14:paraId="386D8E47" w14:textId="781B377C" w:rsidR="00FF03A7" w:rsidRPr="00A653E9" w:rsidRDefault="00B25CB0" w:rsidP="002321A6">
      <w:pPr>
        <w:pStyle w:val="Heading1"/>
        <w:rPr>
          <w:lang w:val="en-CA"/>
        </w:rPr>
      </w:pPr>
      <w:r>
        <w:rPr>
          <w:lang w:val="en-CA"/>
        </w:rPr>
        <w:t>5</w:t>
      </w:r>
      <w:r>
        <w:rPr>
          <w:lang w:val="en-CA"/>
        </w:rPr>
        <w:tab/>
      </w:r>
      <w:r w:rsidR="00FF03A7" w:rsidRPr="00A653E9">
        <w:rPr>
          <w:lang w:val="en-CA"/>
        </w:rPr>
        <w:t>Sixth series of texts submitted by the Editorial Committee for first reading (B6) (Document 222)</w:t>
      </w:r>
    </w:p>
    <w:p w14:paraId="5DF80372" w14:textId="4A448F77" w:rsidR="00FF03A7" w:rsidRPr="00A653E9" w:rsidRDefault="00B25CB0" w:rsidP="002321A6">
      <w:pPr>
        <w:rPr>
          <w:lang w:val="en-CA"/>
        </w:rPr>
      </w:pPr>
      <w:r>
        <w:rPr>
          <w:lang w:val="en-CA"/>
        </w:rPr>
        <w:t>5.1</w:t>
      </w:r>
      <w:r>
        <w:rPr>
          <w:lang w:val="en-CA"/>
        </w:rPr>
        <w:tab/>
      </w:r>
      <w:r w:rsidR="00FF03A7" w:rsidRPr="00A653E9">
        <w:rPr>
          <w:lang w:val="en-CA"/>
        </w:rPr>
        <w:t xml:space="preserve">The </w:t>
      </w:r>
      <w:r w:rsidR="00FF03A7" w:rsidRPr="0082597F">
        <w:rPr>
          <w:b/>
          <w:bCs/>
          <w:lang w:val="en-CA"/>
        </w:rPr>
        <w:t>Chairman of the Editorial Committee</w:t>
      </w:r>
      <w:r w:rsidR="00FF03A7" w:rsidRPr="00A653E9">
        <w:rPr>
          <w:lang w:val="en-CA"/>
        </w:rPr>
        <w:t xml:space="preserve"> introduced Document 222.</w:t>
      </w:r>
    </w:p>
    <w:p w14:paraId="0EA91B76" w14:textId="7D257586" w:rsidR="00FF03A7" w:rsidRPr="00A653E9" w:rsidRDefault="00B25CB0" w:rsidP="002321A6">
      <w:pPr>
        <w:rPr>
          <w:lang w:val="en-CA"/>
        </w:rPr>
      </w:pPr>
      <w:r>
        <w:rPr>
          <w:lang w:val="en-CA"/>
        </w:rPr>
        <w:t>5.2</w:t>
      </w:r>
      <w:r>
        <w:rPr>
          <w:lang w:val="en-CA"/>
        </w:rPr>
        <w:tab/>
      </w:r>
      <w:r w:rsidR="00FF03A7" w:rsidRPr="00A653E9">
        <w:rPr>
          <w:lang w:val="en-CA"/>
        </w:rPr>
        <w:t xml:space="preserve">The </w:t>
      </w:r>
      <w:r w:rsidR="00FF03A7" w:rsidRPr="0082597F">
        <w:rPr>
          <w:b/>
          <w:bCs/>
          <w:lang w:val="en-CA"/>
        </w:rPr>
        <w:t>delegate of the United States</w:t>
      </w:r>
      <w:r w:rsidR="00FF03A7" w:rsidRPr="00A653E9">
        <w:rPr>
          <w:lang w:val="en-CA"/>
        </w:rPr>
        <w:t xml:space="preserve"> requested that consideration of the amendments to Resolution 27 (Rev.WRC-12) and </w:t>
      </w:r>
      <w:r>
        <w:rPr>
          <w:lang w:val="en-CA"/>
        </w:rPr>
        <w:t xml:space="preserve">suppression of Resolution </w:t>
      </w:r>
      <w:r w:rsidR="00FF03A7" w:rsidRPr="00A653E9">
        <w:rPr>
          <w:lang w:val="en-CA"/>
        </w:rPr>
        <w:t xml:space="preserve">28 (Rev.WRC-15) be deferred until the sixth </w:t>
      </w:r>
      <w:r w:rsidR="00FF03A7">
        <w:rPr>
          <w:lang w:val="en-CA"/>
        </w:rPr>
        <w:t>p</w:t>
      </w:r>
      <w:r w:rsidR="00FF03A7" w:rsidRPr="00A653E9">
        <w:rPr>
          <w:lang w:val="en-CA"/>
        </w:rPr>
        <w:t xml:space="preserve">lenary </w:t>
      </w:r>
      <w:r w:rsidR="00FF03A7">
        <w:rPr>
          <w:lang w:val="en-CA"/>
        </w:rPr>
        <w:t>m</w:t>
      </w:r>
      <w:r w:rsidR="00FF03A7" w:rsidRPr="00A653E9">
        <w:rPr>
          <w:lang w:val="en-CA"/>
        </w:rPr>
        <w:t>eeting to allow more time for legal consultations.</w:t>
      </w:r>
    </w:p>
    <w:p w14:paraId="088F38B1" w14:textId="6B148092" w:rsidR="00FF03A7" w:rsidRPr="00A653E9" w:rsidRDefault="00B25CB0" w:rsidP="002321A6">
      <w:pPr>
        <w:rPr>
          <w:lang w:val="en-CA"/>
        </w:rPr>
      </w:pPr>
      <w:r>
        <w:rPr>
          <w:lang w:val="en-CA"/>
        </w:rPr>
        <w:t>5.3</w:t>
      </w:r>
      <w:r>
        <w:rPr>
          <w:lang w:val="en-CA"/>
        </w:rPr>
        <w:tab/>
      </w:r>
      <w:r w:rsidR="00FF03A7" w:rsidRPr="00A653E9">
        <w:rPr>
          <w:lang w:val="en-CA"/>
        </w:rPr>
        <w:t xml:space="preserve">It was so </w:t>
      </w:r>
      <w:r w:rsidR="00FF03A7" w:rsidRPr="00A653E9">
        <w:rPr>
          <w:b/>
          <w:bCs/>
          <w:lang w:val="en-CA"/>
        </w:rPr>
        <w:t>agreed</w:t>
      </w:r>
      <w:r w:rsidR="00FF03A7" w:rsidRPr="00A653E9">
        <w:rPr>
          <w:lang w:val="en-CA"/>
        </w:rPr>
        <w:t>.</w:t>
      </w:r>
    </w:p>
    <w:p w14:paraId="054CCC42" w14:textId="49591918" w:rsidR="00FF03A7" w:rsidRPr="00A653E9" w:rsidRDefault="00B25CB0" w:rsidP="002321A6">
      <w:pPr>
        <w:rPr>
          <w:lang w:val="en-CA"/>
        </w:rPr>
      </w:pPr>
      <w:r>
        <w:rPr>
          <w:lang w:val="en-CA"/>
        </w:rPr>
        <w:t>5.4</w:t>
      </w:r>
      <w:r>
        <w:rPr>
          <w:lang w:val="en-CA"/>
        </w:rPr>
        <w:tab/>
      </w:r>
      <w:r w:rsidR="00FF03A7" w:rsidRPr="00A653E9">
        <w:rPr>
          <w:lang w:val="en-CA"/>
        </w:rPr>
        <w:t xml:space="preserve">The </w:t>
      </w:r>
      <w:r w:rsidR="00FF03A7" w:rsidRPr="00A653E9">
        <w:rPr>
          <w:b/>
          <w:bCs/>
          <w:lang w:val="en-CA"/>
        </w:rPr>
        <w:t>Chairman</w:t>
      </w:r>
      <w:r w:rsidR="00FF03A7" w:rsidRPr="00A653E9">
        <w:rPr>
          <w:lang w:val="en-CA"/>
        </w:rPr>
        <w:t xml:space="preserve"> invited participants to consider Document 222, with the exception of Resolution</w:t>
      </w:r>
      <w:r w:rsidR="00FF03A7">
        <w:rPr>
          <w:lang w:val="en-CA"/>
        </w:rPr>
        <w:t>s</w:t>
      </w:r>
      <w:r w:rsidR="00FF03A7" w:rsidRPr="00A653E9">
        <w:rPr>
          <w:lang w:val="en-CA"/>
        </w:rPr>
        <w:t xml:space="preserve"> 27 (Rev.WRC-12) and 28 (Rev.WRC-15).</w:t>
      </w:r>
    </w:p>
    <w:p w14:paraId="6E44A643" w14:textId="7A247772" w:rsidR="00FF03A7" w:rsidRPr="00DE12FE" w:rsidRDefault="00FF03A7" w:rsidP="002321A6">
      <w:pPr>
        <w:rPr>
          <w:rStyle w:val="Appdef"/>
          <w:bCs/>
          <w:szCs w:val="24"/>
          <w:lang w:val="en-CA"/>
        </w:rPr>
      </w:pPr>
      <w:r w:rsidRPr="00DE12FE">
        <w:rPr>
          <w:b/>
          <w:lang w:val="en-CA"/>
        </w:rPr>
        <w:t>A</w:t>
      </w:r>
      <w:r w:rsidR="0019037C" w:rsidRPr="00DE12FE">
        <w:rPr>
          <w:b/>
          <w:lang w:val="en-CA"/>
        </w:rPr>
        <w:t>rticle</w:t>
      </w:r>
      <w:r w:rsidRPr="00DE12FE">
        <w:rPr>
          <w:b/>
          <w:lang w:val="en-CA"/>
        </w:rPr>
        <w:t xml:space="preserve"> 5 (MOD</w:t>
      </w:r>
      <w:r w:rsidRPr="00DE12FE">
        <w:rPr>
          <w:bCs/>
          <w:lang w:val="en-CA"/>
        </w:rPr>
        <w:t xml:space="preserve"> </w:t>
      </w:r>
      <w:r w:rsidRPr="00DE12FE">
        <w:rPr>
          <w:rStyle w:val="Artdef"/>
          <w:bCs/>
          <w:szCs w:val="24"/>
          <w:lang w:val="en-CA"/>
        </w:rPr>
        <w:t>5.279A, MOD 5.287, MOD 5.288, MOD 5.444B); A</w:t>
      </w:r>
      <w:r w:rsidR="0019037C" w:rsidRPr="00DE12FE">
        <w:rPr>
          <w:rStyle w:val="Artdef"/>
          <w:bCs/>
          <w:szCs w:val="24"/>
          <w:lang w:val="en-CA"/>
        </w:rPr>
        <w:t>rticle</w:t>
      </w:r>
      <w:r w:rsidRPr="00DE12FE">
        <w:rPr>
          <w:rStyle w:val="Artdef"/>
          <w:bCs/>
          <w:szCs w:val="24"/>
          <w:lang w:val="en-CA"/>
        </w:rPr>
        <w:t xml:space="preserve"> 19 (MOD 19.99, MOD 19.102, MOD 19.111); A</w:t>
      </w:r>
      <w:r w:rsidR="0019037C" w:rsidRPr="00DE12FE">
        <w:rPr>
          <w:rStyle w:val="Artdef"/>
          <w:bCs/>
          <w:szCs w:val="24"/>
          <w:lang w:val="en-CA"/>
        </w:rPr>
        <w:t xml:space="preserve">ppendix </w:t>
      </w:r>
      <w:r w:rsidRPr="00DE12FE">
        <w:rPr>
          <w:rStyle w:val="Artdef"/>
          <w:bCs/>
          <w:szCs w:val="24"/>
          <w:lang w:val="en-CA"/>
        </w:rPr>
        <w:t xml:space="preserve">1 (MOD </w:t>
      </w:r>
      <w:r w:rsidRPr="00DE12FE">
        <w:rPr>
          <w:rStyle w:val="Appdef"/>
          <w:bCs/>
          <w:szCs w:val="24"/>
          <w:lang w:val="en-CA"/>
        </w:rPr>
        <w:t>§1, MOD §2); MOD Resolution 748 (Rev.WRC-15).</w:t>
      </w:r>
    </w:p>
    <w:p w14:paraId="5AAB5193" w14:textId="09430D01" w:rsidR="00FF03A7" w:rsidRPr="00A653E9" w:rsidRDefault="00B25CB0" w:rsidP="002321A6">
      <w:pPr>
        <w:rPr>
          <w:rStyle w:val="Appdef"/>
          <w:b w:val="0"/>
          <w:szCs w:val="24"/>
          <w:lang w:val="en-CA"/>
        </w:rPr>
      </w:pPr>
      <w:r>
        <w:rPr>
          <w:rStyle w:val="Appdef"/>
          <w:b w:val="0"/>
          <w:szCs w:val="24"/>
          <w:lang w:val="en-CA"/>
        </w:rPr>
        <w:t>5.5</w:t>
      </w:r>
      <w:r>
        <w:rPr>
          <w:rStyle w:val="Appdef"/>
          <w:b w:val="0"/>
          <w:szCs w:val="24"/>
          <w:lang w:val="en-CA"/>
        </w:rPr>
        <w:tab/>
      </w:r>
      <w:r w:rsidR="00FF03A7" w:rsidRPr="00A653E9">
        <w:rPr>
          <w:rStyle w:val="Appdef"/>
          <w:bCs/>
          <w:szCs w:val="24"/>
          <w:lang w:val="en-CA"/>
        </w:rPr>
        <w:t>Approved</w:t>
      </w:r>
      <w:r w:rsidR="00FF03A7" w:rsidRPr="00A653E9">
        <w:rPr>
          <w:rStyle w:val="Appdef"/>
          <w:szCs w:val="24"/>
          <w:lang w:val="en-CA"/>
        </w:rPr>
        <w:t>.</w:t>
      </w:r>
    </w:p>
    <w:p w14:paraId="79654A58" w14:textId="0B77BF2F" w:rsidR="00FF03A7" w:rsidRPr="00A653E9" w:rsidRDefault="00B25CB0" w:rsidP="002321A6">
      <w:pPr>
        <w:rPr>
          <w:bCs/>
          <w:lang w:val="en-CA"/>
        </w:rPr>
      </w:pPr>
      <w:r>
        <w:rPr>
          <w:lang w:val="en-CA"/>
        </w:rPr>
        <w:t>5.6</w:t>
      </w:r>
      <w:r>
        <w:rPr>
          <w:lang w:val="en-CA"/>
        </w:rPr>
        <w:tab/>
      </w:r>
      <w:r w:rsidR="00FF03A7" w:rsidRPr="00A653E9">
        <w:rPr>
          <w:lang w:val="en-CA"/>
        </w:rPr>
        <w:t>With the exception of Resolution</w:t>
      </w:r>
      <w:r w:rsidR="00FF03A7">
        <w:rPr>
          <w:lang w:val="en-CA"/>
        </w:rPr>
        <w:t>s</w:t>
      </w:r>
      <w:r w:rsidR="00FF03A7" w:rsidRPr="00A653E9">
        <w:rPr>
          <w:lang w:val="en-CA"/>
        </w:rPr>
        <w:t xml:space="preserve"> 27</w:t>
      </w:r>
      <w:r w:rsidR="00FF03A7">
        <w:rPr>
          <w:lang w:val="en-CA"/>
        </w:rPr>
        <w:t xml:space="preserve"> </w:t>
      </w:r>
      <w:r w:rsidR="00FF03A7" w:rsidRPr="00A653E9">
        <w:rPr>
          <w:lang w:val="en-CA"/>
        </w:rPr>
        <w:t>(Rev.WRC-12) and 28 (Rev.WRC-15), the sixth series of texts submitted by the Editorial Committee for first reading (B6) (Document 222) was</w:t>
      </w:r>
      <w:r w:rsidR="00FF03A7" w:rsidRPr="00A653E9">
        <w:rPr>
          <w:bCs/>
          <w:lang w:val="en-CA"/>
        </w:rPr>
        <w:t xml:space="preserve"> </w:t>
      </w:r>
      <w:r w:rsidR="00FF03A7" w:rsidRPr="0082597F">
        <w:rPr>
          <w:b/>
          <w:lang w:val="en-CA"/>
        </w:rPr>
        <w:t>approved</w:t>
      </w:r>
      <w:r w:rsidR="00FF03A7" w:rsidRPr="00A653E9">
        <w:rPr>
          <w:bCs/>
          <w:lang w:val="en-CA"/>
        </w:rPr>
        <w:t>.</w:t>
      </w:r>
    </w:p>
    <w:p w14:paraId="3DE1F8EC" w14:textId="4CDCC99D" w:rsidR="00FF03A7" w:rsidRPr="00A653E9" w:rsidRDefault="00B25CB0" w:rsidP="002321A6">
      <w:pPr>
        <w:pStyle w:val="Heading1"/>
        <w:rPr>
          <w:lang w:val="en-CA"/>
        </w:rPr>
      </w:pPr>
      <w:r>
        <w:rPr>
          <w:lang w:val="en-CA"/>
        </w:rPr>
        <w:t>6</w:t>
      </w:r>
      <w:r>
        <w:rPr>
          <w:lang w:val="en-CA"/>
        </w:rPr>
        <w:tab/>
      </w:r>
      <w:r w:rsidR="00FF03A7" w:rsidRPr="00A653E9">
        <w:rPr>
          <w:lang w:val="en-CA"/>
        </w:rPr>
        <w:t>Sixth series of texts submitted by the Editorial Committee (B6) – second reading (Document 222)</w:t>
      </w:r>
    </w:p>
    <w:p w14:paraId="21173F64" w14:textId="1A87ECD9" w:rsidR="00FF03A7" w:rsidRPr="00A653E9" w:rsidRDefault="00B25CB0" w:rsidP="002321A6">
      <w:pPr>
        <w:rPr>
          <w:lang w:val="en-CA"/>
        </w:rPr>
      </w:pPr>
      <w:r>
        <w:rPr>
          <w:lang w:val="en-CA"/>
        </w:rPr>
        <w:t>6.1</w:t>
      </w:r>
      <w:r>
        <w:rPr>
          <w:lang w:val="en-CA"/>
        </w:rPr>
        <w:tab/>
      </w:r>
      <w:r w:rsidR="00FF03A7" w:rsidRPr="00A653E9">
        <w:rPr>
          <w:lang w:val="en-CA"/>
        </w:rPr>
        <w:t xml:space="preserve">With the exception of </w:t>
      </w:r>
      <w:r w:rsidR="00FF03A7" w:rsidRPr="00A653E9">
        <w:rPr>
          <w:szCs w:val="24"/>
          <w:lang w:val="en-CA"/>
        </w:rPr>
        <w:t>Resolution</w:t>
      </w:r>
      <w:r w:rsidR="00FF03A7">
        <w:rPr>
          <w:szCs w:val="24"/>
          <w:lang w:val="en-CA"/>
        </w:rPr>
        <w:t>s</w:t>
      </w:r>
      <w:r w:rsidR="00FF03A7" w:rsidRPr="00A653E9">
        <w:rPr>
          <w:szCs w:val="24"/>
          <w:lang w:val="en-CA"/>
        </w:rPr>
        <w:t xml:space="preserve"> 27</w:t>
      </w:r>
      <w:r w:rsidR="00FF03A7">
        <w:rPr>
          <w:szCs w:val="24"/>
          <w:lang w:val="en-CA"/>
        </w:rPr>
        <w:t xml:space="preserve"> </w:t>
      </w:r>
      <w:r w:rsidR="00FF03A7" w:rsidRPr="00A653E9">
        <w:rPr>
          <w:szCs w:val="24"/>
          <w:lang w:val="en-CA"/>
        </w:rPr>
        <w:t>(Rev.WRC-12) and 28 (Rev.WRC-15)</w:t>
      </w:r>
      <w:r w:rsidR="00FF03A7" w:rsidRPr="00A653E9">
        <w:rPr>
          <w:lang w:val="en-CA"/>
        </w:rPr>
        <w:t xml:space="preserve">, the sixth series of texts submitted by the Editorial Committee (B6) (Document 222) was </w:t>
      </w:r>
      <w:r w:rsidR="00FF03A7" w:rsidRPr="00A653E9">
        <w:rPr>
          <w:b/>
          <w:bCs/>
          <w:lang w:val="en-CA"/>
        </w:rPr>
        <w:t>approved</w:t>
      </w:r>
      <w:r w:rsidR="00FF03A7" w:rsidRPr="00A653E9">
        <w:rPr>
          <w:lang w:val="en-CA"/>
        </w:rPr>
        <w:t xml:space="preserve"> on second reading.</w:t>
      </w:r>
    </w:p>
    <w:p w14:paraId="13E7A803" w14:textId="76736235" w:rsidR="00FF03A7" w:rsidRPr="00B82F2A" w:rsidRDefault="00B25CB0" w:rsidP="002321A6">
      <w:pPr>
        <w:pStyle w:val="Heading1"/>
        <w:rPr>
          <w:lang w:val="en-US"/>
        </w:rPr>
      </w:pPr>
      <w:r>
        <w:rPr>
          <w:lang w:val="en-US"/>
        </w:rPr>
        <w:t>7</w:t>
      </w:r>
      <w:r>
        <w:rPr>
          <w:lang w:val="en-US"/>
        </w:rPr>
        <w:tab/>
      </w:r>
      <w:r w:rsidR="00FF03A7" w:rsidRPr="00B82F2A">
        <w:rPr>
          <w:lang w:val="en-US"/>
        </w:rPr>
        <w:t>Seventh series of texts submitted by the Editorial Committee for first reading (B7)</w:t>
      </w:r>
      <w:r w:rsidR="00FF03A7">
        <w:rPr>
          <w:lang w:val="en-US"/>
        </w:rPr>
        <w:t xml:space="preserve"> (Document 223)</w:t>
      </w:r>
    </w:p>
    <w:p w14:paraId="392535E9" w14:textId="53CAC388" w:rsidR="00FF03A7" w:rsidRPr="00B82F2A" w:rsidRDefault="00B25CB0" w:rsidP="002321A6">
      <w:pPr>
        <w:rPr>
          <w:lang w:val="en-US"/>
        </w:rPr>
      </w:pPr>
      <w:r>
        <w:rPr>
          <w:lang w:val="en-US"/>
        </w:rPr>
        <w:t>7.1</w:t>
      </w:r>
      <w:r>
        <w:rPr>
          <w:lang w:val="en-US"/>
        </w:rPr>
        <w:tab/>
      </w:r>
      <w:r w:rsidR="00FF03A7" w:rsidRPr="00B82F2A">
        <w:rPr>
          <w:lang w:val="en-US"/>
        </w:rPr>
        <w:t xml:space="preserve">The </w:t>
      </w:r>
      <w:r w:rsidR="00FF03A7" w:rsidRPr="005C31C8">
        <w:rPr>
          <w:b/>
          <w:bCs/>
          <w:lang w:val="en-US"/>
        </w:rPr>
        <w:t xml:space="preserve">Chairman of the Editorial Committee </w:t>
      </w:r>
      <w:r w:rsidR="00FF03A7" w:rsidRPr="00B82F2A">
        <w:rPr>
          <w:lang w:val="en-US"/>
        </w:rPr>
        <w:t>introduced Document 223</w:t>
      </w:r>
      <w:r w:rsidR="00FF03A7">
        <w:rPr>
          <w:lang w:val="en-US"/>
        </w:rPr>
        <w:t>.</w:t>
      </w:r>
      <w:r w:rsidR="00FF03A7" w:rsidRPr="00B82F2A">
        <w:rPr>
          <w:lang w:val="en-US"/>
        </w:rPr>
        <w:t xml:space="preserve"> </w:t>
      </w:r>
    </w:p>
    <w:p w14:paraId="6391F5AC" w14:textId="472C80F7" w:rsidR="00FF03A7" w:rsidRDefault="00B25CB0" w:rsidP="002321A6">
      <w:pPr>
        <w:rPr>
          <w:lang w:val="en-US"/>
        </w:rPr>
      </w:pPr>
      <w:r>
        <w:rPr>
          <w:lang w:val="en-US"/>
        </w:rPr>
        <w:t>7.2</w:t>
      </w:r>
      <w:r>
        <w:rPr>
          <w:lang w:val="en-US"/>
        </w:rPr>
        <w:tab/>
      </w:r>
      <w:r w:rsidR="00FF03A7" w:rsidRPr="00B82F2A">
        <w:rPr>
          <w:lang w:val="en-US"/>
        </w:rPr>
        <w:t xml:space="preserve">The </w:t>
      </w:r>
      <w:r w:rsidR="00FF03A7" w:rsidRPr="005C31C8">
        <w:rPr>
          <w:b/>
          <w:bCs/>
          <w:lang w:val="en-US"/>
        </w:rPr>
        <w:t xml:space="preserve">Chairman </w:t>
      </w:r>
      <w:r w:rsidR="00FF03A7">
        <w:rPr>
          <w:lang w:val="en-US"/>
        </w:rPr>
        <w:t>invited the meeting to consider</w:t>
      </w:r>
      <w:r w:rsidR="00FF03A7" w:rsidRPr="00B82F2A">
        <w:rPr>
          <w:lang w:val="en-US"/>
        </w:rPr>
        <w:t xml:space="preserve"> Document 223.</w:t>
      </w:r>
    </w:p>
    <w:p w14:paraId="718AB301" w14:textId="2CF46A5B" w:rsidR="00FF03A7" w:rsidRPr="002321A6" w:rsidRDefault="00FF03A7" w:rsidP="002321A6">
      <w:pPr>
        <w:rPr>
          <w:b/>
          <w:bCs/>
          <w:lang w:val="en-US"/>
        </w:rPr>
      </w:pPr>
      <w:r w:rsidRPr="002321A6">
        <w:rPr>
          <w:b/>
          <w:bCs/>
          <w:lang w:val="en-US"/>
        </w:rPr>
        <w:t xml:space="preserve">Article 5 (MOD Table 8 500-10 000 MHz, </w:t>
      </w:r>
      <w:r w:rsidR="00B25CB0" w:rsidRPr="002321A6">
        <w:rPr>
          <w:b/>
          <w:bCs/>
          <w:lang w:val="en-US"/>
        </w:rPr>
        <w:t xml:space="preserve">MOD </w:t>
      </w:r>
      <w:r w:rsidRPr="002321A6">
        <w:rPr>
          <w:b/>
          <w:bCs/>
          <w:lang w:val="en-US"/>
        </w:rPr>
        <w:t xml:space="preserve">Table 13.4-14 GHz, </w:t>
      </w:r>
      <w:r w:rsidR="00B25CB0" w:rsidRPr="002321A6">
        <w:rPr>
          <w:b/>
          <w:bCs/>
          <w:lang w:val="en-US"/>
        </w:rPr>
        <w:t xml:space="preserve">MOD </w:t>
      </w:r>
      <w:r w:rsidRPr="002321A6">
        <w:rPr>
          <w:b/>
          <w:bCs/>
          <w:lang w:val="en-US"/>
        </w:rPr>
        <w:t xml:space="preserve">5.562B, </w:t>
      </w:r>
      <w:r w:rsidR="00B25CB0" w:rsidRPr="002321A6">
        <w:rPr>
          <w:b/>
          <w:bCs/>
          <w:lang w:val="en-US"/>
        </w:rPr>
        <w:t xml:space="preserve">MOD </w:t>
      </w:r>
      <w:r w:rsidRPr="002321A6">
        <w:rPr>
          <w:b/>
          <w:bCs/>
          <w:lang w:val="en-US"/>
        </w:rPr>
        <w:t>Table 151.5-158.5 GHz)</w:t>
      </w:r>
      <w:r w:rsidR="00B25CB0" w:rsidRPr="002321A6">
        <w:rPr>
          <w:b/>
          <w:bCs/>
          <w:lang w:val="en-US"/>
        </w:rPr>
        <w:t>;</w:t>
      </w:r>
      <w:r w:rsidRPr="002321A6">
        <w:rPr>
          <w:b/>
          <w:bCs/>
          <w:lang w:val="en-US"/>
        </w:rPr>
        <w:t xml:space="preserve"> Appendix 30 (MOD Annex 4)</w:t>
      </w:r>
      <w:r w:rsidR="00B25CB0" w:rsidRPr="002321A6">
        <w:rPr>
          <w:b/>
          <w:bCs/>
          <w:lang w:val="en-US"/>
        </w:rPr>
        <w:t>;</w:t>
      </w:r>
      <w:r w:rsidRPr="002321A6">
        <w:rPr>
          <w:b/>
          <w:bCs/>
          <w:lang w:val="en-US"/>
        </w:rPr>
        <w:t xml:space="preserve"> Article 5 (</w:t>
      </w:r>
      <w:r w:rsidR="00B25CB0" w:rsidRPr="002321A6">
        <w:rPr>
          <w:b/>
          <w:bCs/>
          <w:lang w:val="en-US"/>
        </w:rPr>
        <w:t xml:space="preserve">SUP </w:t>
      </w:r>
      <w:r w:rsidRPr="002321A6">
        <w:rPr>
          <w:b/>
          <w:bCs/>
          <w:lang w:val="en-US"/>
        </w:rPr>
        <w:t>5.562F</w:t>
      </w:r>
      <w:r w:rsidR="00B25CB0" w:rsidRPr="002321A6">
        <w:rPr>
          <w:b/>
          <w:bCs/>
          <w:lang w:val="en-US"/>
        </w:rPr>
        <w:t>,</w:t>
      </w:r>
      <w:r w:rsidRPr="002321A6">
        <w:rPr>
          <w:b/>
          <w:bCs/>
          <w:lang w:val="en-US"/>
        </w:rPr>
        <w:t xml:space="preserve"> </w:t>
      </w:r>
      <w:r w:rsidR="00B25CB0" w:rsidRPr="002321A6">
        <w:rPr>
          <w:b/>
          <w:bCs/>
          <w:lang w:val="en-US"/>
        </w:rPr>
        <w:t xml:space="preserve">SUP </w:t>
      </w:r>
      <w:r w:rsidRPr="002321A6">
        <w:rPr>
          <w:b/>
          <w:bCs/>
          <w:lang w:val="en-US"/>
        </w:rPr>
        <w:t>5.562G)</w:t>
      </w:r>
    </w:p>
    <w:p w14:paraId="7102204D" w14:textId="55C99AB8" w:rsidR="00FF03A7" w:rsidRDefault="00B25CB0" w:rsidP="002321A6">
      <w:pPr>
        <w:rPr>
          <w:lang w:val="en-US"/>
        </w:rPr>
      </w:pPr>
      <w:r>
        <w:rPr>
          <w:lang w:val="en-US"/>
        </w:rPr>
        <w:t>7.3</w:t>
      </w:r>
      <w:r>
        <w:rPr>
          <w:lang w:val="en-US"/>
        </w:rPr>
        <w:tab/>
      </w:r>
      <w:r w:rsidR="00FF03A7" w:rsidRPr="002321A6">
        <w:rPr>
          <w:b/>
          <w:bCs/>
          <w:lang w:val="en-US"/>
        </w:rPr>
        <w:t>Approved</w:t>
      </w:r>
      <w:r w:rsidR="00FF03A7" w:rsidRPr="00B90228">
        <w:rPr>
          <w:lang w:val="en-US"/>
        </w:rPr>
        <w:t>.</w:t>
      </w:r>
    </w:p>
    <w:p w14:paraId="799E1C63" w14:textId="4C89DFA7" w:rsidR="00FF03A7" w:rsidRPr="00B90228" w:rsidRDefault="00B25CB0" w:rsidP="002321A6">
      <w:pPr>
        <w:rPr>
          <w:b/>
          <w:bCs/>
          <w:lang w:val="en-US"/>
        </w:rPr>
      </w:pPr>
      <w:r>
        <w:rPr>
          <w:lang w:val="en-US"/>
        </w:rPr>
        <w:t>7.4</w:t>
      </w:r>
      <w:r>
        <w:rPr>
          <w:lang w:val="en-US"/>
        </w:rPr>
        <w:tab/>
      </w:r>
      <w:r w:rsidR="00FF03A7" w:rsidRPr="00FA3FBE">
        <w:rPr>
          <w:lang w:val="en-US"/>
        </w:rPr>
        <w:t>The seventh series of texts submitted by the Editorial Committee for first reading (B7) (Document 223) was</w:t>
      </w:r>
      <w:r w:rsidR="00FF03A7">
        <w:rPr>
          <w:b/>
          <w:bCs/>
          <w:lang w:val="en-US"/>
        </w:rPr>
        <w:t xml:space="preserve"> approved.</w:t>
      </w:r>
    </w:p>
    <w:p w14:paraId="2E20A745" w14:textId="3C771369" w:rsidR="00FF03A7" w:rsidRPr="00B82F2A" w:rsidRDefault="00B25CB0" w:rsidP="002321A6">
      <w:pPr>
        <w:rPr>
          <w:lang w:val="en-US"/>
        </w:rPr>
      </w:pPr>
      <w:r>
        <w:rPr>
          <w:lang w:val="en-US"/>
        </w:rPr>
        <w:lastRenderedPageBreak/>
        <w:t>7.5</w:t>
      </w:r>
      <w:r>
        <w:rPr>
          <w:lang w:val="en-US"/>
        </w:rPr>
        <w:tab/>
      </w:r>
      <w:r w:rsidR="00FF03A7" w:rsidRPr="00B82F2A">
        <w:rPr>
          <w:lang w:val="en-US"/>
        </w:rPr>
        <w:t xml:space="preserve">The </w:t>
      </w:r>
      <w:r w:rsidR="00FF03A7" w:rsidRPr="009C7731">
        <w:rPr>
          <w:b/>
          <w:bCs/>
          <w:lang w:val="en-US"/>
        </w:rPr>
        <w:t>delegate of the Islamic</w:t>
      </w:r>
      <w:r w:rsidR="00FF03A7" w:rsidRPr="00B82F2A">
        <w:rPr>
          <w:b/>
          <w:bCs/>
          <w:lang w:val="en-US"/>
        </w:rPr>
        <w:t xml:space="preserve"> Republic of Iran</w:t>
      </w:r>
      <w:r w:rsidR="00FF03A7" w:rsidRPr="00B82F2A">
        <w:rPr>
          <w:lang w:val="en-US"/>
        </w:rPr>
        <w:t xml:space="preserve"> </w:t>
      </w:r>
      <w:r>
        <w:rPr>
          <w:lang w:val="en-US"/>
        </w:rPr>
        <w:t xml:space="preserve">said </w:t>
      </w:r>
      <w:r w:rsidR="00FF03A7">
        <w:rPr>
          <w:lang w:val="en-US"/>
        </w:rPr>
        <w:t xml:space="preserve">that, in view of the legally binding nature of the Radio Regulations, for documents involving modifications to </w:t>
      </w:r>
      <w:r>
        <w:rPr>
          <w:lang w:val="en-US"/>
        </w:rPr>
        <w:t>the T</w:t>
      </w:r>
      <w:r w:rsidR="00FF03A7">
        <w:rPr>
          <w:lang w:val="en-US"/>
        </w:rPr>
        <w:t xml:space="preserve">able of </w:t>
      </w:r>
      <w:r>
        <w:rPr>
          <w:lang w:val="en-US"/>
        </w:rPr>
        <w:t>F</w:t>
      </w:r>
      <w:r w:rsidR="00FF03A7">
        <w:rPr>
          <w:lang w:val="en-US"/>
        </w:rPr>
        <w:t xml:space="preserve">requency </w:t>
      </w:r>
      <w:r>
        <w:rPr>
          <w:lang w:val="en-US"/>
        </w:rPr>
        <w:t>A</w:t>
      </w:r>
      <w:r w:rsidR="00FF03A7">
        <w:rPr>
          <w:lang w:val="en-US"/>
        </w:rPr>
        <w:t xml:space="preserve">llocations the second reading should </w:t>
      </w:r>
      <w:r>
        <w:rPr>
          <w:lang w:val="en-US"/>
        </w:rPr>
        <w:t xml:space="preserve">not immediately follow the first reading; administrations should be given the time to </w:t>
      </w:r>
      <w:r w:rsidR="00FF03A7">
        <w:rPr>
          <w:lang w:val="en-US"/>
        </w:rPr>
        <w:t>carefully examine the proposed changes. In</w:t>
      </w:r>
      <w:r w:rsidR="00FF03A7" w:rsidRPr="009716A7">
        <w:rPr>
          <w:lang w:val="en-US"/>
        </w:rPr>
        <w:t xml:space="preserve"> line with the rules of the conference, </w:t>
      </w:r>
      <w:r>
        <w:rPr>
          <w:lang w:val="en-US"/>
        </w:rPr>
        <w:t>therefor</w:t>
      </w:r>
      <w:r w:rsidR="00BA7B66">
        <w:rPr>
          <w:lang w:val="en-US"/>
        </w:rPr>
        <w:t>e,</w:t>
      </w:r>
      <w:r>
        <w:rPr>
          <w:lang w:val="en-US"/>
        </w:rPr>
        <w:t xml:space="preserve"> </w:t>
      </w:r>
      <w:r w:rsidR="00FF03A7" w:rsidRPr="009716A7">
        <w:rPr>
          <w:lang w:val="en-US"/>
        </w:rPr>
        <w:t>the</w:t>
      </w:r>
      <w:r w:rsidR="00FF03A7">
        <w:rPr>
          <w:lang w:val="en-US"/>
        </w:rPr>
        <w:t>re should be a gap between the</w:t>
      </w:r>
      <w:r w:rsidR="00FF03A7" w:rsidRPr="009716A7">
        <w:rPr>
          <w:lang w:val="en-US"/>
        </w:rPr>
        <w:t xml:space="preserve"> first and second readings of a document</w:t>
      </w:r>
      <w:r w:rsidR="00FF03A7">
        <w:rPr>
          <w:lang w:val="en-US"/>
        </w:rPr>
        <w:t>,</w:t>
      </w:r>
      <w:r w:rsidR="00FF03A7" w:rsidRPr="009716A7">
        <w:rPr>
          <w:lang w:val="en-US"/>
        </w:rPr>
        <w:t xml:space="preserve"> unless there was no time to defer the second reading and</w:t>
      </w:r>
      <w:r w:rsidR="00FF03A7">
        <w:rPr>
          <w:lang w:val="en-US"/>
        </w:rPr>
        <w:t xml:space="preserve"> the</w:t>
      </w:r>
      <w:r w:rsidR="00FF03A7" w:rsidRPr="009716A7">
        <w:rPr>
          <w:lang w:val="en-US"/>
        </w:rPr>
        <w:t xml:space="preserve"> </w:t>
      </w:r>
      <w:r w:rsidR="00FF03A7">
        <w:rPr>
          <w:lang w:val="en-US"/>
        </w:rPr>
        <w:t xml:space="preserve">proposed </w:t>
      </w:r>
      <w:r w:rsidR="00FF03A7" w:rsidRPr="009716A7">
        <w:rPr>
          <w:lang w:val="en-US"/>
        </w:rPr>
        <w:t>changes</w:t>
      </w:r>
      <w:r w:rsidR="00FF03A7">
        <w:rPr>
          <w:lang w:val="en-US"/>
        </w:rPr>
        <w:t xml:space="preserve"> were </w:t>
      </w:r>
      <w:r w:rsidR="00FF03A7" w:rsidRPr="009716A7">
        <w:rPr>
          <w:lang w:val="en-US"/>
        </w:rPr>
        <w:t xml:space="preserve">minor. </w:t>
      </w:r>
    </w:p>
    <w:p w14:paraId="35BDDAEF" w14:textId="4F8D5C70" w:rsidR="00FF03A7" w:rsidRPr="00B82F2A" w:rsidRDefault="00B25CB0" w:rsidP="002321A6">
      <w:pPr>
        <w:rPr>
          <w:lang w:val="en-US"/>
        </w:rPr>
      </w:pPr>
      <w:r>
        <w:rPr>
          <w:lang w:val="en-US"/>
        </w:rPr>
        <w:t>7.6</w:t>
      </w:r>
      <w:r>
        <w:rPr>
          <w:lang w:val="en-US"/>
        </w:rPr>
        <w:tab/>
      </w:r>
      <w:r w:rsidR="00FF03A7" w:rsidRPr="00B82F2A">
        <w:rPr>
          <w:lang w:val="en-US"/>
        </w:rPr>
        <w:t xml:space="preserve">The </w:t>
      </w:r>
      <w:r w:rsidR="00FF03A7" w:rsidRPr="00B82F2A">
        <w:rPr>
          <w:b/>
          <w:bCs/>
          <w:lang w:val="en-US"/>
        </w:rPr>
        <w:t>Chairman</w:t>
      </w:r>
      <w:r w:rsidR="00FF03A7" w:rsidRPr="00B82F2A">
        <w:rPr>
          <w:lang w:val="en-US"/>
        </w:rPr>
        <w:t xml:space="preserve"> </w:t>
      </w:r>
      <w:r w:rsidR="00FF03A7">
        <w:rPr>
          <w:lang w:val="en-US"/>
        </w:rPr>
        <w:t xml:space="preserve">said that such an approach could pose difficulties towards the end of the conference, given the large volume of documents submitted to </w:t>
      </w:r>
      <w:r>
        <w:rPr>
          <w:lang w:val="en-US"/>
        </w:rPr>
        <w:t xml:space="preserve">the </w:t>
      </w:r>
      <w:r w:rsidR="00AD4135">
        <w:rPr>
          <w:lang w:val="en-US"/>
        </w:rPr>
        <w:t>P</w:t>
      </w:r>
      <w:r w:rsidR="00FF03A7">
        <w:rPr>
          <w:lang w:val="en-US"/>
        </w:rPr>
        <w:t>lenary. Although the second reading could be postponed</w:t>
      </w:r>
      <w:r w:rsidR="00FF03A7" w:rsidRPr="0084202A">
        <w:rPr>
          <w:lang w:val="en-US"/>
        </w:rPr>
        <w:t xml:space="preserve"> </w:t>
      </w:r>
      <w:r w:rsidR="00FF03A7">
        <w:rPr>
          <w:lang w:val="en-US"/>
        </w:rPr>
        <w:t xml:space="preserve">in the specific case of Document 223, it would be impractical automatically to do so. For future plenaries, in order to ensure that all items were considered in a timely manner, the second reading of a document could be deferred on request. </w:t>
      </w:r>
      <w:r w:rsidR="00FF03A7" w:rsidRPr="00B82F2A">
        <w:rPr>
          <w:lang w:val="en-US"/>
        </w:rPr>
        <w:t xml:space="preserve">He took it that the </w:t>
      </w:r>
      <w:r w:rsidR="00FF03A7">
        <w:rPr>
          <w:lang w:val="en-US"/>
        </w:rPr>
        <w:t>P</w:t>
      </w:r>
      <w:r w:rsidR="00FF03A7" w:rsidRPr="00B82F2A">
        <w:rPr>
          <w:lang w:val="en-US"/>
        </w:rPr>
        <w:t xml:space="preserve">lenary </w:t>
      </w:r>
      <w:r w:rsidR="00FF03A7">
        <w:rPr>
          <w:lang w:val="en-US"/>
        </w:rPr>
        <w:t>agreed</w:t>
      </w:r>
      <w:r w:rsidR="00FF03A7" w:rsidRPr="00B82F2A">
        <w:rPr>
          <w:lang w:val="en-US"/>
        </w:rPr>
        <w:t xml:space="preserve"> to defer the second reading of Document 223 </w:t>
      </w:r>
      <w:r>
        <w:rPr>
          <w:lang w:val="en-US"/>
        </w:rPr>
        <w:t xml:space="preserve">to a subsequent </w:t>
      </w:r>
      <w:r w:rsidR="00FF03A7" w:rsidRPr="00B82F2A">
        <w:rPr>
          <w:lang w:val="en-US"/>
        </w:rPr>
        <w:t xml:space="preserve">plenary </w:t>
      </w:r>
      <w:r w:rsidR="00FF03A7">
        <w:rPr>
          <w:lang w:val="en-US"/>
        </w:rPr>
        <w:t>meeting</w:t>
      </w:r>
      <w:r w:rsidR="00FF03A7" w:rsidRPr="00B82F2A">
        <w:rPr>
          <w:lang w:val="en-US"/>
        </w:rPr>
        <w:t>.</w:t>
      </w:r>
    </w:p>
    <w:p w14:paraId="4F84C6A2" w14:textId="1C9B5C8F" w:rsidR="00FF03A7" w:rsidRPr="00B82F2A" w:rsidRDefault="00B25CB0" w:rsidP="002321A6">
      <w:pPr>
        <w:rPr>
          <w:lang w:val="en-US"/>
        </w:rPr>
      </w:pPr>
      <w:r>
        <w:rPr>
          <w:lang w:val="en-US"/>
        </w:rPr>
        <w:t>7.7</w:t>
      </w:r>
      <w:r>
        <w:rPr>
          <w:lang w:val="en-US"/>
        </w:rPr>
        <w:tab/>
      </w:r>
      <w:r w:rsidR="00FF03A7" w:rsidRPr="00B82F2A">
        <w:rPr>
          <w:lang w:val="en-US"/>
        </w:rPr>
        <w:t>It was so</w:t>
      </w:r>
      <w:r w:rsidR="00FF03A7" w:rsidRPr="00B82F2A">
        <w:rPr>
          <w:b/>
          <w:bCs/>
          <w:lang w:val="en-US"/>
        </w:rPr>
        <w:t xml:space="preserve"> agreed</w:t>
      </w:r>
      <w:r w:rsidR="00FF03A7" w:rsidRPr="00B82F2A">
        <w:rPr>
          <w:lang w:val="en-US"/>
        </w:rPr>
        <w:t>.</w:t>
      </w:r>
    </w:p>
    <w:p w14:paraId="2C07B47F" w14:textId="547B7E54" w:rsidR="00FF03A7" w:rsidRPr="00B82F2A" w:rsidRDefault="00B25CB0" w:rsidP="002321A6">
      <w:pPr>
        <w:pStyle w:val="Heading1"/>
        <w:rPr>
          <w:lang w:val="en-US"/>
        </w:rPr>
      </w:pPr>
      <w:r>
        <w:rPr>
          <w:lang w:val="en-US"/>
        </w:rPr>
        <w:t>8</w:t>
      </w:r>
      <w:r>
        <w:rPr>
          <w:lang w:val="en-US"/>
        </w:rPr>
        <w:tab/>
      </w:r>
      <w:r w:rsidR="00FF03A7" w:rsidRPr="00B82F2A">
        <w:rPr>
          <w:lang w:val="en-US"/>
        </w:rPr>
        <w:t>Proposals for the work of the conference</w:t>
      </w:r>
      <w:r w:rsidR="00FF03A7">
        <w:rPr>
          <w:lang w:val="en-US"/>
        </w:rPr>
        <w:t xml:space="preserve"> (Document 184(Rev.1))</w:t>
      </w:r>
    </w:p>
    <w:p w14:paraId="3EA43F4F" w14:textId="4455DEA6" w:rsidR="00FF03A7" w:rsidRPr="00B82F2A" w:rsidRDefault="00B25CB0" w:rsidP="002321A6">
      <w:pPr>
        <w:rPr>
          <w:lang w:val="en-US"/>
        </w:rPr>
      </w:pPr>
      <w:r>
        <w:rPr>
          <w:lang w:val="en-US"/>
        </w:rPr>
        <w:t>8.1</w:t>
      </w:r>
      <w:r>
        <w:rPr>
          <w:lang w:val="en-US"/>
        </w:rPr>
        <w:tab/>
      </w:r>
      <w:r w:rsidR="00FF03A7" w:rsidRPr="00B82F2A">
        <w:rPr>
          <w:lang w:val="en-US"/>
        </w:rPr>
        <w:t xml:space="preserve">The </w:t>
      </w:r>
      <w:r w:rsidR="00FF03A7" w:rsidRPr="00B82F2A">
        <w:rPr>
          <w:b/>
          <w:bCs/>
          <w:lang w:val="en-US"/>
        </w:rPr>
        <w:t>delegate of Brazil</w:t>
      </w:r>
      <w:r w:rsidR="00FF03A7" w:rsidRPr="00B82F2A">
        <w:rPr>
          <w:lang w:val="en-US"/>
        </w:rPr>
        <w:t xml:space="preserve">, </w:t>
      </w:r>
      <w:r w:rsidR="00FF03A7">
        <w:rPr>
          <w:lang w:val="en-US"/>
        </w:rPr>
        <w:t xml:space="preserve">speaking </w:t>
      </w:r>
      <w:r w:rsidR="00FF03A7" w:rsidRPr="00B82F2A">
        <w:rPr>
          <w:lang w:val="en-US"/>
        </w:rPr>
        <w:t xml:space="preserve">on behalf of </w:t>
      </w:r>
      <w:r w:rsidR="00AD4135">
        <w:rPr>
          <w:lang w:val="en-US"/>
        </w:rPr>
        <w:t xml:space="preserve">all the co-signatory countries of the proposal, </w:t>
      </w:r>
      <w:r>
        <w:rPr>
          <w:lang w:val="en-US"/>
        </w:rPr>
        <w:t>introduced</w:t>
      </w:r>
      <w:r w:rsidR="00FF03A7" w:rsidRPr="00B82F2A">
        <w:rPr>
          <w:lang w:val="en-US"/>
        </w:rPr>
        <w:t xml:space="preserve"> Document </w:t>
      </w:r>
      <w:r w:rsidR="00FF03A7">
        <w:rPr>
          <w:lang w:val="en-US"/>
        </w:rPr>
        <w:t xml:space="preserve">184(Rev.1), which contained a declaration on promoting gender equality, equity and parity in the ITU Radiocommunication Sector. </w:t>
      </w:r>
      <w:r w:rsidR="00FF03A7" w:rsidRPr="008416E6">
        <w:rPr>
          <w:lang w:val="en-US"/>
        </w:rPr>
        <w:t>Radiocommunication play</w:t>
      </w:r>
      <w:r w:rsidR="00FF03A7">
        <w:rPr>
          <w:lang w:val="en-US"/>
        </w:rPr>
        <w:t>ed</w:t>
      </w:r>
      <w:r w:rsidR="00FF03A7" w:rsidRPr="008416E6">
        <w:rPr>
          <w:lang w:val="en-US"/>
        </w:rPr>
        <w:t xml:space="preserve"> an important role in globalization and </w:t>
      </w:r>
      <w:r w:rsidR="00FF03A7">
        <w:rPr>
          <w:lang w:val="en-US"/>
        </w:rPr>
        <w:t xml:space="preserve">the </w:t>
      </w:r>
      <w:r w:rsidR="00FF03A7" w:rsidRPr="008416E6">
        <w:rPr>
          <w:lang w:val="en-US"/>
        </w:rPr>
        <w:t xml:space="preserve">effective development of </w:t>
      </w:r>
      <w:r>
        <w:rPr>
          <w:lang w:val="en-US"/>
        </w:rPr>
        <w:t>ICTs</w:t>
      </w:r>
      <w:r w:rsidR="00FF03A7">
        <w:rPr>
          <w:lang w:val="en-US"/>
        </w:rPr>
        <w:t>. Unfortunately,</w:t>
      </w:r>
      <w:r w:rsidR="00FF03A7" w:rsidRPr="008416E6">
        <w:rPr>
          <w:lang w:val="en-US"/>
        </w:rPr>
        <w:t xml:space="preserve"> </w:t>
      </w:r>
      <w:r w:rsidR="00FF03A7">
        <w:rPr>
          <w:lang w:val="en-US"/>
        </w:rPr>
        <w:t>women’s</w:t>
      </w:r>
      <w:r w:rsidR="00FF03A7" w:rsidRPr="008416E6">
        <w:rPr>
          <w:lang w:val="en-US"/>
        </w:rPr>
        <w:t xml:space="preserve"> </w:t>
      </w:r>
      <w:r w:rsidR="00FF03A7" w:rsidRPr="007B13B7">
        <w:rPr>
          <w:lang w:val="en-US"/>
        </w:rPr>
        <w:t xml:space="preserve">participation in </w:t>
      </w:r>
      <w:r>
        <w:rPr>
          <w:lang w:val="en-US"/>
        </w:rPr>
        <w:t xml:space="preserve">the </w:t>
      </w:r>
      <w:r w:rsidR="00AD4135">
        <w:rPr>
          <w:lang w:val="en-US"/>
        </w:rPr>
        <w:t>S</w:t>
      </w:r>
      <w:r w:rsidR="00FF03A7" w:rsidRPr="007B13B7">
        <w:rPr>
          <w:lang w:val="en-US"/>
        </w:rPr>
        <w:t>ector</w:t>
      </w:r>
      <w:r>
        <w:rPr>
          <w:lang w:val="en-US"/>
        </w:rPr>
        <w:t>’s</w:t>
      </w:r>
      <w:r w:rsidR="00FF03A7" w:rsidRPr="007B13B7">
        <w:rPr>
          <w:lang w:val="en-US"/>
        </w:rPr>
        <w:t xml:space="preserve"> activities was very low; only 18</w:t>
      </w:r>
      <w:r w:rsidR="00FF03A7">
        <w:rPr>
          <w:lang w:val="en-US"/>
        </w:rPr>
        <w:t xml:space="preserve"> per cent</w:t>
      </w:r>
      <w:r w:rsidR="00FF03A7" w:rsidRPr="007B13B7">
        <w:rPr>
          <w:lang w:val="en-US"/>
        </w:rPr>
        <w:t xml:space="preserve"> of delegates at WRC-19 were women. While progress had been made to promote gender equality, including through the Network of Women, launched in 2016, and </w:t>
      </w:r>
      <w:r w:rsidR="00FF03A7">
        <w:rPr>
          <w:lang w:val="en-US"/>
        </w:rPr>
        <w:t xml:space="preserve">through </w:t>
      </w:r>
      <w:r w:rsidR="00FF03A7" w:rsidRPr="007B13B7">
        <w:rPr>
          <w:lang w:val="en-US"/>
        </w:rPr>
        <w:t xml:space="preserve">policies </w:t>
      </w:r>
      <w:r w:rsidR="00FF03A7">
        <w:rPr>
          <w:lang w:val="en-US"/>
        </w:rPr>
        <w:t xml:space="preserve">adopted by </w:t>
      </w:r>
      <w:r w:rsidR="00FF03A7" w:rsidRPr="008416E6">
        <w:rPr>
          <w:lang w:val="en-US"/>
        </w:rPr>
        <w:t>ITU and the United Nations</w:t>
      </w:r>
      <w:r w:rsidR="00FF03A7">
        <w:rPr>
          <w:lang w:val="en-US"/>
        </w:rPr>
        <w:t>, further efforts were required</w:t>
      </w:r>
      <w:r w:rsidR="00FF03A7" w:rsidRPr="008416E6">
        <w:rPr>
          <w:lang w:val="en-US"/>
        </w:rPr>
        <w:t xml:space="preserve">. </w:t>
      </w:r>
      <w:r w:rsidR="00FF03A7">
        <w:rPr>
          <w:lang w:val="en-US"/>
        </w:rPr>
        <w:t>In that context, the proposed declaration called on ITU to take steps to promote the participation of women in all aspects of ITU-R activities and their representation in leadership positions.</w:t>
      </w:r>
    </w:p>
    <w:p w14:paraId="3E1D8501" w14:textId="78667109" w:rsidR="00FF03A7" w:rsidRPr="00B82F2A" w:rsidRDefault="00B25CB0" w:rsidP="002321A6">
      <w:pPr>
        <w:rPr>
          <w:lang w:val="en-US"/>
        </w:rPr>
      </w:pPr>
      <w:r>
        <w:rPr>
          <w:lang w:val="en-US"/>
        </w:rPr>
        <w:t>8.2</w:t>
      </w:r>
      <w:r>
        <w:rPr>
          <w:lang w:val="en-US"/>
        </w:rPr>
        <w:tab/>
      </w:r>
      <w:r w:rsidR="00FF03A7" w:rsidRPr="00B82F2A">
        <w:rPr>
          <w:lang w:val="en-US"/>
        </w:rPr>
        <w:t xml:space="preserve">The </w:t>
      </w:r>
      <w:r w:rsidR="00FF03A7" w:rsidRPr="009C7731">
        <w:rPr>
          <w:b/>
          <w:bCs/>
          <w:lang w:val="en-US"/>
        </w:rPr>
        <w:t>delegate of the Republic</w:t>
      </w:r>
      <w:r w:rsidR="00FF03A7" w:rsidRPr="00B82F2A">
        <w:rPr>
          <w:b/>
          <w:bCs/>
          <w:lang w:val="en-US"/>
        </w:rPr>
        <w:t xml:space="preserve"> of Korea</w:t>
      </w:r>
      <w:r w:rsidR="00FF03A7" w:rsidRPr="00B82F2A">
        <w:rPr>
          <w:lang w:val="en-US"/>
        </w:rPr>
        <w:t xml:space="preserve"> expressed full support for the declaration</w:t>
      </w:r>
      <w:r w:rsidR="00FF03A7">
        <w:rPr>
          <w:lang w:val="en-US"/>
        </w:rPr>
        <w:t>.</w:t>
      </w:r>
      <w:r w:rsidR="00FF03A7" w:rsidRPr="00B82F2A">
        <w:rPr>
          <w:lang w:val="en-US"/>
        </w:rPr>
        <w:t xml:space="preserve"> </w:t>
      </w:r>
      <w:r w:rsidR="00FF03A7">
        <w:rPr>
          <w:lang w:val="en-US"/>
        </w:rPr>
        <w:t xml:space="preserve">She suggested that the use of fewer </w:t>
      </w:r>
      <w:r>
        <w:rPr>
          <w:lang w:val="en-US"/>
        </w:rPr>
        <w:t xml:space="preserve">unexplained </w:t>
      </w:r>
      <w:r w:rsidR="00FF03A7">
        <w:rPr>
          <w:lang w:val="en-US"/>
        </w:rPr>
        <w:t>acronyms would make the document easier to read.</w:t>
      </w:r>
    </w:p>
    <w:p w14:paraId="3AEE25F6" w14:textId="64CECEE6" w:rsidR="00FF03A7" w:rsidRPr="007B13B7" w:rsidRDefault="00B25CB0" w:rsidP="002321A6">
      <w:pPr>
        <w:rPr>
          <w:lang w:val="en-US"/>
        </w:rPr>
      </w:pPr>
      <w:r>
        <w:rPr>
          <w:lang w:val="en-US"/>
        </w:rPr>
        <w:t>8.</w:t>
      </w:r>
      <w:r w:rsidR="00AD4135">
        <w:rPr>
          <w:lang w:val="en-US"/>
        </w:rPr>
        <w:t>3</w:t>
      </w:r>
      <w:r>
        <w:rPr>
          <w:lang w:val="en-US"/>
        </w:rPr>
        <w:tab/>
      </w:r>
      <w:r w:rsidR="00FF03A7" w:rsidRPr="007B13B7">
        <w:rPr>
          <w:lang w:val="en-US"/>
        </w:rPr>
        <w:t xml:space="preserve">The </w:t>
      </w:r>
      <w:r w:rsidR="00FF03A7" w:rsidRPr="007B13B7">
        <w:rPr>
          <w:b/>
          <w:bCs/>
          <w:lang w:val="en-US"/>
        </w:rPr>
        <w:t>Chairman</w:t>
      </w:r>
      <w:r w:rsidR="00FF03A7" w:rsidRPr="007B13B7">
        <w:rPr>
          <w:lang w:val="en-US"/>
        </w:rPr>
        <w:t xml:space="preserve"> proposed t</w:t>
      </w:r>
      <w:r w:rsidR="00FF03A7">
        <w:rPr>
          <w:lang w:val="en-US"/>
        </w:rPr>
        <w:t>h</w:t>
      </w:r>
      <w:r>
        <w:rPr>
          <w:lang w:val="en-US"/>
        </w:rPr>
        <w:t xml:space="preserve">at </w:t>
      </w:r>
      <w:r w:rsidR="00FF03A7" w:rsidRPr="007B13B7">
        <w:rPr>
          <w:lang w:val="en-US"/>
        </w:rPr>
        <w:t xml:space="preserve">an ad hoc group of the </w:t>
      </w:r>
      <w:r w:rsidR="00FF03A7">
        <w:rPr>
          <w:lang w:val="en-US"/>
        </w:rPr>
        <w:t>P</w:t>
      </w:r>
      <w:r w:rsidR="00FF03A7" w:rsidRPr="007B13B7">
        <w:rPr>
          <w:lang w:val="en-US"/>
        </w:rPr>
        <w:t xml:space="preserve">lenary </w:t>
      </w:r>
      <w:r>
        <w:rPr>
          <w:lang w:val="en-US"/>
        </w:rPr>
        <w:t xml:space="preserve">be established to </w:t>
      </w:r>
      <w:r w:rsidR="00FF03A7">
        <w:rPr>
          <w:lang w:val="en-US"/>
        </w:rPr>
        <w:t>draft</w:t>
      </w:r>
      <w:r w:rsidR="00FF03A7" w:rsidRPr="007B13B7">
        <w:rPr>
          <w:lang w:val="en-US"/>
        </w:rPr>
        <w:t xml:space="preserve"> a </w:t>
      </w:r>
      <w:r>
        <w:rPr>
          <w:lang w:val="en-US"/>
        </w:rPr>
        <w:t>text for subsequent approval by the Plenary as an output of the conference</w:t>
      </w:r>
      <w:r w:rsidR="00FF03A7" w:rsidRPr="007B13B7">
        <w:rPr>
          <w:lang w:val="en-US"/>
        </w:rPr>
        <w:t xml:space="preserve">. </w:t>
      </w:r>
    </w:p>
    <w:p w14:paraId="5D3312C6" w14:textId="1822AC0D" w:rsidR="00FF03A7" w:rsidRPr="007B13B7" w:rsidRDefault="00364B10" w:rsidP="002321A6">
      <w:pPr>
        <w:rPr>
          <w:lang w:val="en-US"/>
        </w:rPr>
      </w:pPr>
      <w:r>
        <w:rPr>
          <w:lang w:val="en-US"/>
        </w:rPr>
        <w:t>8.</w:t>
      </w:r>
      <w:r w:rsidR="00AD4135">
        <w:rPr>
          <w:lang w:val="en-US"/>
        </w:rPr>
        <w:t>4</w:t>
      </w:r>
      <w:r>
        <w:rPr>
          <w:lang w:val="en-US"/>
        </w:rPr>
        <w:tab/>
        <w:t xml:space="preserve">It was so </w:t>
      </w:r>
      <w:r>
        <w:rPr>
          <w:b/>
          <w:bCs/>
          <w:lang w:val="en-US"/>
        </w:rPr>
        <w:t>agreed</w:t>
      </w:r>
      <w:r w:rsidR="00FF03A7" w:rsidRPr="007B13B7">
        <w:rPr>
          <w:lang w:val="en-US"/>
        </w:rPr>
        <w:t>.</w:t>
      </w:r>
    </w:p>
    <w:p w14:paraId="0B642FEB" w14:textId="1DF78D4D" w:rsidR="00FF03A7" w:rsidRPr="00B82F2A" w:rsidRDefault="00364B10" w:rsidP="002321A6">
      <w:pPr>
        <w:rPr>
          <w:lang w:val="en-US"/>
        </w:rPr>
      </w:pPr>
      <w:r>
        <w:rPr>
          <w:lang w:val="en-US"/>
        </w:rPr>
        <w:t>8.</w:t>
      </w:r>
      <w:r w:rsidR="00AD4135">
        <w:rPr>
          <w:lang w:val="en-US"/>
        </w:rPr>
        <w:t>5</w:t>
      </w:r>
      <w:r>
        <w:rPr>
          <w:lang w:val="en-US"/>
        </w:rPr>
        <w:tab/>
      </w:r>
      <w:r w:rsidR="00FF03A7">
        <w:rPr>
          <w:lang w:val="en-US"/>
        </w:rPr>
        <w:t xml:space="preserve">The </w:t>
      </w:r>
      <w:r w:rsidR="00FF03A7" w:rsidRPr="00A51C6F">
        <w:rPr>
          <w:b/>
          <w:bCs/>
          <w:lang w:val="en-US"/>
        </w:rPr>
        <w:t>Chairman</w:t>
      </w:r>
      <w:r w:rsidR="00FF03A7">
        <w:rPr>
          <w:lang w:val="en-US"/>
        </w:rPr>
        <w:t xml:space="preserve"> invited delegations that were co-signatories of Document 184(Rev.1) to</w:t>
      </w:r>
      <w:r w:rsidR="00FF03A7" w:rsidRPr="00B82F2A">
        <w:rPr>
          <w:lang w:val="en-US"/>
        </w:rPr>
        <w:t xml:space="preserve"> nominate </w:t>
      </w:r>
      <w:r w:rsidR="00AD4135">
        <w:rPr>
          <w:lang w:val="en-US"/>
        </w:rPr>
        <w:t>a</w:t>
      </w:r>
      <w:r w:rsidR="00FF03A7">
        <w:rPr>
          <w:lang w:val="en-US"/>
        </w:rPr>
        <w:t xml:space="preserve"> </w:t>
      </w:r>
      <w:r w:rsidR="00FF03A7" w:rsidRPr="00B82F2A">
        <w:rPr>
          <w:lang w:val="en-US"/>
        </w:rPr>
        <w:t>chairm</w:t>
      </w:r>
      <w:r w:rsidR="00FF03A7">
        <w:rPr>
          <w:lang w:val="en-US"/>
        </w:rPr>
        <w:t>a</w:t>
      </w:r>
      <w:r w:rsidR="00FF03A7" w:rsidRPr="00B82F2A">
        <w:rPr>
          <w:lang w:val="en-US"/>
        </w:rPr>
        <w:t xml:space="preserve">n </w:t>
      </w:r>
      <w:r w:rsidR="00AD4135">
        <w:rPr>
          <w:lang w:val="en-US"/>
        </w:rPr>
        <w:t xml:space="preserve">for </w:t>
      </w:r>
      <w:r w:rsidR="00FF03A7" w:rsidRPr="00B82F2A">
        <w:rPr>
          <w:lang w:val="en-US"/>
        </w:rPr>
        <w:t xml:space="preserve">the </w:t>
      </w:r>
      <w:r w:rsidR="00FF03A7">
        <w:rPr>
          <w:lang w:val="en-US"/>
        </w:rPr>
        <w:t xml:space="preserve">newly established </w:t>
      </w:r>
      <w:r w:rsidR="00FF03A7" w:rsidRPr="00B82F2A">
        <w:rPr>
          <w:lang w:val="en-US"/>
        </w:rPr>
        <w:t>ad</w:t>
      </w:r>
      <w:r w:rsidR="001536B3">
        <w:rPr>
          <w:lang w:val="en-US"/>
        </w:rPr>
        <w:t>-</w:t>
      </w:r>
      <w:r w:rsidR="00FF03A7" w:rsidRPr="00B82F2A">
        <w:rPr>
          <w:lang w:val="en-US"/>
        </w:rPr>
        <w:t>hoc group.</w:t>
      </w:r>
    </w:p>
    <w:p w14:paraId="1D8EF2C3" w14:textId="0CE083E1" w:rsidR="00FF03A7" w:rsidRPr="00B82F2A" w:rsidRDefault="00364B10" w:rsidP="002321A6">
      <w:pPr>
        <w:rPr>
          <w:lang w:val="en-US"/>
        </w:rPr>
      </w:pPr>
      <w:r>
        <w:rPr>
          <w:lang w:val="en-US"/>
        </w:rPr>
        <w:t>8.</w:t>
      </w:r>
      <w:r w:rsidR="00AD4135">
        <w:rPr>
          <w:lang w:val="en-US"/>
        </w:rPr>
        <w:t>6</w:t>
      </w:r>
      <w:r>
        <w:rPr>
          <w:lang w:val="en-US"/>
        </w:rPr>
        <w:tab/>
      </w:r>
      <w:r w:rsidR="00FF03A7" w:rsidRPr="00B82F2A">
        <w:rPr>
          <w:lang w:val="en-US"/>
        </w:rPr>
        <w:t xml:space="preserve">The </w:t>
      </w:r>
      <w:r w:rsidR="00FF03A7" w:rsidRPr="00B82F2A">
        <w:rPr>
          <w:b/>
          <w:bCs/>
          <w:lang w:val="en-US"/>
        </w:rPr>
        <w:t>delegate of Canada</w:t>
      </w:r>
      <w:r w:rsidR="00FF03A7" w:rsidRPr="00B82F2A">
        <w:rPr>
          <w:lang w:val="en-US"/>
        </w:rPr>
        <w:t xml:space="preserve"> </w:t>
      </w:r>
      <w:r>
        <w:rPr>
          <w:lang w:val="en-US"/>
        </w:rPr>
        <w:t xml:space="preserve">proposed that Ms Cindy Cook (Canada) serve as chairman </w:t>
      </w:r>
      <w:r w:rsidR="00FF03A7" w:rsidRPr="00B82F2A">
        <w:rPr>
          <w:lang w:val="en-US"/>
        </w:rPr>
        <w:t xml:space="preserve">of the </w:t>
      </w:r>
      <w:r w:rsidR="00AD4135">
        <w:rPr>
          <w:lang w:val="en-US"/>
        </w:rPr>
        <w:t xml:space="preserve">new </w:t>
      </w:r>
      <w:r w:rsidR="00FF03A7" w:rsidRPr="00B82F2A">
        <w:rPr>
          <w:lang w:val="en-US"/>
        </w:rPr>
        <w:t>ad</w:t>
      </w:r>
      <w:r w:rsidR="001536B3">
        <w:rPr>
          <w:lang w:val="en-US"/>
        </w:rPr>
        <w:t>-</w:t>
      </w:r>
      <w:r w:rsidR="00FF03A7" w:rsidRPr="00B82F2A">
        <w:rPr>
          <w:lang w:val="en-US"/>
        </w:rPr>
        <w:t>hoc group</w:t>
      </w:r>
      <w:r w:rsidR="00BA7B66">
        <w:rPr>
          <w:lang w:val="en-US"/>
        </w:rPr>
        <w:t xml:space="preserve"> of the Plenary.</w:t>
      </w:r>
      <w:r w:rsidR="00FF03A7" w:rsidRPr="00B82F2A">
        <w:rPr>
          <w:lang w:val="en-US"/>
        </w:rPr>
        <w:t xml:space="preserve"> </w:t>
      </w:r>
    </w:p>
    <w:p w14:paraId="7DB4D96E" w14:textId="76EA40BD" w:rsidR="00FF03A7" w:rsidRPr="00364B10" w:rsidRDefault="00364B10" w:rsidP="002321A6">
      <w:pPr>
        <w:rPr>
          <w:lang w:val="en-US"/>
        </w:rPr>
      </w:pPr>
      <w:r>
        <w:rPr>
          <w:lang w:val="en-US"/>
        </w:rPr>
        <w:t>8.</w:t>
      </w:r>
      <w:r w:rsidR="00AD4135">
        <w:rPr>
          <w:lang w:val="en-US"/>
        </w:rPr>
        <w:t>7</w:t>
      </w:r>
      <w:r>
        <w:rPr>
          <w:lang w:val="en-US"/>
        </w:rPr>
        <w:tab/>
        <w:t xml:space="preserve">The proposal was </w:t>
      </w:r>
      <w:r>
        <w:rPr>
          <w:b/>
          <w:bCs/>
          <w:lang w:val="en-US"/>
        </w:rPr>
        <w:t xml:space="preserve">adopted </w:t>
      </w:r>
      <w:r>
        <w:rPr>
          <w:lang w:val="en-US"/>
        </w:rPr>
        <w:t xml:space="preserve">by </w:t>
      </w:r>
      <w:r w:rsidR="00BA7B66">
        <w:rPr>
          <w:lang w:val="en-US"/>
        </w:rPr>
        <w:t>ac</w:t>
      </w:r>
      <w:r>
        <w:rPr>
          <w:lang w:val="en-US"/>
        </w:rPr>
        <w:t>clamation.</w:t>
      </w:r>
    </w:p>
    <w:p w14:paraId="74D7593E" w14:textId="0F0AE942" w:rsidR="00FF03A7" w:rsidRPr="00B82F2A" w:rsidRDefault="00364B10" w:rsidP="002321A6">
      <w:pPr>
        <w:pStyle w:val="Heading1"/>
        <w:rPr>
          <w:lang w:val="en-US"/>
        </w:rPr>
      </w:pPr>
      <w:r>
        <w:rPr>
          <w:lang w:val="en-US"/>
        </w:rPr>
        <w:t>9</w:t>
      </w:r>
      <w:r>
        <w:rPr>
          <w:lang w:val="en-US"/>
        </w:rPr>
        <w:tab/>
        <w:t xml:space="preserve">Statement </w:t>
      </w:r>
      <w:r w:rsidR="00FF03A7" w:rsidRPr="00B82F2A">
        <w:rPr>
          <w:lang w:val="en-US"/>
        </w:rPr>
        <w:t>by Mr N</w:t>
      </w:r>
      <w:r w:rsidR="00FF03A7">
        <w:rPr>
          <w:lang w:val="en-US"/>
        </w:rPr>
        <w:t>iklas</w:t>
      </w:r>
      <w:r w:rsidR="00FF03A7" w:rsidRPr="00B82F2A">
        <w:rPr>
          <w:lang w:val="en-US"/>
        </w:rPr>
        <w:t xml:space="preserve"> Hedman, </w:t>
      </w:r>
      <w:r w:rsidR="00FF03A7">
        <w:rPr>
          <w:lang w:val="en-US"/>
        </w:rPr>
        <w:t xml:space="preserve">United Nations Office </w:t>
      </w:r>
      <w:r w:rsidR="00041A11">
        <w:rPr>
          <w:lang w:val="en-US"/>
        </w:rPr>
        <w:t>for</w:t>
      </w:r>
      <w:r w:rsidR="00FF03A7">
        <w:rPr>
          <w:lang w:val="en-US"/>
        </w:rPr>
        <w:t xml:space="preserve"> Outer Space Affairs (UNOOSA)</w:t>
      </w:r>
    </w:p>
    <w:p w14:paraId="0487A4C0" w14:textId="22D5AC86" w:rsidR="00FF03A7" w:rsidRPr="007B13B7" w:rsidRDefault="00364B10" w:rsidP="009F6C48">
      <w:pPr>
        <w:rPr>
          <w:lang w:val="en-US"/>
        </w:rPr>
      </w:pPr>
      <w:r>
        <w:rPr>
          <w:lang w:val="en-US"/>
        </w:rPr>
        <w:t>9.1</w:t>
      </w:r>
      <w:r>
        <w:rPr>
          <w:lang w:val="en-US"/>
        </w:rPr>
        <w:tab/>
      </w:r>
      <w:r w:rsidR="00FF03A7" w:rsidRPr="009F6C48">
        <w:rPr>
          <w:b/>
          <w:bCs/>
          <w:lang w:val="en-US"/>
        </w:rPr>
        <w:t>Mr Hedman</w:t>
      </w:r>
      <w:r w:rsidR="00AD4135" w:rsidRPr="009F6C48">
        <w:rPr>
          <w:b/>
          <w:bCs/>
          <w:lang w:val="en-US"/>
        </w:rPr>
        <w:t>, Chief of the Committee, Policy and Legal Affairs Section of UNOOSA,</w:t>
      </w:r>
      <w:r w:rsidR="00AD4135">
        <w:rPr>
          <w:lang w:val="en-US"/>
        </w:rPr>
        <w:t xml:space="preserve"> </w:t>
      </w:r>
      <w:r>
        <w:rPr>
          <w:lang w:val="en-US"/>
        </w:rPr>
        <w:t xml:space="preserve">made the statement </w:t>
      </w:r>
      <w:r w:rsidR="00FF03A7" w:rsidRPr="007B13B7">
        <w:rPr>
          <w:lang w:val="en-US"/>
        </w:rPr>
        <w:t>reproduced in Annex A.</w:t>
      </w:r>
    </w:p>
    <w:p w14:paraId="62C80BBA" w14:textId="3EE1CAE7" w:rsidR="00FF03A7" w:rsidRPr="00B82F2A" w:rsidRDefault="00364B10" w:rsidP="009F6C48">
      <w:pPr>
        <w:rPr>
          <w:lang w:val="en-US"/>
        </w:rPr>
      </w:pPr>
      <w:r>
        <w:rPr>
          <w:lang w:val="en-US"/>
        </w:rPr>
        <w:t>9.2</w:t>
      </w:r>
      <w:r>
        <w:rPr>
          <w:lang w:val="en-US"/>
        </w:rPr>
        <w:tab/>
      </w:r>
      <w:r w:rsidR="00FF03A7" w:rsidRPr="00B82F2A">
        <w:rPr>
          <w:lang w:val="en-US"/>
        </w:rPr>
        <w:t xml:space="preserve">The </w:t>
      </w:r>
      <w:r w:rsidR="00FF03A7" w:rsidRPr="00B82F2A">
        <w:rPr>
          <w:b/>
          <w:bCs/>
          <w:lang w:val="en-US"/>
        </w:rPr>
        <w:t>Director of BR</w:t>
      </w:r>
      <w:r w:rsidR="00FF03A7" w:rsidRPr="00AD5116">
        <w:rPr>
          <w:lang w:val="en-US"/>
        </w:rPr>
        <w:t xml:space="preserve">, echoing </w:t>
      </w:r>
      <w:r w:rsidR="00AD4135">
        <w:rPr>
          <w:lang w:val="en-US"/>
        </w:rPr>
        <w:t xml:space="preserve">various of </w:t>
      </w:r>
      <w:r w:rsidR="00FF03A7" w:rsidRPr="00AD5116">
        <w:rPr>
          <w:lang w:val="en-US"/>
        </w:rPr>
        <w:t xml:space="preserve">the </w:t>
      </w:r>
      <w:r w:rsidR="00FF03A7">
        <w:rPr>
          <w:lang w:val="en-US"/>
        </w:rPr>
        <w:t>remarks made by</w:t>
      </w:r>
      <w:r w:rsidR="00FF03A7" w:rsidRPr="00AD5116">
        <w:rPr>
          <w:lang w:val="en-US"/>
        </w:rPr>
        <w:t xml:space="preserve"> Mr Hedman, welcomed the </w:t>
      </w:r>
      <w:r w:rsidR="00FF03A7" w:rsidRPr="00B82F2A">
        <w:rPr>
          <w:lang w:val="en-US"/>
        </w:rPr>
        <w:t>excellen</w:t>
      </w:r>
      <w:r w:rsidR="00FF03A7">
        <w:rPr>
          <w:lang w:val="en-US"/>
        </w:rPr>
        <w:t>t</w:t>
      </w:r>
      <w:r w:rsidR="00FF03A7" w:rsidRPr="00B82F2A">
        <w:rPr>
          <w:lang w:val="en-US"/>
        </w:rPr>
        <w:t xml:space="preserve"> cooperation between the Bureau and </w:t>
      </w:r>
      <w:r w:rsidR="00FF03A7">
        <w:rPr>
          <w:lang w:val="en-US"/>
        </w:rPr>
        <w:t>UNOOSA, which enabled the two</w:t>
      </w:r>
      <w:r w:rsidR="00FF03A7" w:rsidRPr="00B82F2A">
        <w:rPr>
          <w:lang w:val="en-US"/>
        </w:rPr>
        <w:t xml:space="preserve"> </w:t>
      </w:r>
      <w:r w:rsidR="00FF03A7">
        <w:rPr>
          <w:lang w:val="en-US"/>
        </w:rPr>
        <w:t>bodies</w:t>
      </w:r>
      <w:r w:rsidR="00FF03A7" w:rsidRPr="00B82F2A">
        <w:rPr>
          <w:lang w:val="en-US"/>
        </w:rPr>
        <w:t xml:space="preserve"> to </w:t>
      </w:r>
      <w:r w:rsidR="00FF03A7">
        <w:rPr>
          <w:lang w:val="en-US"/>
        </w:rPr>
        <w:t xml:space="preserve">provide </w:t>
      </w:r>
      <w:r w:rsidR="00FF03A7" w:rsidRPr="00B82F2A">
        <w:rPr>
          <w:lang w:val="en-US"/>
        </w:rPr>
        <w:t xml:space="preserve">effective support </w:t>
      </w:r>
      <w:r w:rsidR="00FF03A7">
        <w:rPr>
          <w:lang w:val="en-US"/>
        </w:rPr>
        <w:t xml:space="preserve">for </w:t>
      </w:r>
      <w:r w:rsidR="00FF03A7" w:rsidRPr="00B82F2A">
        <w:rPr>
          <w:lang w:val="en-US"/>
        </w:rPr>
        <w:t>Member State</w:t>
      </w:r>
      <w:r w:rsidR="00FF03A7">
        <w:rPr>
          <w:lang w:val="en-US"/>
        </w:rPr>
        <w:t xml:space="preserve"> effort</w:t>
      </w:r>
      <w:r w:rsidR="00FF03A7" w:rsidRPr="00B82F2A">
        <w:rPr>
          <w:lang w:val="en-US"/>
        </w:rPr>
        <w:t xml:space="preserve">s </w:t>
      </w:r>
      <w:r w:rsidR="00FF03A7">
        <w:rPr>
          <w:lang w:val="en-US"/>
        </w:rPr>
        <w:t>to access</w:t>
      </w:r>
      <w:r w:rsidR="00FF03A7" w:rsidRPr="00B82F2A">
        <w:rPr>
          <w:lang w:val="en-US"/>
        </w:rPr>
        <w:t xml:space="preserve"> space technology and resources. </w:t>
      </w:r>
      <w:r w:rsidR="00FF03A7">
        <w:rPr>
          <w:lang w:val="en-US"/>
        </w:rPr>
        <w:t xml:space="preserve">The Bureau and UNOOSA were committed to building capacity for all Member States, especially </w:t>
      </w:r>
      <w:r w:rsidR="00FF03A7">
        <w:rPr>
          <w:lang w:val="en-US"/>
        </w:rPr>
        <w:lastRenderedPageBreak/>
        <w:t xml:space="preserve">developing countries and States that had recently joined the space race, and planned to continue their fruitful </w:t>
      </w:r>
      <w:r w:rsidR="00FF03A7" w:rsidRPr="00B82F2A">
        <w:rPr>
          <w:lang w:val="en-US"/>
        </w:rPr>
        <w:t>coop</w:t>
      </w:r>
      <w:r w:rsidR="00FF03A7">
        <w:rPr>
          <w:lang w:val="en-US"/>
        </w:rPr>
        <w:t>eration in the years to come</w:t>
      </w:r>
      <w:r w:rsidR="00FF03A7" w:rsidRPr="00B82F2A">
        <w:rPr>
          <w:lang w:val="en-US"/>
        </w:rPr>
        <w:t>.</w:t>
      </w:r>
    </w:p>
    <w:p w14:paraId="79707B99" w14:textId="5F03961C" w:rsidR="00FF03A7" w:rsidRPr="00F6424D" w:rsidRDefault="00364B10" w:rsidP="009F6C48">
      <w:pPr>
        <w:pStyle w:val="Heading1"/>
        <w:rPr>
          <w:lang w:val="en-US"/>
        </w:rPr>
      </w:pPr>
      <w:r>
        <w:rPr>
          <w:lang w:val="en-US"/>
        </w:rPr>
        <w:t>10</w:t>
      </w:r>
      <w:r>
        <w:rPr>
          <w:lang w:val="en-US"/>
        </w:rPr>
        <w:tab/>
      </w:r>
      <w:r w:rsidR="00FF03A7">
        <w:rPr>
          <w:lang w:val="en-US"/>
        </w:rPr>
        <w:t>R</w:t>
      </w:r>
      <w:r w:rsidR="00FF03A7" w:rsidRPr="00B90228">
        <w:rPr>
          <w:lang w:val="en-US"/>
        </w:rPr>
        <w:t xml:space="preserve">eminder </w:t>
      </w:r>
      <w:r w:rsidR="00FF03A7">
        <w:rPr>
          <w:lang w:val="en-US"/>
        </w:rPr>
        <w:t xml:space="preserve">of </w:t>
      </w:r>
      <w:r w:rsidR="00FF03A7" w:rsidRPr="00B90228">
        <w:rPr>
          <w:lang w:val="en-US"/>
        </w:rPr>
        <w:t xml:space="preserve">deadline </w:t>
      </w:r>
      <w:r w:rsidR="00FF03A7">
        <w:rPr>
          <w:lang w:val="en-US"/>
        </w:rPr>
        <w:t xml:space="preserve">for </w:t>
      </w:r>
      <w:r w:rsidR="00FF03A7" w:rsidRPr="00B90228">
        <w:rPr>
          <w:lang w:val="en-US"/>
        </w:rPr>
        <w:t>the deletion of country names from footnotes</w:t>
      </w:r>
      <w:r w:rsidR="00FF03A7">
        <w:rPr>
          <w:lang w:val="en-US"/>
        </w:rPr>
        <w:t xml:space="preserve"> </w:t>
      </w:r>
      <w:r w:rsidR="00FF03A7" w:rsidRPr="00F6424D">
        <w:rPr>
          <w:lang w:val="en-US"/>
        </w:rPr>
        <w:t>(Document 131)</w:t>
      </w:r>
    </w:p>
    <w:p w14:paraId="6B4289AD" w14:textId="4D03CA5A" w:rsidR="00FF03A7" w:rsidRPr="00B82F2A" w:rsidRDefault="00364B10" w:rsidP="009F6C48">
      <w:pPr>
        <w:rPr>
          <w:lang w:val="en-US"/>
        </w:rPr>
      </w:pPr>
      <w:r>
        <w:rPr>
          <w:lang w:val="en-US"/>
        </w:rPr>
        <w:t>10.1</w:t>
      </w:r>
      <w:r>
        <w:rPr>
          <w:lang w:val="en-US"/>
        </w:rPr>
        <w:tab/>
      </w:r>
      <w:r w:rsidR="00FF03A7" w:rsidRPr="00B82F2A">
        <w:rPr>
          <w:lang w:val="en-US"/>
        </w:rPr>
        <w:t xml:space="preserve">The </w:t>
      </w:r>
      <w:r w:rsidR="00FF03A7" w:rsidRPr="00B82F2A">
        <w:rPr>
          <w:b/>
          <w:bCs/>
          <w:lang w:val="en-US"/>
        </w:rPr>
        <w:t>Secretary of the Plenary</w:t>
      </w:r>
      <w:r w:rsidR="00FF03A7" w:rsidRPr="00B82F2A">
        <w:rPr>
          <w:lang w:val="en-US"/>
        </w:rPr>
        <w:t xml:space="preserve"> reminded participants that the final deadline for the deletion of country names from footnotes was that </w:t>
      </w:r>
      <w:r w:rsidR="00FF03A7">
        <w:rPr>
          <w:lang w:val="en-US"/>
        </w:rPr>
        <w:t xml:space="preserve">same </w:t>
      </w:r>
      <w:r w:rsidR="00FF03A7" w:rsidRPr="00B82F2A">
        <w:rPr>
          <w:lang w:val="en-US"/>
        </w:rPr>
        <w:t>day, namely Friday</w:t>
      </w:r>
      <w:r w:rsidR="00FF03A7">
        <w:rPr>
          <w:lang w:val="en-US"/>
        </w:rPr>
        <w:t>,</w:t>
      </w:r>
      <w:r w:rsidR="00FF03A7" w:rsidRPr="00B82F2A">
        <w:rPr>
          <w:lang w:val="en-US"/>
        </w:rPr>
        <w:t xml:space="preserve"> 8 November, at 1800 hours</w:t>
      </w:r>
      <w:r w:rsidR="00FF03A7">
        <w:rPr>
          <w:lang w:val="en-US"/>
        </w:rPr>
        <w:t xml:space="preserve"> (Sharm el-Sheikh time)</w:t>
      </w:r>
      <w:r w:rsidR="00FF03A7" w:rsidRPr="00B82F2A">
        <w:rPr>
          <w:lang w:val="en-US"/>
        </w:rPr>
        <w:t>.</w:t>
      </w:r>
    </w:p>
    <w:p w14:paraId="72A89DAB" w14:textId="58A319A5" w:rsidR="00FF03A7" w:rsidRDefault="00FF03A7" w:rsidP="009F6C48">
      <w:pPr>
        <w:rPr>
          <w:b/>
          <w:bCs/>
          <w:lang w:val="en-US"/>
        </w:rPr>
      </w:pPr>
      <w:r w:rsidRPr="00B82F2A">
        <w:rPr>
          <w:b/>
          <w:bCs/>
          <w:lang w:val="en-US"/>
        </w:rPr>
        <w:t>The meeting rose at 1</w:t>
      </w:r>
      <w:r w:rsidR="00364B10">
        <w:rPr>
          <w:b/>
          <w:bCs/>
          <w:lang w:val="en-US"/>
        </w:rPr>
        <w:t>7</w:t>
      </w:r>
      <w:r w:rsidRPr="00B82F2A">
        <w:rPr>
          <w:b/>
          <w:bCs/>
          <w:lang w:val="en-US"/>
        </w:rPr>
        <w:t>05 hours.</w:t>
      </w:r>
    </w:p>
    <w:p w14:paraId="5566680F" w14:textId="77777777" w:rsidR="00FF03A7" w:rsidRDefault="00FF03A7" w:rsidP="002E28E4">
      <w:pPr>
        <w:rPr>
          <w:b/>
          <w:bCs/>
          <w:szCs w:val="24"/>
        </w:rPr>
      </w:pPr>
    </w:p>
    <w:p w14:paraId="54B2EBC8" w14:textId="77777777" w:rsidR="00FF03A7" w:rsidRPr="00FF03A7" w:rsidRDefault="00FF03A7" w:rsidP="001B0CFC"/>
    <w:p w14:paraId="6F0C2A73" w14:textId="5DD33A75" w:rsidR="00FF03A7" w:rsidRPr="00FF03A7" w:rsidRDefault="00FF03A7" w:rsidP="00C1012E">
      <w:pPr>
        <w:tabs>
          <w:tab w:val="clear" w:pos="2268"/>
          <w:tab w:val="left" w:pos="5954"/>
        </w:tabs>
      </w:pPr>
      <w:r w:rsidRPr="00FF03A7">
        <w:t>The Secretary-General:</w:t>
      </w:r>
      <w:r w:rsidRPr="00FF03A7">
        <w:tab/>
        <w:t>The Chairman:</w:t>
      </w:r>
    </w:p>
    <w:p w14:paraId="71D84ADD" w14:textId="0E4A0DBC" w:rsidR="00FF03A7" w:rsidRPr="00FF03A7" w:rsidRDefault="00FF03A7" w:rsidP="00C1012E">
      <w:pPr>
        <w:tabs>
          <w:tab w:val="clear" w:pos="2268"/>
          <w:tab w:val="left" w:pos="5954"/>
        </w:tabs>
      </w:pPr>
      <w:r w:rsidRPr="00FF03A7">
        <w:t>H. ZHAO</w:t>
      </w:r>
      <w:r w:rsidRPr="00FF03A7">
        <w:tab/>
      </w:r>
      <w:r w:rsidRPr="00FF03A7">
        <w:tab/>
      </w:r>
      <w:r w:rsidRPr="00FF03A7">
        <w:tab/>
        <w:t>A.</w:t>
      </w:r>
      <w:r w:rsidR="009C7731">
        <w:t xml:space="preserve"> </w:t>
      </w:r>
      <w:r w:rsidRPr="00FF03A7">
        <w:t>BADAWI</w:t>
      </w:r>
    </w:p>
    <w:p w14:paraId="11BCF806" w14:textId="797E41E4" w:rsidR="00FF03A7" w:rsidRPr="00FF03A7" w:rsidRDefault="00FF03A7" w:rsidP="001B0CFC"/>
    <w:p w14:paraId="1983BBD9" w14:textId="77777777" w:rsidR="00FF03A7" w:rsidRPr="00FF03A7" w:rsidRDefault="00FF03A7" w:rsidP="002E28E4">
      <w:pPr>
        <w:rPr>
          <w:szCs w:val="24"/>
          <w:lang w:val="en-US"/>
        </w:rPr>
      </w:pPr>
      <w:r w:rsidRPr="00FF03A7">
        <w:rPr>
          <w:szCs w:val="24"/>
          <w:lang w:val="en-US"/>
        </w:rPr>
        <w:br w:type="page"/>
      </w:r>
    </w:p>
    <w:p w14:paraId="022452EA" w14:textId="77777777" w:rsidR="00FF03A7" w:rsidRDefault="00FF03A7" w:rsidP="002E28E4">
      <w:pPr>
        <w:rPr>
          <w:szCs w:val="24"/>
        </w:rPr>
      </w:pPr>
    </w:p>
    <w:p w14:paraId="468D8F88" w14:textId="77777777" w:rsidR="00FF03A7" w:rsidRPr="00A767A0" w:rsidRDefault="00FF03A7" w:rsidP="00A767A0">
      <w:pPr>
        <w:jc w:val="right"/>
        <w:outlineLvl w:val="0"/>
      </w:pPr>
      <w:r w:rsidRPr="00A767A0">
        <w:t>Original: English</w:t>
      </w:r>
    </w:p>
    <w:p w14:paraId="3FC83AE9" w14:textId="77777777" w:rsidR="00FF03A7" w:rsidRDefault="00FF03A7" w:rsidP="001B0CFC">
      <w:pPr>
        <w:pStyle w:val="AnnexNo"/>
      </w:pPr>
      <w:r>
        <w:t>ANNEX A</w:t>
      </w:r>
    </w:p>
    <w:p w14:paraId="76F6499B" w14:textId="1D068729" w:rsidR="00FF03A7" w:rsidRDefault="00FF03A7" w:rsidP="001536B3">
      <w:pPr>
        <w:pStyle w:val="Annextitle"/>
        <w:rPr>
          <w:b w:val="0"/>
          <w:bCs/>
        </w:rPr>
      </w:pPr>
      <w:r>
        <w:t>Statement by Mr Niklas Hedman,</w:t>
      </w:r>
      <w:r w:rsidR="001536B3">
        <w:br/>
      </w:r>
      <w:r>
        <w:rPr>
          <w:bCs/>
        </w:rPr>
        <w:t>United Nations Office for Outer Space Affairs</w:t>
      </w:r>
    </w:p>
    <w:p w14:paraId="5D4F22FB" w14:textId="77777777" w:rsidR="00FF03A7" w:rsidRDefault="00FF03A7" w:rsidP="002E28E4">
      <w:pPr>
        <w:spacing w:line="360" w:lineRule="auto"/>
        <w:jc w:val="both"/>
      </w:pPr>
    </w:p>
    <w:p w14:paraId="3FFDD85E" w14:textId="451CA221" w:rsidR="00FF03A7" w:rsidRDefault="00FF03A7" w:rsidP="001536B3">
      <w:pPr>
        <w:jc w:val="both"/>
      </w:pPr>
      <w:r>
        <w:t>Mr Zhao, Secretary</w:t>
      </w:r>
      <w:r w:rsidR="007E687B">
        <w:t>-</w:t>
      </w:r>
      <w:r>
        <w:t>General of the ITU,</w:t>
      </w:r>
    </w:p>
    <w:p w14:paraId="0862582E" w14:textId="77777777" w:rsidR="00FF03A7" w:rsidRDefault="00FF03A7" w:rsidP="001536B3">
      <w:pPr>
        <w:jc w:val="both"/>
      </w:pPr>
      <w:r>
        <w:t>Mr Maniewicz, Director of the ITU Radiocommunication Bureau,</w:t>
      </w:r>
    </w:p>
    <w:p w14:paraId="3FDDA1DF" w14:textId="07FCE078" w:rsidR="00FF03A7" w:rsidRDefault="00FF03A7" w:rsidP="001536B3">
      <w:pPr>
        <w:jc w:val="both"/>
      </w:pPr>
      <w:r>
        <w:t>Dr Badawi, Chairman of the WRC-19,</w:t>
      </w:r>
    </w:p>
    <w:p w14:paraId="3497B497" w14:textId="197FBE32" w:rsidR="00FF03A7" w:rsidRDefault="00FF03A7" w:rsidP="001536B3">
      <w:pPr>
        <w:jc w:val="both"/>
      </w:pPr>
      <w:r>
        <w:t xml:space="preserve">Distinguished delegates, </w:t>
      </w:r>
    </w:p>
    <w:p w14:paraId="3AF7D0C2" w14:textId="77777777" w:rsidR="00FF03A7" w:rsidRDefault="00FF03A7" w:rsidP="001536B3">
      <w:r>
        <w:t xml:space="preserve">It is my pleasure to address the ITU World Radiocommunication Conference. There are items on the agenda of WRC-19 for which a brief orientation for information on recent achievements and work of the United Nations Committee on the Peaceful Uses of Outer Space (COPUOS), and role of the Office for Outer Space Affairs (UNOOSA) is pertinent. </w:t>
      </w:r>
    </w:p>
    <w:p w14:paraId="50107C64" w14:textId="3352B2FB" w:rsidR="00FF03A7" w:rsidRDefault="00FF03A7" w:rsidP="001536B3">
      <w:r>
        <w:t>COPUOS, at its 62</w:t>
      </w:r>
      <w:r>
        <w:rPr>
          <w:vertAlign w:val="superscript"/>
        </w:rPr>
        <w:t>nd</w:t>
      </w:r>
      <w:r>
        <w:t xml:space="preserve"> session this year, made a tremendous achievement by adopting the preamble and 21 guidelines for the long-term sustainability of outer space activities of the Committee and took important decisions on the way ahead including the establishment of a dedicated Working Group under a five-year mandate including for the implementation and review of the guidelines.</w:t>
      </w:r>
    </w:p>
    <w:p w14:paraId="2380E0F8" w14:textId="77777777" w:rsidR="00FF03A7" w:rsidRDefault="00FF03A7" w:rsidP="001536B3">
      <w:r>
        <w:t xml:space="preserve">Those guidelines address a wide range of actions, among them ensuring the equitable, rational and efficient use of the radio frequency spectrum and the various orbital regions used by satellites. Harmful radio frequency interference is an area of concern. The safety of space operations is a critical area under the guidelines in particular in areas such as improved accuracy of orbital data; the collection, sharing and dissemination of space debris monitoring information; the performing of conjunction assessment during all orbital phases of controlled flight; and measures to address associated risks with the uncontrolled re-entry of space objects. The sharing of operational space weather data and forecasts and development of space weather models and tools, and the collection of established practices on the mitigation of space weather effects are addressed. There is a focus in the guidelines on the supervision of national space activities and on enhancing the practice of registering space objects. </w:t>
      </w:r>
    </w:p>
    <w:p w14:paraId="22435F5D" w14:textId="77777777" w:rsidR="00FF03A7" w:rsidRDefault="00FF03A7" w:rsidP="001536B3">
      <w:pPr>
        <w:rPr>
          <w:szCs w:val="24"/>
          <w:lang w:val="en-US"/>
        </w:rPr>
      </w:pPr>
      <w:r>
        <w:t xml:space="preserve">In this context, I wish to inform that UNOOSA has been mandated for four decades to maintain the central United Nations Register on Objects Launched into Outer Space, under the obligation of the Registration Convention of 1975. The Register functions as the core mechanism for treaty-based transparency and confidence-building, including on the change of status of space objects in orbit, information on re-entry events and de-orbiting of space objects and similar information to enhance the safety of space operations. </w:t>
      </w:r>
    </w:p>
    <w:p w14:paraId="0DAE4163" w14:textId="77777777" w:rsidR="00FF03A7" w:rsidRDefault="00FF03A7" w:rsidP="001536B3">
      <w:r>
        <w:t xml:space="preserve">I mention specifically the registration regime because together with the established procedures of discharging the responsibilities of the Secretary-General under the United Nations treaties and principles on outer space, including the Outer Space Treaty and the principles on the use of nuclear power sources in outer space activities, UNOOSA is vested with a mandate to assist in global efforts to enhance international governance in the long-term sustainability of outer space activities. </w:t>
      </w:r>
    </w:p>
    <w:p w14:paraId="710F3B31" w14:textId="77777777" w:rsidR="00FF03A7" w:rsidRDefault="00FF03A7" w:rsidP="00201B98">
      <w:pPr>
        <w:keepNext/>
        <w:jc w:val="both"/>
      </w:pPr>
      <w:r>
        <w:lastRenderedPageBreak/>
        <w:t>Mr Chairman, Distinguished Delegates,</w:t>
      </w:r>
    </w:p>
    <w:p w14:paraId="705ECAE6" w14:textId="77777777" w:rsidR="00FF03A7" w:rsidRDefault="00FF03A7" w:rsidP="00201B98">
      <w:pPr>
        <w:keepNext/>
        <w:rPr>
          <w:lang w:val="en-US"/>
        </w:rPr>
      </w:pPr>
      <w:r>
        <w:t>I would here emphasize that in promoting the safety of space operations, which is of critical importance, the following key measures are relevant: 1) Enhanced capacity- and awareness-building; 2) Increased dialogue with private space actors; 3) Organized reporting on the implementation of the 21 LTS guidelines and further development in this area; and 4) Structured information exchange on space objects and events. Such actions could encompass measures for building trust, confidence and stability, as well as mechanisms for safety of space operations, including on avoiding in orbit collisions, emergency situations, loss of control of a space craft, and re-entry risks.</w:t>
      </w:r>
    </w:p>
    <w:p w14:paraId="7F9ABC62" w14:textId="77777777" w:rsidR="00FF03A7" w:rsidRDefault="00FF03A7" w:rsidP="001536B3">
      <w:pPr>
        <w:jc w:val="both"/>
      </w:pPr>
      <w:r>
        <w:t>Mr Chairman, Distinguished Delegates,</w:t>
      </w:r>
    </w:p>
    <w:p w14:paraId="6E39EBEB" w14:textId="77777777" w:rsidR="00FF03A7" w:rsidRDefault="00FF03A7" w:rsidP="001536B3">
      <w:pPr>
        <w:rPr>
          <w:lang w:val="en-US"/>
        </w:rPr>
      </w:pPr>
      <w:r>
        <w:t>We are heading towards the deployment of large- and mega-constellations, and in this regard, it is important to keep the space object registration regime fit for purpose. On a partly related matter, small and very small satellites and their applications have made it possible for an increasing number of governmental and non-governmental entities to participate in, and benefit from, space activities. Recognizing the requirements under international law for all actors launching and operating satellites, UNOOSA and ITU Radiocommunication Bureau have collaborated in producing a guidance document available on the respective websites to assist small satellite developers and operators with space object registration and frequency management information. The handout also covers information on authorization and licensing of satellite missions and space debris mitigation measures. An updating of the handout should be considered.</w:t>
      </w:r>
    </w:p>
    <w:p w14:paraId="3F1C7B00" w14:textId="77777777" w:rsidR="00FF03A7" w:rsidRDefault="00FF03A7" w:rsidP="001536B3">
      <w:pPr>
        <w:jc w:val="both"/>
      </w:pPr>
      <w:r>
        <w:t>Mr Chairman, Distinguished Delegates,</w:t>
      </w:r>
    </w:p>
    <w:p w14:paraId="42A786BE" w14:textId="1E7C011F" w:rsidR="00FF03A7" w:rsidRDefault="00FF03A7" w:rsidP="001536B3">
      <w:r>
        <w:t xml:space="preserve">COPUOS addresses on an annual basis, for example, the item on the character and utilization of the geostationary orbit, including consideration of ways and means to ensure the rationale and equitable use of the geostationary orbit without prejudice to the role of the International Telecommunication Union, for which ITU Radiocommunication Bureau reports annually on the use of the geostationary orbit and other orbits. Another example is the International Committee on Global Navigation Satellite Systems (ICG), established by COPUOS in 2006 and with UNOOSA as its Executive Secretariat, which has for many years discussed spectrum protection and interference detection and mitigation. </w:t>
      </w:r>
    </w:p>
    <w:p w14:paraId="2FE8F566" w14:textId="77777777" w:rsidR="00FF03A7" w:rsidRDefault="00FF03A7" w:rsidP="001536B3">
      <w:r>
        <w:t>In 2018, COPUOS celebrated UNISPACE+50 with the focus on seven thematic priorities, namely, global partnership in space exploration and innovation; the legal regime of outer space and global space governance; current and future perspectives; enhanced information exchange on space objects and events; international framework for space weather services; strengthened space cooperation for global health; international cooperation towards low-emission and resilient societies; and capacity-building for the twenty-first century. COPUOS is now moving ahead towards the establishment in 2020 of a “Space2030” agenda and implementation plan with the objective of maximizing the benefits of space activities for meeting the 2030 Agenda for Sustainable Development, taking into account the particular needs of developing countries.</w:t>
      </w:r>
    </w:p>
    <w:p w14:paraId="171B23BF" w14:textId="77777777" w:rsidR="00FF03A7" w:rsidRDefault="00FF03A7" w:rsidP="001536B3">
      <w:r>
        <w:t>As reaffirmed by the General Assembly in its resolution 73/6 on UNISPACE+50: Space as a driver of sustainable development, COPUOS and its Subcommittees, supported by UNOOSA, serve as unique platforms for international cooperation in the exploration and uses of outer space for peaceful purposes, and for the global governance of outer space activities.</w:t>
      </w:r>
    </w:p>
    <w:p w14:paraId="07371A20" w14:textId="77777777" w:rsidR="00FF03A7" w:rsidRDefault="00FF03A7" w:rsidP="001536B3">
      <w:pPr>
        <w:jc w:val="both"/>
      </w:pPr>
      <w:r>
        <w:t>Mr Chairman, Distinguished Delegates,</w:t>
      </w:r>
    </w:p>
    <w:p w14:paraId="67F1F8E4" w14:textId="77777777" w:rsidR="00FF03A7" w:rsidRDefault="00FF03A7" w:rsidP="001536B3">
      <w:r>
        <w:t xml:space="preserve">This year is of historical significance with the commemoration of the 50th anniversary of the Apollo 11 mission and the first humans on the surface of the moon. This milestone marked a new phase in space exploration and has inspired humanity in ways that extend beyond space activities. </w:t>
      </w:r>
      <w:r>
        <w:lastRenderedPageBreak/>
        <w:t>As we commemorate this achievement, the international community is also looking forward with inspiring current and future missions through low-Earth orbit, to the Moon, Mars and beyond. Space exploration and innovation is becoming increasingly important for a broader group of space actors.</w:t>
      </w:r>
    </w:p>
    <w:p w14:paraId="48E636AB" w14:textId="77777777" w:rsidR="00FF03A7" w:rsidRDefault="00FF03A7" w:rsidP="001536B3">
      <w:r>
        <w:t>Talking about innovation, let me briefly direct your attention to the Office’s approach to capacity-building, which is holistic, modern and strategic. With the goal of making space activities as inclusive as possible and ensuring that the benefits of space are made available to everyone, everywhere, the Office’s Access to Space for All Initiative exemplifies innovative triangular cooperation between established space actors, the United Nations and entities from non-spacefaring nations. Examples here are collaborative partnerships with the Japanese Exploration and Aerospace Agency (JAXA) on the "KiboCUBE" programme; with the China Manned Space Agency (CMSA) for flying experiments onboard the China Space Station; and partnership with private sector entities, including among others, Sierra Nevada Corporation and Airbus Defence and Space.</w:t>
      </w:r>
    </w:p>
    <w:p w14:paraId="42CC10EB" w14:textId="77777777" w:rsidR="00FF03A7" w:rsidRDefault="00FF03A7" w:rsidP="001536B3">
      <w:pPr>
        <w:jc w:val="both"/>
      </w:pPr>
      <w:r>
        <w:t>Mr Chairman, Distinguished Delegates,</w:t>
      </w:r>
    </w:p>
    <w:p w14:paraId="29B1D633" w14:textId="36B5CBF5" w:rsidR="00FF03A7" w:rsidRDefault="00FF03A7" w:rsidP="001536B3">
      <w:r>
        <w:t>In concluding, I wish to express my Office’s gratitude for long-standing cooperation with the ITU Radiocommunication Bureau on an inter-agency coordination level and with joint efforts to assist Member States.</w:t>
      </w:r>
    </w:p>
    <w:p w14:paraId="775E596E" w14:textId="7999D295" w:rsidR="00C1012E" w:rsidRDefault="00C1012E" w:rsidP="001536B3"/>
    <w:p w14:paraId="5A6EC8EC" w14:textId="77777777" w:rsidR="00C1012E" w:rsidRDefault="00C1012E">
      <w:pPr>
        <w:jc w:val="center"/>
      </w:pPr>
      <w:r>
        <w:t>______________</w:t>
      </w:r>
      <w:bookmarkStart w:id="9" w:name="_GoBack"/>
      <w:bookmarkEnd w:id="9"/>
    </w:p>
    <w:sectPr w:rsidR="00C1012E" w:rsidSect="00FF03A7">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6D38" w14:textId="77777777" w:rsidR="006C03F8" w:rsidRDefault="006C03F8">
      <w:r>
        <w:separator/>
      </w:r>
    </w:p>
  </w:endnote>
  <w:endnote w:type="continuationSeparator" w:id="0">
    <w:p w14:paraId="2FF7BC8C" w14:textId="77777777" w:rsidR="006C03F8" w:rsidRDefault="006C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E9AB" w14:textId="77777777" w:rsidR="00E45D05" w:rsidRDefault="00E45D05">
    <w:pPr>
      <w:framePr w:wrap="around" w:vAnchor="text" w:hAnchor="margin" w:xAlign="right" w:y="1"/>
    </w:pPr>
    <w:r>
      <w:fldChar w:fldCharType="begin"/>
    </w:r>
    <w:r>
      <w:instrText xml:space="preserve">PAGE  </w:instrText>
    </w:r>
    <w:r>
      <w:fldChar w:fldCharType="end"/>
    </w:r>
  </w:p>
  <w:p w14:paraId="4872FA2C" w14:textId="61C1F23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E0DB8">
      <w:rPr>
        <w:noProof/>
        <w:lang w:val="en-US"/>
      </w:rPr>
      <w:t>P:\ENG\ITU-R\CONF-R\CMR19\200\275E.docx</w:t>
    </w:r>
    <w:r>
      <w:fldChar w:fldCharType="end"/>
    </w:r>
    <w:r w:rsidRPr="0041348E">
      <w:rPr>
        <w:lang w:val="en-US"/>
      </w:rPr>
      <w:tab/>
    </w:r>
    <w:r>
      <w:fldChar w:fldCharType="begin"/>
    </w:r>
    <w:r>
      <w:instrText xml:space="preserve"> SAVEDATE \@ DD.MM.YY </w:instrText>
    </w:r>
    <w:r>
      <w:fldChar w:fldCharType="separate"/>
    </w:r>
    <w:r w:rsidR="00DE0DB8">
      <w:rPr>
        <w:noProof/>
      </w:rPr>
      <w:t>17.11.19</w:t>
    </w:r>
    <w:r>
      <w:fldChar w:fldCharType="end"/>
    </w:r>
    <w:r w:rsidRPr="0041348E">
      <w:rPr>
        <w:lang w:val="en-US"/>
      </w:rPr>
      <w:tab/>
    </w:r>
    <w:r>
      <w:fldChar w:fldCharType="begin"/>
    </w:r>
    <w:r>
      <w:instrText xml:space="preserve"> PRINTDATE \@ DD.MM.YY </w:instrText>
    </w:r>
    <w:r>
      <w:fldChar w:fldCharType="separate"/>
    </w:r>
    <w:r w:rsidR="00DE0DB8">
      <w:rPr>
        <w:noProof/>
      </w:rPr>
      <w:t>17.11.19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C033" w14:textId="705BCC9E" w:rsidR="00395319" w:rsidRDefault="00DE0DB8" w:rsidP="00395319">
    <w:pPr>
      <w:pStyle w:val="Footer"/>
    </w:pPr>
    <w:r>
      <w:fldChar w:fldCharType="begin"/>
    </w:r>
    <w:r>
      <w:instrText xml:space="preserve"> FILENAME \p  \* MERGEFORMAT </w:instrText>
    </w:r>
    <w:r>
      <w:fldChar w:fldCharType="separate"/>
    </w:r>
    <w:r>
      <w:t>P:\ENG\ITU-R\CONF-R\CMR19\200\275E.docx</w:t>
    </w:r>
    <w:r>
      <w:fldChar w:fldCharType="end"/>
    </w:r>
    <w:r w:rsidR="00395319">
      <w:t xml:space="preserve"> (464159)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5BB1" w14:textId="18D161C5" w:rsidR="005C27DB" w:rsidRDefault="00C1012E" w:rsidP="00397406">
    <w:pPr>
      <w:pStyle w:val="Footer"/>
    </w:pPr>
    <w:fldSimple w:instr=" FILENAME \p  \* MERGEFORMAT ">
      <w:r w:rsidR="00DE0DB8">
        <w:t>P:\ENG\ITU-R\CONF-R\CMR19\200\275E.docx</w:t>
      </w:r>
    </w:fldSimple>
    <w:r w:rsidR="00397406">
      <w:t xml:space="preserve"> (464159)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42CEF" w14:textId="77777777" w:rsidR="006C03F8" w:rsidRDefault="006C03F8">
      <w:r>
        <w:rPr>
          <w:b/>
        </w:rPr>
        <w:t>_______________</w:t>
      </w:r>
    </w:p>
  </w:footnote>
  <w:footnote w:type="continuationSeparator" w:id="0">
    <w:p w14:paraId="6A95D678" w14:textId="77777777" w:rsidR="006C03F8" w:rsidRDefault="006C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7BA5" w14:textId="77777777" w:rsidR="00E45D05" w:rsidRDefault="00A066F1" w:rsidP="00187BD9">
    <w:pPr>
      <w:pStyle w:val="Header"/>
    </w:pPr>
    <w:r>
      <w:fldChar w:fldCharType="begin"/>
    </w:r>
    <w:r>
      <w:instrText xml:space="preserve"> PAGE  \* MERGEFORMAT </w:instrText>
    </w:r>
    <w:r>
      <w:fldChar w:fldCharType="separate"/>
    </w:r>
    <w:r w:rsidR="00DE12FE">
      <w:rPr>
        <w:noProof/>
      </w:rPr>
      <w:t>9</w:t>
    </w:r>
    <w:r>
      <w:fldChar w:fldCharType="end"/>
    </w:r>
  </w:p>
  <w:p w14:paraId="63F154C3" w14:textId="2F683213" w:rsidR="00A066F1" w:rsidRPr="00A066F1" w:rsidRDefault="00187BD9" w:rsidP="00F009C9">
    <w:pPr>
      <w:pStyle w:val="Header"/>
    </w:pPr>
    <w:r>
      <w:t>CMR1</w:t>
    </w:r>
    <w:r w:rsidR="00202756">
      <w:t>9</w:t>
    </w:r>
    <w:r w:rsidR="00A066F1">
      <w:t>/</w:t>
    </w:r>
    <w:r w:rsidR="005C27DB">
      <w:t>275</w:t>
    </w:r>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1A11"/>
    <w:rsid w:val="00051E39"/>
    <w:rsid w:val="000705F2"/>
    <w:rsid w:val="00077239"/>
    <w:rsid w:val="0007795D"/>
    <w:rsid w:val="00086491"/>
    <w:rsid w:val="00091346"/>
    <w:rsid w:val="0009706C"/>
    <w:rsid w:val="000D154B"/>
    <w:rsid w:val="000D2DAF"/>
    <w:rsid w:val="000E463E"/>
    <w:rsid w:val="000F318E"/>
    <w:rsid w:val="000F73FF"/>
    <w:rsid w:val="00114CF7"/>
    <w:rsid w:val="00116C7A"/>
    <w:rsid w:val="00121AFC"/>
    <w:rsid w:val="00123B68"/>
    <w:rsid w:val="00126F2E"/>
    <w:rsid w:val="00146F6F"/>
    <w:rsid w:val="001536B3"/>
    <w:rsid w:val="00187BD9"/>
    <w:rsid w:val="0019037C"/>
    <w:rsid w:val="00190B55"/>
    <w:rsid w:val="001B0CFC"/>
    <w:rsid w:val="001C3B5F"/>
    <w:rsid w:val="001D058F"/>
    <w:rsid w:val="002009EA"/>
    <w:rsid w:val="00201B98"/>
    <w:rsid w:val="00202756"/>
    <w:rsid w:val="00202CA0"/>
    <w:rsid w:val="00216B6D"/>
    <w:rsid w:val="002321A6"/>
    <w:rsid w:val="00241FA2"/>
    <w:rsid w:val="00271316"/>
    <w:rsid w:val="002B349C"/>
    <w:rsid w:val="002D58BE"/>
    <w:rsid w:val="00341648"/>
    <w:rsid w:val="003613C1"/>
    <w:rsid w:val="00361B37"/>
    <w:rsid w:val="00364B10"/>
    <w:rsid w:val="00377BD3"/>
    <w:rsid w:val="00384088"/>
    <w:rsid w:val="003852CE"/>
    <w:rsid w:val="0039169B"/>
    <w:rsid w:val="00392B7F"/>
    <w:rsid w:val="00395319"/>
    <w:rsid w:val="00397406"/>
    <w:rsid w:val="003A7F8C"/>
    <w:rsid w:val="003B2284"/>
    <w:rsid w:val="003B532E"/>
    <w:rsid w:val="003D0F8B"/>
    <w:rsid w:val="003E0DB6"/>
    <w:rsid w:val="003E49B4"/>
    <w:rsid w:val="0041348E"/>
    <w:rsid w:val="00420873"/>
    <w:rsid w:val="00492075"/>
    <w:rsid w:val="004969AD"/>
    <w:rsid w:val="004A26C4"/>
    <w:rsid w:val="004B13CB"/>
    <w:rsid w:val="004D26EA"/>
    <w:rsid w:val="004D2BFB"/>
    <w:rsid w:val="004D5D5C"/>
    <w:rsid w:val="004F3DC0"/>
    <w:rsid w:val="0050139F"/>
    <w:rsid w:val="0055140B"/>
    <w:rsid w:val="005964AB"/>
    <w:rsid w:val="005964F4"/>
    <w:rsid w:val="005C099A"/>
    <w:rsid w:val="005C27DB"/>
    <w:rsid w:val="005C31A5"/>
    <w:rsid w:val="005C31C8"/>
    <w:rsid w:val="005E10C9"/>
    <w:rsid w:val="005E290B"/>
    <w:rsid w:val="005E61DD"/>
    <w:rsid w:val="005F04D8"/>
    <w:rsid w:val="005F47B3"/>
    <w:rsid w:val="00600007"/>
    <w:rsid w:val="006023DF"/>
    <w:rsid w:val="00615426"/>
    <w:rsid w:val="00616219"/>
    <w:rsid w:val="00645B7D"/>
    <w:rsid w:val="00657DE0"/>
    <w:rsid w:val="00685313"/>
    <w:rsid w:val="00692833"/>
    <w:rsid w:val="006A6E9B"/>
    <w:rsid w:val="006B7C2A"/>
    <w:rsid w:val="006C03F8"/>
    <w:rsid w:val="006C23DA"/>
    <w:rsid w:val="006E3D45"/>
    <w:rsid w:val="0070607A"/>
    <w:rsid w:val="007149F9"/>
    <w:rsid w:val="00733A30"/>
    <w:rsid w:val="00745AEE"/>
    <w:rsid w:val="00750F10"/>
    <w:rsid w:val="007742CA"/>
    <w:rsid w:val="00790D70"/>
    <w:rsid w:val="007A6F1F"/>
    <w:rsid w:val="007D5320"/>
    <w:rsid w:val="007E687B"/>
    <w:rsid w:val="00800972"/>
    <w:rsid w:val="00804475"/>
    <w:rsid w:val="00811633"/>
    <w:rsid w:val="00814037"/>
    <w:rsid w:val="0082597F"/>
    <w:rsid w:val="00841216"/>
    <w:rsid w:val="00842AF0"/>
    <w:rsid w:val="0086171E"/>
    <w:rsid w:val="00872FC8"/>
    <w:rsid w:val="008845D0"/>
    <w:rsid w:val="00884D60"/>
    <w:rsid w:val="008B43F2"/>
    <w:rsid w:val="008B6CFF"/>
    <w:rsid w:val="008F217D"/>
    <w:rsid w:val="009274B4"/>
    <w:rsid w:val="00934EA2"/>
    <w:rsid w:val="009401BB"/>
    <w:rsid w:val="00944A5C"/>
    <w:rsid w:val="00952A66"/>
    <w:rsid w:val="009B7C9A"/>
    <w:rsid w:val="009C56E5"/>
    <w:rsid w:val="009C7716"/>
    <w:rsid w:val="009C7731"/>
    <w:rsid w:val="009D18F3"/>
    <w:rsid w:val="009E5FC8"/>
    <w:rsid w:val="009E687A"/>
    <w:rsid w:val="009F0CD2"/>
    <w:rsid w:val="009F236F"/>
    <w:rsid w:val="009F51FB"/>
    <w:rsid w:val="009F6C48"/>
    <w:rsid w:val="00A066F1"/>
    <w:rsid w:val="00A141AF"/>
    <w:rsid w:val="00A16D29"/>
    <w:rsid w:val="00A30305"/>
    <w:rsid w:val="00A31D2D"/>
    <w:rsid w:val="00A43808"/>
    <w:rsid w:val="00A4600A"/>
    <w:rsid w:val="00A538A6"/>
    <w:rsid w:val="00A54C25"/>
    <w:rsid w:val="00A710E7"/>
    <w:rsid w:val="00A7372E"/>
    <w:rsid w:val="00A767A0"/>
    <w:rsid w:val="00A93B85"/>
    <w:rsid w:val="00AA0B18"/>
    <w:rsid w:val="00AA3C65"/>
    <w:rsid w:val="00AA666F"/>
    <w:rsid w:val="00AD4135"/>
    <w:rsid w:val="00AD7914"/>
    <w:rsid w:val="00B10D85"/>
    <w:rsid w:val="00B25CB0"/>
    <w:rsid w:val="00B263FD"/>
    <w:rsid w:val="00B40888"/>
    <w:rsid w:val="00B639E9"/>
    <w:rsid w:val="00B817CD"/>
    <w:rsid w:val="00B81A7D"/>
    <w:rsid w:val="00B927DC"/>
    <w:rsid w:val="00B94AD0"/>
    <w:rsid w:val="00BA7B66"/>
    <w:rsid w:val="00BB3A95"/>
    <w:rsid w:val="00BD6CCE"/>
    <w:rsid w:val="00C0018F"/>
    <w:rsid w:val="00C1012E"/>
    <w:rsid w:val="00C16A5A"/>
    <w:rsid w:val="00C20466"/>
    <w:rsid w:val="00C214ED"/>
    <w:rsid w:val="00C22E68"/>
    <w:rsid w:val="00C234E6"/>
    <w:rsid w:val="00C324A8"/>
    <w:rsid w:val="00C54517"/>
    <w:rsid w:val="00C56F70"/>
    <w:rsid w:val="00C57B91"/>
    <w:rsid w:val="00C64CD8"/>
    <w:rsid w:val="00C82695"/>
    <w:rsid w:val="00C87D52"/>
    <w:rsid w:val="00C97C68"/>
    <w:rsid w:val="00CA1A47"/>
    <w:rsid w:val="00CA3DFC"/>
    <w:rsid w:val="00CB44E5"/>
    <w:rsid w:val="00CB4A93"/>
    <w:rsid w:val="00CC247A"/>
    <w:rsid w:val="00CC4C5D"/>
    <w:rsid w:val="00CE388F"/>
    <w:rsid w:val="00CE5E47"/>
    <w:rsid w:val="00CF020F"/>
    <w:rsid w:val="00CF2B5B"/>
    <w:rsid w:val="00D03EBA"/>
    <w:rsid w:val="00D14CE0"/>
    <w:rsid w:val="00D268B3"/>
    <w:rsid w:val="00D52FD6"/>
    <w:rsid w:val="00D54009"/>
    <w:rsid w:val="00D5651D"/>
    <w:rsid w:val="00D57A34"/>
    <w:rsid w:val="00D74898"/>
    <w:rsid w:val="00D801ED"/>
    <w:rsid w:val="00D936BC"/>
    <w:rsid w:val="00D96530"/>
    <w:rsid w:val="00DA1CB1"/>
    <w:rsid w:val="00DC561F"/>
    <w:rsid w:val="00DD1983"/>
    <w:rsid w:val="00DD3866"/>
    <w:rsid w:val="00DD44AF"/>
    <w:rsid w:val="00DE0DB8"/>
    <w:rsid w:val="00DE12FE"/>
    <w:rsid w:val="00DE2AC3"/>
    <w:rsid w:val="00DE5692"/>
    <w:rsid w:val="00DE6300"/>
    <w:rsid w:val="00DF4BC6"/>
    <w:rsid w:val="00E03C94"/>
    <w:rsid w:val="00E205BC"/>
    <w:rsid w:val="00E26226"/>
    <w:rsid w:val="00E45D05"/>
    <w:rsid w:val="00E55816"/>
    <w:rsid w:val="00E55AEF"/>
    <w:rsid w:val="00E90172"/>
    <w:rsid w:val="00E976C1"/>
    <w:rsid w:val="00EA12E5"/>
    <w:rsid w:val="00EB55C6"/>
    <w:rsid w:val="00EE0236"/>
    <w:rsid w:val="00EF1932"/>
    <w:rsid w:val="00EF71B6"/>
    <w:rsid w:val="00F009C9"/>
    <w:rsid w:val="00F02766"/>
    <w:rsid w:val="00F05BD4"/>
    <w:rsid w:val="00F06473"/>
    <w:rsid w:val="00F6155B"/>
    <w:rsid w:val="00F63F54"/>
    <w:rsid w:val="00F65C19"/>
    <w:rsid w:val="00FA4DC7"/>
    <w:rsid w:val="00FD08E2"/>
    <w:rsid w:val="00FD18DA"/>
    <w:rsid w:val="00FD2546"/>
    <w:rsid w:val="00FD772E"/>
    <w:rsid w:val="00FE78C7"/>
    <w:rsid w:val="00FF03A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0E3D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Index1">
    <w:name w:val="index 1"/>
    <w:basedOn w:val="Normal"/>
    <w:next w:val="Normal"/>
    <w:semiHidden/>
    <w:rsid w:val="00341648"/>
    <w:pPr>
      <w:tabs>
        <w:tab w:val="clear" w:pos="1134"/>
        <w:tab w:val="clear" w:pos="1871"/>
        <w:tab w:val="clear" w:pos="2268"/>
        <w:tab w:val="left" w:pos="794"/>
        <w:tab w:val="left" w:pos="1191"/>
        <w:tab w:val="left" w:pos="1588"/>
        <w:tab w:val="left" w:pos="1985"/>
      </w:tabs>
      <w:spacing w:before="136"/>
    </w:pPr>
    <w:rPr>
      <w:rFonts w:ascii="Arial" w:hAnsi="Arial"/>
      <w:sz w:val="22"/>
    </w:rPr>
  </w:style>
  <w:style w:type="paragraph" w:customStyle="1" w:styleId="Normalaftertitleaf">
    <w:name w:val="Normal after title_af"/>
    <w:basedOn w:val="Normalaftertitle"/>
    <w:rsid w:val="00341648"/>
    <w:pPr>
      <w:tabs>
        <w:tab w:val="left" w:pos="680"/>
      </w:tabs>
      <w:spacing w:before="360"/>
      <w:ind w:left="1134" w:hanging="1134"/>
      <w:jc w:val="both"/>
    </w:pPr>
  </w:style>
  <w:style w:type="paragraph" w:customStyle="1" w:styleId="Art">
    <w:name w:val="Art_#"/>
    <w:basedOn w:val="Normal"/>
    <w:next w:val="Arttitle"/>
    <w:rsid w:val="00341648"/>
    <w:pPr>
      <w:keepNext/>
      <w:keepLines/>
      <w:spacing w:before="720"/>
      <w:jc w:val="center"/>
    </w:pPr>
    <w:rPr>
      <w:sz w:val="28"/>
    </w:rPr>
  </w:style>
  <w:style w:type="character" w:customStyle="1" w:styleId="href">
    <w:name w:val="href"/>
    <w:basedOn w:val="DefaultParagraphFont"/>
    <w:rsid w:val="00341648"/>
    <w:rPr>
      <w:color w:val="FF0000"/>
    </w:rPr>
  </w:style>
  <w:style w:type="paragraph" w:customStyle="1" w:styleId="toc0">
    <w:name w:val="toc 0"/>
    <w:basedOn w:val="Normal"/>
    <w:next w:val="TOC1"/>
    <w:rsid w:val="003613C1"/>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FF03A7"/>
    <w:rPr>
      <w:sz w:val="16"/>
      <w:szCs w:val="16"/>
    </w:rPr>
  </w:style>
  <w:style w:type="paragraph" w:styleId="CommentText">
    <w:name w:val="annotation text"/>
    <w:basedOn w:val="Normal"/>
    <w:link w:val="CommentTextChar"/>
    <w:uiPriority w:val="99"/>
    <w:semiHidden/>
    <w:unhideWhenUsed/>
    <w:rsid w:val="00FF03A7"/>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FF03A7"/>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R16-WRC19-C-565656!!MSW-E</DPM_x0020_File_x0020_name>
    <DPM_x0020_Author xmlns="32a1a8c5-2265-4ebc-b7a0-2071e2c5c9bb" xsi:nil="false">DPM</DPM_x0020_Author>
    <DPM_x0020_Version xmlns="32a1a8c5-2265-4ebc-b7a0-2071e2c5c9bb" xsi:nil="false">DPM_2018.11.08.1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706A-AFA4-4E6C-A029-87E805750FF5}">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DD539-62B7-4D6B-803B-C0ED08D1C7C0}">
  <ds:schemaRefs>
    <ds:schemaRef ds:uri="http://purl.org/dc/terms/"/>
    <ds:schemaRef ds:uri="http://schemas.microsoft.com/office/2006/metadata/properties"/>
    <ds:schemaRef ds:uri="http://schemas.microsoft.com/office/2006/documentManagement/types"/>
    <ds:schemaRef ds:uri="996b2e75-67fd-4955-a3b0-5ab9934cb50b"/>
    <ds:schemaRef ds:uri="http://purl.org/dc/elements/1.1/"/>
    <ds:schemaRef ds:uri="http://www.w3.org/XML/1998/namespace"/>
    <ds:schemaRef ds:uri="http://schemas.microsoft.com/office/infopath/2007/PartnerControls"/>
    <ds:schemaRef ds:uri="http://schemas.openxmlformats.org/package/2006/metadata/core-properties"/>
    <ds:schemaRef ds:uri="32a1a8c5-2265-4ebc-b7a0-2071e2c5c9bb"/>
    <ds:schemaRef ds:uri="http://purl.org/dc/dcmitype/"/>
  </ds:schemaRefs>
</ds:datastoreItem>
</file>

<file path=customXml/itemProps5.xml><?xml version="1.0" encoding="utf-8"?>
<ds:datastoreItem xmlns:ds="http://schemas.openxmlformats.org/officeDocument/2006/customXml" ds:itemID="{EFF2E77A-25CF-4C1C-85ED-15B62DD9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2820</Words>
  <Characters>15516</Characters>
  <Application>Microsoft Office Word</Application>
  <DocSecurity>0</DocSecurity>
  <Lines>302</Lines>
  <Paragraphs>126</Paragraphs>
  <ScaleCrop>false</ScaleCrop>
  <HeadingPairs>
    <vt:vector size="2" baseType="variant">
      <vt:variant>
        <vt:lpstr>Title</vt:lpstr>
      </vt:variant>
      <vt:variant>
        <vt:i4>1</vt:i4>
      </vt:variant>
    </vt:vector>
  </HeadingPairs>
  <TitlesOfParts>
    <vt:vector size="1" baseType="lpstr">
      <vt:lpstr>R16-WRC19-C-565656!!MSW-E</vt:lpstr>
    </vt:vector>
  </TitlesOfParts>
  <Manager>General Secretariat - Pool</Manager>
  <Company>International Telecommunication Union (ITU)</Company>
  <LinksUpToDate>false</LinksUpToDate>
  <CharactersWithSpaces>18230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R16-WRC19-C-565656!!MSW-E</dc:title>
  <dc:subject>World Radiocommunication Conference - 2019</dc:subject>
  <dc:creator>Documents Proposals Manager (DPM)</dc:creator>
  <cp:keywords>DPM_v2019.4.3.1_prod</cp:keywords>
  <dc:description>Uploaded on 2015.07.06</dc:description>
  <cp:lastModifiedBy>English</cp:lastModifiedBy>
  <cp:revision>8</cp:revision>
  <cp:lastPrinted>2019-11-17T11:34:00Z</cp:lastPrinted>
  <dcterms:created xsi:type="dcterms:W3CDTF">2019-11-17T10:30:00Z</dcterms:created>
  <dcterms:modified xsi:type="dcterms:W3CDTF">2019-11-17T11:35:00Z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