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C92213" w:rsidRPr="009A2ABF" w14:paraId="1B54CA32" w14:textId="77777777">
        <w:trPr>
          <w:cantSplit/>
        </w:trPr>
        <w:tc>
          <w:tcPr>
            <w:tcW w:w="6911" w:type="dxa"/>
          </w:tcPr>
          <w:p w14:paraId="27EABDB8" w14:textId="77777777" w:rsidR="00C92213" w:rsidRPr="009A2ABF" w:rsidRDefault="00C92213" w:rsidP="00C92213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bookmarkStart w:id="0" w:name="dtemplate"/>
            <w:bookmarkEnd w:id="0"/>
            <w:r w:rsidRPr="009A2ABF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(ВКР-19)</w:t>
            </w:r>
            <w:r w:rsidRPr="009A2ABF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9A2AB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Египет,</w:t>
            </w:r>
            <w:r w:rsidRPr="009A2ABF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9A2AB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120" w:type="dxa"/>
          </w:tcPr>
          <w:p w14:paraId="737CF1CA" w14:textId="77777777" w:rsidR="00C92213" w:rsidRPr="009A2ABF" w:rsidRDefault="00C92213" w:rsidP="00C92213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9A2ABF">
              <w:rPr>
                <w:szCs w:val="22"/>
                <w:lang w:eastAsia="zh-CN"/>
              </w:rPr>
              <w:drawing>
                <wp:inline distT="0" distB="0" distL="0" distR="0" wp14:anchorId="78C9D101" wp14:editId="7163FD16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213" w:rsidRPr="009A2ABF" w14:paraId="39DFDBB6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EDDA4BA" w14:textId="77777777" w:rsidR="00C92213" w:rsidRPr="009A2ABF" w:rsidRDefault="00C92213">
            <w:pPr>
              <w:spacing w:after="48" w:line="240" w:lineRule="atLeast"/>
              <w:rPr>
                <w:rFonts w:ascii="Verdana" w:hAnsi="Verdana"/>
                <w:b/>
                <w:smallCaps/>
                <w:sz w:val="18"/>
                <w:szCs w:val="18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38052EC4" w14:textId="77777777" w:rsidR="00C92213" w:rsidRPr="009A2ABF" w:rsidRDefault="00C92213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C92213" w:rsidRPr="009A2ABF" w14:paraId="2175AA81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5BFCAC08" w14:textId="77777777" w:rsidR="00C92213" w:rsidRPr="009A2ABF" w:rsidRDefault="00C92213" w:rsidP="00C92213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760A3B9" w14:textId="77777777" w:rsidR="00C92213" w:rsidRPr="009A2ABF" w:rsidRDefault="00C92213" w:rsidP="00C92213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tr w:rsidR="00C92213" w:rsidRPr="009A2ABF" w14:paraId="2EB7A879" w14:textId="77777777">
        <w:trPr>
          <w:cantSplit/>
          <w:trHeight w:val="23"/>
        </w:trPr>
        <w:tc>
          <w:tcPr>
            <w:tcW w:w="6911" w:type="dxa"/>
            <w:vMerge w:val="restart"/>
          </w:tcPr>
          <w:p w14:paraId="3A1AD67A" w14:textId="3AAB0F82" w:rsidR="00C92213" w:rsidRPr="009A2ABF" w:rsidRDefault="00A769F6" w:rsidP="00C92213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4" w:name="dnum" w:colFirst="1" w:colLast="1"/>
            <w:bookmarkStart w:id="5" w:name="dmeeting" w:colFirst="0" w:colLast="0"/>
            <w:bookmarkEnd w:id="2"/>
            <w:bookmarkEnd w:id="3"/>
            <w:r w:rsidRPr="009A2ABF">
              <w:rPr>
                <w:rFonts w:ascii="Verdana" w:hAnsi="Verdana"/>
                <w:b/>
                <w:sz w:val="18"/>
                <w:szCs w:val="18"/>
              </w:rPr>
              <w:t>ПЛЕНАРНОЕ ЗАСЕДАНИЕ</w:t>
            </w:r>
          </w:p>
        </w:tc>
        <w:tc>
          <w:tcPr>
            <w:tcW w:w="3120" w:type="dxa"/>
          </w:tcPr>
          <w:p w14:paraId="32A2E854" w14:textId="085A934C" w:rsidR="00C92213" w:rsidRPr="009A2ABF" w:rsidRDefault="00C92213" w:rsidP="00C92213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9A2ABF">
              <w:rPr>
                <w:rFonts w:ascii="Verdana" w:hAnsi="Verdana"/>
                <w:b/>
                <w:bCs/>
                <w:sz w:val="18"/>
                <w:szCs w:val="18"/>
              </w:rPr>
              <w:t xml:space="preserve">Документ </w:t>
            </w:r>
            <w:r w:rsidR="00126252" w:rsidRPr="009A2ABF">
              <w:rPr>
                <w:rFonts w:ascii="Verdana" w:hAnsi="Verdana"/>
                <w:b/>
                <w:bCs/>
                <w:sz w:val="18"/>
                <w:szCs w:val="18"/>
              </w:rPr>
              <w:t>237</w:t>
            </w:r>
            <w:r w:rsidRPr="009A2ABF">
              <w:rPr>
                <w:rFonts w:ascii="Verdana" w:hAnsi="Verdana"/>
                <w:b/>
                <w:bCs/>
                <w:sz w:val="18"/>
                <w:szCs w:val="18"/>
              </w:rPr>
              <w:t>-R</w:t>
            </w:r>
          </w:p>
        </w:tc>
      </w:tr>
      <w:tr w:rsidR="00C92213" w:rsidRPr="009A2ABF" w14:paraId="43998264" w14:textId="77777777">
        <w:trPr>
          <w:cantSplit/>
          <w:trHeight w:val="23"/>
        </w:trPr>
        <w:tc>
          <w:tcPr>
            <w:tcW w:w="6911" w:type="dxa"/>
            <w:vMerge/>
          </w:tcPr>
          <w:p w14:paraId="56C6E825" w14:textId="77777777" w:rsidR="00C92213" w:rsidRPr="009A2ABF" w:rsidRDefault="00C92213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6" w:name="ddate" w:colFirst="1" w:colLast="1"/>
            <w:bookmarkEnd w:id="4"/>
            <w:bookmarkEnd w:id="5"/>
          </w:p>
        </w:tc>
        <w:tc>
          <w:tcPr>
            <w:tcW w:w="3120" w:type="dxa"/>
          </w:tcPr>
          <w:p w14:paraId="27C4CA81" w14:textId="54063CB2" w:rsidR="00C92213" w:rsidRPr="009A2ABF" w:rsidRDefault="008153AD" w:rsidP="00C92213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A2ABF">
              <w:rPr>
                <w:rFonts w:ascii="Verdana" w:hAnsi="Verdana"/>
                <w:b/>
                <w:bCs/>
                <w:sz w:val="18"/>
                <w:szCs w:val="18"/>
              </w:rPr>
              <w:t>8 ноября</w:t>
            </w:r>
            <w:r w:rsidR="00C92213" w:rsidRPr="009A2ABF">
              <w:rPr>
                <w:rFonts w:ascii="Verdana" w:hAnsi="Verdana"/>
                <w:b/>
                <w:bCs/>
                <w:sz w:val="18"/>
                <w:szCs w:val="18"/>
              </w:rPr>
              <w:t xml:space="preserve"> 2019 года</w:t>
            </w:r>
          </w:p>
        </w:tc>
      </w:tr>
      <w:tr w:rsidR="00C92213" w:rsidRPr="009A2ABF" w14:paraId="5FA5D889" w14:textId="77777777">
        <w:trPr>
          <w:cantSplit/>
          <w:trHeight w:val="23"/>
        </w:trPr>
        <w:tc>
          <w:tcPr>
            <w:tcW w:w="6911" w:type="dxa"/>
            <w:vMerge/>
          </w:tcPr>
          <w:p w14:paraId="732C13C3" w14:textId="77777777" w:rsidR="00C92213" w:rsidRPr="009A2ABF" w:rsidRDefault="00C92213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7" w:name="dorlang" w:colFirst="1" w:colLast="1"/>
            <w:bookmarkEnd w:id="6"/>
          </w:p>
        </w:tc>
        <w:tc>
          <w:tcPr>
            <w:tcW w:w="3120" w:type="dxa"/>
          </w:tcPr>
          <w:p w14:paraId="7CFF0D15" w14:textId="77777777" w:rsidR="00C92213" w:rsidRPr="009A2ABF" w:rsidRDefault="00C92213" w:rsidP="00C92213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A2ABF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AC2575" w:rsidRPr="009A2ABF" w14:paraId="0226651D" w14:textId="77777777">
        <w:trPr>
          <w:cantSplit/>
        </w:trPr>
        <w:tc>
          <w:tcPr>
            <w:tcW w:w="10031" w:type="dxa"/>
            <w:gridSpan w:val="2"/>
          </w:tcPr>
          <w:p w14:paraId="11659C35" w14:textId="77777777" w:rsidR="00AC2575" w:rsidRPr="009A2ABF" w:rsidRDefault="00AC2575" w:rsidP="00C827D1">
            <w:pPr>
              <w:spacing w:before="0"/>
            </w:pPr>
          </w:p>
        </w:tc>
      </w:tr>
      <w:tr w:rsidR="00C92213" w:rsidRPr="009A2ABF" w14:paraId="1F66E42B" w14:textId="77777777">
        <w:trPr>
          <w:cantSplit/>
        </w:trPr>
        <w:tc>
          <w:tcPr>
            <w:tcW w:w="10031" w:type="dxa"/>
            <w:gridSpan w:val="2"/>
          </w:tcPr>
          <w:p w14:paraId="7870EDFC" w14:textId="3688D8EC" w:rsidR="00C92213" w:rsidRPr="009A2ABF" w:rsidRDefault="008153AD" w:rsidP="00313D6E">
            <w:pPr>
              <w:pStyle w:val="Title1"/>
            </w:pPr>
            <w:bookmarkStart w:id="8" w:name="dsource" w:colFirst="0" w:colLast="0"/>
            <w:bookmarkEnd w:id="7"/>
            <w:r w:rsidRPr="009A2ABF">
              <w:t>ПРОТОКОЛ</w:t>
            </w:r>
            <w:r w:rsidR="00894CAD" w:rsidRPr="009A2ABF">
              <w:rPr>
                <w:szCs w:val="26"/>
              </w:rPr>
              <w:t xml:space="preserve"> </w:t>
            </w:r>
            <w:r w:rsidR="00313D6E" w:rsidRPr="009A2ABF">
              <w:rPr>
                <w:szCs w:val="26"/>
              </w:rPr>
              <w:br/>
            </w:r>
            <w:r w:rsidR="00894CAD" w:rsidRPr="009A2ABF">
              <w:rPr>
                <w:szCs w:val="26"/>
              </w:rPr>
              <w:t>ЧЕТВЕРТОГО ПЛЕНАРНОГО ЗАСЕДАНИЯ</w:t>
            </w:r>
          </w:p>
        </w:tc>
      </w:tr>
      <w:tr w:rsidR="00894CAD" w:rsidRPr="009A2ABF" w14:paraId="0712528B" w14:textId="77777777">
        <w:trPr>
          <w:cantSplit/>
        </w:trPr>
        <w:tc>
          <w:tcPr>
            <w:tcW w:w="10031" w:type="dxa"/>
            <w:gridSpan w:val="2"/>
          </w:tcPr>
          <w:p w14:paraId="494C16C5" w14:textId="292E07F2" w:rsidR="00894CAD" w:rsidRPr="009A2ABF" w:rsidRDefault="00894CAD" w:rsidP="00894CAD">
            <w:pPr>
              <w:pStyle w:val="Normalaftertitle"/>
              <w:jc w:val="center"/>
              <w:rPr>
                <w:szCs w:val="26"/>
              </w:rPr>
            </w:pPr>
            <w:bookmarkStart w:id="9" w:name="dtitle1" w:colFirst="0" w:colLast="0"/>
            <w:bookmarkEnd w:id="8"/>
            <w:r w:rsidRPr="009A2ABF">
              <w:t>Среда, 6 ноября 2019 года, 14 час. 10 мин.</w:t>
            </w:r>
          </w:p>
        </w:tc>
      </w:tr>
      <w:tr w:rsidR="00894CAD" w:rsidRPr="009A2ABF" w14:paraId="34EBB163" w14:textId="77777777">
        <w:trPr>
          <w:cantSplit/>
        </w:trPr>
        <w:tc>
          <w:tcPr>
            <w:tcW w:w="10031" w:type="dxa"/>
            <w:gridSpan w:val="2"/>
          </w:tcPr>
          <w:p w14:paraId="64F56334" w14:textId="65F3A48E" w:rsidR="00894CAD" w:rsidRPr="009A2ABF" w:rsidRDefault="00894CAD" w:rsidP="00894CAD">
            <w:pPr>
              <w:jc w:val="center"/>
            </w:pPr>
            <w:bookmarkStart w:id="10" w:name="dtitle2" w:colFirst="0" w:colLast="0"/>
            <w:bookmarkEnd w:id="9"/>
            <w:r w:rsidRPr="009A2ABF">
              <w:rPr>
                <w:b/>
              </w:rPr>
              <w:t>Председатель</w:t>
            </w:r>
            <w:r w:rsidRPr="009A2ABF">
              <w:t>: г-н А. БАДАВИ (Египет)</w:t>
            </w:r>
          </w:p>
        </w:tc>
      </w:tr>
      <w:tr w:rsidR="00894CAD" w:rsidRPr="009A2ABF" w14:paraId="29CD6C1A" w14:textId="77777777">
        <w:trPr>
          <w:cantSplit/>
        </w:trPr>
        <w:tc>
          <w:tcPr>
            <w:tcW w:w="10031" w:type="dxa"/>
            <w:gridSpan w:val="2"/>
          </w:tcPr>
          <w:p w14:paraId="5100E13B" w14:textId="0FFB0A53" w:rsidR="00894CAD" w:rsidRPr="009A2ABF" w:rsidRDefault="00894CAD" w:rsidP="00894CAD">
            <w:pPr>
              <w:pStyle w:val="Title3"/>
              <w:rPr>
                <w:sz w:val="22"/>
                <w:szCs w:val="22"/>
              </w:rPr>
            </w:pPr>
            <w:bookmarkStart w:id="11" w:name="dtitle3" w:colFirst="0" w:colLast="0"/>
            <w:bookmarkEnd w:id="10"/>
          </w:p>
        </w:tc>
      </w:tr>
      <w:bookmarkEnd w:id="11"/>
    </w:tbl>
    <w:p w14:paraId="48B8E8DA" w14:textId="4070521C" w:rsidR="00A93DD4" w:rsidRPr="009A2ABF" w:rsidRDefault="00A93DD4" w:rsidP="006B078C"/>
    <w:tbl>
      <w:tblPr>
        <w:tblW w:w="10031" w:type="dxa"/>
        <w:tblLook w:val="0000" w:firstRow="0" w:lastRow="0" w:firstColumn="0" w:lastColumn="0" w:noHBand="0" w:noVBand="0"/>
      </w:tblPr>
      <w:tblGrid>
        <w:gridCol w:w="534"/>
        <w:gridCol w:w="7159"/>
        <w:gridCol w:w="2338"/>
      </w:tblGrid>
      <w:tr w:rsidR="008153AD" w:rsidRPr="009A2ABF" w14:paraId="33BDF038" w14:textId="77777777" w:rsidTr="0003644B">
        <w:tc>
          <w:tcPr>
            <w:tcW w:w="534" w:type="dxa"/>
          </w:tcPr>
          <w:p w14:paraId="3DA55491" w14:textId="77777777" w:rsidR="008153AD" w:rsidRPr="009A2ABF" w:rsidRDefault="008153AD" w:rsidP="008153AD"/>
        </w:tc>
        <w:tc>
          <w:tcPr>
            <w:tcW w:w="7159" w:type="dxa"/>
          </w:tcPr>
          <w:p w14:paraId="0AAA1A18" w14:textId="77777777" w:rsidR="008153AD" w:rsidRPr="009A2ABF" w:rsidRDefault="008153AD" w:rsidP="008153AD">
            <w:pPr>
              <w:rPr>
                <w:b/>
                <w:bCs/>
              </w:rPr>
            </w:pPr>
            <w:r w:rsidRPr="009A2ABF">
              <w:rPr>
                <w:b/>
                <w:bCs/>
              </w:rPr>
              <w:t>Обсуждаемые вопросы</w:t>
            </w:r>
          </w:p>
        </w:tc>
        <w:tc>
          <w:tcPr>
            <w:tcW w:w="2338" w:type="dxa"/>
          </w:tcPr>
          <w:p w14:paraId="3AB7AEE9" w14:textId="77777777" w:rsidR="008153AD" w:rsidRPr="009A2ABF" w:rsidRDefault="008153AD" w:rsidP="00894CAD">
            <w:pPr>
              <w:jc w:val="center"/>
              <w:rPr>
                <w:b/>
                <w:bCs/>
              </w:rPr>
            </w:pPr>
            <w:r w:rsidRPr="009A2ABF">
              <w:rPr>
                <w:b/>
                <w:bCs/>
              </w:rPr>
              <w:t>Документы</w:t>
            </w:r>
          </w:p>
        </w:tc>
      </w:tr>
      <w:tr w:rsidR="008153AD" w:rsidRPr="009A2ABF" w14:paraId="6FA27061" w14:textId="77777777" w:rsidTr="0003644B">
        <w:tc>
          <w:tcPr>
            <w:tcW w:w="534" w:type="dxa"/>
          </w:tcPr>
          <w:p w14:paraId="18B56A70" w14:textId="6DCC19DD" w:rsidR="008153AD" w:rsidRPr="009A2ABF" w:rsidRDefault="008153AD" w:rsidP="008153AD">
            <w:r w:rsidRPr="009A2ABF">
              <w:t>1</w:t>
            </w:r>
          </w:p>
        </w:tc>
        <w:tc>
          <w:tcPr>
            <w:tcW w:w="7159" w:type="dxa"/>
          </w:tcPr>
          <w:p w14:paraId="02C11937" w14:textId="69869E91" w:rsidR="008153AD" w:rsidRPr="009A2ABF" w:rsidRDefault="00BD7593" w:rsidP="00BD7593">
            <w:r w:rsidRPr="009A2ABF">
              <w:rPr>
                <w:szCs w:val="24"/>
              </w:rPr>
              <w:t xml:space="preserve">Устные отчеты председателей комитетов </w:t>
            </w:r>
          </w:p>
        </w:tc>
        <w:tc>
          <w:tcPr>
            <w:tcW w:w="2338" w:type="dxa"/>
          </w:tcPr>
          <w:p w14:paraId="44F1143E" w14:textId="31643CAC" w:rsidR="008153AD" w:rsidRPr="009A2ABF" w:rsidRDefault="008153AD" w:rsidP="008153AD">
            <w:pPr>
              <w:jc w:val="center"/>
            </w:pPr>
            <w:r w:rsidRPr="009A2ABF">
              <w:rPr>
                <w:szCs w:val="24"/>
              </w:rPr>
              <w:t>133</w:t>
            </w:r>
          </w:p>
        </w:tc>
      </w:tr>
      <w:tr w:rsidR="008153AD" w:rsidRPr="009A2ABF" w14:paraId="47C7205B" w14:textId="77777777" w:rsidTr="0003644B">
        <w:tc>
          <w:tcPr>
            <w:tcW w:w="534" w:type="dxa"/>
          </w:tcPr>
          <w:p w14:paraId="45BE329F" w14:textId="77777777" w:rsidR="008153AD" w:rsidRPr="009A2ABF" w:rsidRDefault="008153AD" w:rsidP="008153AD">
            <w:r w:rsidRPr="009A2ABF">
              <w:t>2</w:t>
            </w:r>
          </w:p>
        </w:tc>
        <w:tc>
          <w:tcPr>
            <w:tcW w:w="7159" w:type="dxa"/>
            <w:shd w:val="clear" w:color="auto" w:fill="auto"/>
          </w:tcPr>
          <w:p w14:paraId="2CA8E17E" w14:textId="1153457B" w:rsidR="008153AD" w:rsidRPr="009A2ABF" w:rsidRDefault="008153AD" w:rsidP="008153AD">
            <w:r w:rsidRPr="009A2ABF">
              <w:t>Документы для утверждения</w:t>
            </w:r>
          </w:p>
        </w:tc>
        <w:tc>
          <w:tcPr>
            <w:tcW w:w="2338" w:type="dxa"/>
          </w:tcPr>
          <w:p w14:paraId="65DF6F8B" w14:textId="07227E5A" w:rsidR="008153AD" w:rsidRPr="009A2ABF" w:rsidRDefault="008153AD" w:rsidP="008153AD">
            <w:pPr>
              <w:jc w:val="center"/>
            </w:pPr>
            <w:r w:rsidRPr="009A2ABF">
              <w:rPr>
                <w:szCs w:val="24"/>
              </w:rPr>
              <w:t>201, 202, 168(Rev.1)</w:t>
            </w:r>
          </w:p>
        </w:tc>
      </w:tr>
      <w:tr w:rsidR="008153AD" w:rsidRPr="009A2ABF" w14:paraId="69324AAC" w14:textId="77777777" w:rsidTr="0003644B">
        <w:trPr>
          <w:trHeight w:val="321"/>
        </w:trPr>
        <w:tc>
          <w:tcPr>
            <w:tcW w:w="534" w:type="dxa"/>
          </w:tcPr>
          <w:p w14:paraId="3D311C60" w14:textId="77777777" w:rsidR="008153AD" w:rsidRPr="009A2ABF" w:rsidRDefault="008153AD" w:rsidP="008153AD">
            <w:r w:rsidRPr="009A2ABF">
              <w:t>3</w:t>
            </w:r>
          </w:p>
        </w:tc>
        <w:tc>
          <w:tcPr>
            <w:tcW w:w="7159" w:type="dxa"/>
          </w:tcPr>
          <w:p w14:paraId="201A5622" w14:textId="0AEB06B2" w:rsidR="008153AD" w:rsidRPr="009A2ABF" w:rsidRDefault="008153AD" w:rsidP="008153AD">
            <w:r w:rsidRPr="009A2ABF">
              <w:t>Первая серия текстов, представленных Редакционным комитетом для первого чтения (В1)</w:t>
            </w:r>
          </w:p>
        </w:tc>
        <w:tc>
          <w:tcPr>
            <w:tcW w:w="2338" w:type="dxa"/>
          </w:tcPr>
          <w:p w14:paraId="2D67263A" w14:textId="38A8ACA8" w:rsidR="008153AD" w:rsidRPr="009A2ABF" w:rsidRDefault="008153AD" w:rsidP="008153AD">
            <w:pPr>
              <w:jc w:val="center"/>
            </w:pPr>
            <w:r w:rsidRPr="009A2ABF">
              <w:rPr>
                <w:szCs w:val="24"/>
              </w:rPr>
              <w:t>188</w:t>
            </w:r>
          </w:p>
        </w:tc>
      </w:tr>
      <w:tr w:rsidR="008153AD" w:rsidRPr="009A2ABF" w14:paraId="4274CBD0" w14:textId="77777777" w:rsidTr="0003644B">
        <w:tc>
          <w:tcPr>
            <w:tcW w:w="534" w:type="dxa"/>
          </w:tcPr>
          <w:p w14:paraId="49678CE3" w14:textId="77777777" w:rsidR="008153AD" w:rsidRPr="009A2ABF" w:rsidRDefault="008153AD" w:rsidP="008153AD">
            <w:r w:rsidRPr="009A2ABF">
              <w:t>4</w:t>
            </w:r>
          </w:p>
        </w:tc>
        <w:tc>
          <w:tcPr>
            <w:tcW w:w="7159" w:type="dxa"/>
          </w:tcPr>
          <w:p w14:paraId="2494C997" w14:textId="756C8DFD" w:rsidR="008153AD" w:rsidRPr="009A2ABF" w:rsidRDefault="008153AD" w:rsidP="008153AD">
            <w:r w:rsidRPr="009A2ABF">
              <w:t>Первая серия текстов, представленных Редакционным комитетом (В1) − второе чтение</w:t>
            </w:r>
          </w:p>
        </w:tc>
        <w:tc>
          <w:tcPr>
            <w:tcW w:w="2338" w:type="dxa"/>
          </w:tcPr>
          <w:p w14:paraId="7B06799F" w14:textId="27A3B75B" w:rsidR="008153AD" w:rsidRPr="009A2ABF" w:rsidRDefault="008153AD" w:rsidP="008153AD">
            <w:pPr>
              <w:jc w:val="center"/>
            </w:pPr>
            <w:r w:rsidRPr="009A2ABF">
              <w:rPr>
                <w:szCs w:val="24"/>
              </w:rPr>
              <w:t>188</w:t>
            </w:r>
          </w:p>
        </w:tc>
      </w:tr>
      <w:tr w:rsidR="008153AD" w:rsidRPr="009A2ABF" w14:paraId="20140994" w14:textId="77777777" w:rsidTr="0003644B">
        <w:tc>
          <w:tcPr>
            <w:tcW w:w="534" w:type="dxa"/>
          </w:tcPr>
          <w:p w14:paraId="15BBB891" w14:textId="77777777" w:rsidR="008153AD" w:rsidRPr="009A2ABF" w:rsidRDefault="008153AD" w:rsidP="008153AD">
            <w:r w:rsidRPr="009A2ABF">
              <w:t>5</w:t>
            </w:r>
          </w:p>
        </w:tc>
        <w:tc>
          <w:tcPr>
            <w:tcW w:w="7159" w:type="dxa"/>
          </w:tcPr>
          <w:p w14:paraId="5DA44986" w14:textId="60900D02" w:rsidR="008153AD" w:rsidRPr="009A2ABF" w:rsidRDefault="008153AD" w:rsidP="008153AD">
            <w:r w:rsidRPr="009A2ABF">
              <w:t>Вторая серия текстов, представленных Редакционным комитетом для первого чтения (B2)</w:t>
            </w:r>
          </w:p>
        </w:tc>
        <w:tc>
          <w:tcPr>
            <w:tcW w:w="2338" w:type="dxa"/>
          </w:tcPr>
          <w:p w14:paraId="02A57206" w14:textId="421C5048" w:rsidR="008153AD" w:rsidRPr="009A2ABF" w:rsidRDefault="008153AD" w:rsidP="008153AD">
            <w:pPr>
              <w:jc w:val="center"/>
            </w:pPr>
            <w:r w:rsidRPr="009A2ABF">
              <w:rPr>
                <w:szCs w:val="24"/>
              </w:rPr>
              <w:t>189</w:t>
            </w:r>
          </w:p>
        </w:tc>
      </w:tr>
      <w:tr w:rsidR="008153AD" w:rsidRPr="009A2ABF" w14:paraId="750B9D56" w14:textId="77777777" w:rsidTr="0003644B">
        <w:tc>
          <w:tcPr>
            <w:tcW w:w="534" w:type="dxa"/>
          </w:tcPr>
          <w:p w14:paraId="7AE97684" w14:textId="675B61DE" w:rsidR="008153AD" w:rsidRPr="009A2ABF" w:rsidRDefault="008153AD" w:rsidP="008153AD">
            <w:r w:rsidRPr="009A2ABF">
              <w:t>6</w:t>
            </w:r>
          </w:p>
        </w:tc>
        <w:tc>
          <w:tcPr>
            <w:tcW w:w="7159" w:type="dxa"/>
          </w:tcPr>
          <w:p w14:paraId="6974A973" w14:textId="599FED31" w:rsidR="008153AD" w:rsidRPr="009A2ABF" w:rsidRDefault="008153AD" w:rsidP="008153AD">
            <w:r w:rsidRPr="009A2ABF">
              <w:t>Вторая серия текстов, представленных Редакционным комитетом (В2) − второе чтение</w:t>
            </w:r>
          </w:p>
        </w:tc>
        <w:tc>
          <w:tcPr>
            <w:tcW w:w="2338" w:type="dxa"/>
          </w:tcPr>
          <w:p w14:paraId="3B959897" w14:textId="7524F471" w:rsidR="008153AD" w:rsidRPr="009A2ABF" w:rsidRDefault="008153AD" w:rsidP="008153AD">
            <w:pPr>
              <w:jc w:val="center"/>
            </w:pPr>
            <w:r w:rsidRPr="009A2ABF">
              <w:rPr>
                <w:szCs w:val="24"/>
              </w:rPr>
              <w:t>189</w:t>
            </w:r>
          </w:p>
        </w:tc>
      </w:tr>
      <w:tr w:rsidR="008153AD" w:rsidRPr="009A2ABF" w14:paraId="7B714F05" w14:textId="77777777" w:rsidTr="0003644B">
        <w:tc>
          <w:tcPr>
            <w:tcW w:w="534" w:type="dxa"/>
          </w:tcPr>
          <w:p w14:paraId="4A2906FA" w14:textId="3D160E8B" w:rsidR="008153AD" w:rsidRPr="009A2ABF" w:rsidRDefault="008153AD" w:rsidP="008153AD">
            <w:r w:rsidRPr="009A2ABF">
              <w:t>7</w:t>
            </w:r>
          </w:p>
        </w:tc>
        <w:tc>
          <w:tcPr>
            <w:tcW w:w="7159" w:type="dxa"/>
          </w:tcPr>
          <w:p w14:paraId="22FD83D5" w14:textId="6AA42DC3" w:rsidR="008153AD" w:rsidRPr="009A2ABF" w:rsidRDefault="008153AD" w:rsidP="008153AD">
            <w:r w:rsidRPr="009A2ABF">
              <w:t>Третья серия текстов, представленных Редакционным комитетом для первого чтения (B3)</w:t>
            </w:r>
          </w:p>
        </w:tc>
        <w:tc>
          <w:tcPr>
            <w:tcW w:w="2338" w:type="dxa"/>
          </w:tcPr>
          <w:p w14:paraId="72B74224" w14:textId="73A065E1" w:rsidR="008153AD" w:rsidRPr="009A2ABF" w:rsidRDefault="008153AD" w:rsidP="008153AD">
            <w:pPr>
              <w:jc w:val="center"/>
            </w:pPr>
            <w:r w:rsidRPr="009A2ABF">
              <w:rPr>
                <w:szCs w:val="24"/>
              </w:rPr>
              <w:t>190</w:t>
            </w:r>
          </w:p>
        </w:tc>
      </w:tr>
      <w:tr w:rsidR="008153AD" w:rsidRPr="009A2ABF" w14:paraId="7EAF21F2" w14:textId="77777777" w:rsidTr="0003644B">
        <w:tc>
          <w:tcPr>
            <w:tcW w:w="534" w:type="dxa"/>
          </w:tcPr>
          <w:p w14:paraId="6B9D1B3E" w14:textId="1238CE74" w:rsidR="008153AD" w:rsidRPr="009A2ABF" w:rsidRDefault="008153AD" w:rsidP="008153AD">
            <w:r w:rsidRPr="009A2ABF">
              <w:t>8</w:t>
            </w:r>
          </w:p>
        </w:tc>
        <w:tc>
          <w:tcPr>
            <w:tcW w:w="7159" w:type="dxa"/>
          </w:tcPr>
          <w:p w14:paraId="052B1828" w14:textId="377C780B" w:rsidR="008153AD" w:rsidRPr="009A2ABF" w:rsidRDefault="008153AD" w:rsidP="008153AD">
            <w:r w:rsidRPr="009A2ABF">
              <w:t>Третья серия текстов, представленных Редакционным комитетом (B3) – второе чтение</w:t>
            </w:r>
          </w:p>
        </w:tc>
        <w:tc>
          <w:tcPr>
            <w:tcW w:w="2338" w:type="dxa"/>
          </w:tcPr>
          <w:p w14:paraId="614A691B" w14:textId="47669F62" w:rsidR="008153AD" w:rsidRPr="009A2ABF" w:rsidRDefault="008153AD" w:rsidP="008153AD">
            <w:pPr>
              <w:jc w:val="center"/>
            </w:pPr>
            <w:r w:rsidRPr="009A2ABF">
              <w:rPr>
                <w:szCs w:val="24"/>
              </w:rPr>
              <w:t>190</w:t>
            </w:r>
          </w:p>
        </w:tc>
      </w:tr>
      <w:tr w:rsidR="008153AD" w:rsidRPr="009A2ABF" w14:paraId="24069D04" w14:textId="77777777" w:rsidTr="0003644B">
        <w:tc>
          <w:tcPr>
            <w:tcW w:w="534" w:type="dxa"/>
          </w:tcPr>
          <w:p w14:paraId="2DF0D7DF" w14:textId="2854F775" w:rsidR="008153AD" w:rsidRPr="009A2ABF" w:rsidRDefault="008153AD" w:rsidP="008153AD">
            <w:r w:rsidRPr="009A2ABF">
              <w:t>9</w:t>
            </w:r>
          </w:p>
        </w:tc>
        <w:tc>
          <w:tcPr>
            <w:tcW w:w="7159" w:type="dxa"/>
          </w:tcPr>
          <w:p w14:paraId="0B9650CB" w14:textId="62B81DD7" w:rsidR="008153AD" w:rsidRPr="009A2ABF" w:rsidRDefault="008153AD" w:rsidP="008153AD">
            <w:r w:rsidRPr="009A2ABF">
              <w:t>Утверждение протоколов первого и второго пленарных заседаний</w:t>
            </w:r>
          </w:p>
        </w:tc>
        <w:tc>
          <w:tcPr>
            <w:tcW w:w="2338" w:type="dxa"/>
          </w:tcPr>
          <w:p w14:paraId="20A639DD" w14:textId="4AA33034" w:rsidR="008153AD" w:rsidRPr="009A2ABF" w:rsidRDefault="008153AD" w:rsidP="008153AD">
            <w:pPr>
              <w:jc w:val="center"/>
            </w:pPr>
            <w:r w:rsidRPr="009A2ABF">
              <w:rPr>
                <w:szCs w:val="24"/>
              </w:rPr>
              <w:t>156, 174</w:t>
            </w:r>
          </w:p>
        </w:tc>
      </w:tr>
      <w:tr w:rsidR="008153AD" w:rsidRPr="009A2ABF" w14:paraId="4783059F" w14:textId="77777777" w:rsidTr="0003644B">
        <w:tc>
          <w:tcPr>
            <w:tcW w:w="534" w:type="dxa"/>
          </w:tcPr>
          <w:p w14:paraId="28C18BDB" w14:textId="22CC8CA8" w:rsidR="008153AD" w:rsidRPr="009A2ABF" w:rsidRDefault="008153AD" w:rsidP="008153AD">
            <w:r w:rsidRPr="009A2ABF">
              <w:t>10</w:t>
            </w:r>
          </w:p>
        </w:tc>
        <w:tc>
          <w:tcPr>
            <w:tcW w:w="7159" w:type="dxa"/>
          </w:tcPr>
          <w:p w14:paraId="241F12A6" w14:textId="6E7982C0" w:rsidR="008153AD" w:rsidRPr="009A2ABF" w:rsidRDefault="00BD7593" w:rsidP="00BD7593">
            <w:r w:rsidRPr="009A2ABF">
              <w:rPr>
                <w:szCs w:val="24"/>
              </w:rPr>
              <w:t>Предельный срок для исключения названий стран из примечаний</w:t>
            </w:r>
          </w:p>
        </w:tc>
        <w:tc>
          <w:tcPr>
            <w:tcW w:w="2338" w:type="dxa"/>
          </w:tcPr>
          <w:p w14:paraId="571B25B9" w14:textId="454EBD9C" w:rsidR="008153AD" w:rsidRPr="009A2ABF" w:rsidRDefault="008153AD" w:rsidP="008153AD">
            <w:pPr>
              <w:jc w:val="center"/>
            </w:pPr>
            <w:r w:rsidRPr="009A2ABF">
              <w:rPr>
                <w:szCs w:val="24"/>
              </w:rPr>
              <w:t>131</w:t>
            </w:r>
          </w:p>
        </w:tc>
      </w:tr>
    </w:tbl>
    <w:p w14:paraId="1FA5D74B" w14:textId="32E3B664" w:rsidR="0013385F" w:rsidRPr="009A2ABF" w:rsidRDefault="0013385F" w:rsidP="00BD7593">
      <w:pPr>
        <w:pStyle w:val="Heading1"/>
        <w:rPr>
          <w:sz w:val="28"/>
        </w:rPr>
      </w:pPr>
      <w:r w:rsidRPr="009A2ABF">
        <w:t>1</w:t>
      </w:r>
      <w:r w:rsidRPr="009A2ABF">
        <w:tab/>
      </w:r>
      <w:r w:rsidR="00BD7593" w:rsidRPr="009A2ABF">
        <w:t xml:space="preserve">Устные отчеты председателей комитетов </w:t>
      </w:r>
      <w:r w:rsidRPr="009A2ABF">
        <w:t>(</w:t>
      </w:r>
      <w:r w:rsidR="00BD7593" w:rsidRPr="009A2ABF">
        <w:t>Документ</w:t>
      </w:r>
      <w:r w:rsidRPr="009A2ABF">
        <w:t xml:space="preserve"> 133)</w:t>
      </w:r>
    </w:p>
    <w:p w14:paraId="300ACC6C" w14:textId="0AEBBD1F" w:rsidR="008153AD" w:rsidRPr="009A2ABF" w:rsidRDefault="0013385F" w:rsidP="007C38B6">
      <w:r w:rsidRPr="009A2ABF">
        <w:t>1.1</w:t>
      </w:r>
      <w:r w:rsidRPr="009A2ABF">
        <w:tab/>
      </w:r>
      <w:r w:rsidR="007C38B6" w:rsidRPr="009A2ABF">
        <w:rPr>
          <w:b/>
          <w:bCs/>
        </w:rPr>
        <w:t>Председатель</w:t>
      </w:r>
      <w:r w:rsidR="00BD7593" w:rsidRPr="009A2ABF">
        <w:rPr>
          <w:b/>
          <w:bCs/>
        </w:rPr>
        <w:t xml:space="preserve"> Комитета 2</w:t>
      </w:r>
      <w:r w:rsidR="00BD7593" w:rsidRPr="009A2ABF">
        <w:t xml:space="preserve"> сообщает, что </w:t>
      </w:r>
      <w:r w:rsidR="003A4916" w:rsidRPr="009A2ABF">
        <w:t xml:space="preserve">после предыдущего пленарного заседания </w:t>
      </w:r>
      <w:r w:rsidR="00BD7593" w:rsidRPr="009A2ABF">
        <w:t xml:space="preserve">его </w:t>
      </w:r>
      <w:r w:rsidR="003A4916" w:rsidRPr="009A2ABF">
        <w:t>К</w:t>
      </w:r>
      <w:r w:rsidR="00BD7593" w:rsidRPr="009A2ABF">
        <w:t xml:space="preserve">омитет не проводил заседаний, но получил еще 34 документа о </w:t>
      </w:r>
      <w:r w:rsidR="007C38B6" w:rsidRPr="009A2ABF">
        <w:t>полномочиях</w:t>
      </w:r>
      <w:r w:rsidR="003A4916" w:rsidRPr="009A2ABF">
        <w:t>,</w:t>
      </w:r>
      <w:r w:rsidR="00BD7593" w:rsidRPr="009A2ABF">
        <w:t xml:space="preserve"> и</w:t>
      </w:r>
      <w:r w:rsidR="003A4916" w:rsidRPr="009A2ABF">
        <w:t xml:space="preserve"> он</w:t>
      </w:r>
      <w:r w:rsidR="00BD7593" w:rsidRPr="009A2ABF">
        <w:t xml:space="preserve"> надеется</w:t>
      </w:r>
      <w:r w:rsidR="003A4916" w:rsidRPr="009A2ABF">
        <w:t>, что их поступление продолжится</w:t>
      </w:r>
      <w:r w:rsidR="007C38B6" w:rsidRPr="009A2ABF">
        <w:t>. Следующее и последнее заседание Комитета назначено на 12 ноября</w:t>
      </w:r>
      <w:r w:rsidR="00BD7593" w:rsidRPr="009A2ABF">
        <w:t xml:space="preserve"> </w:t>
      </w:r>
      <w:r w:rsidR="007C38B6" w:rsidRPr="009A2ABF">
        <w:t>2019</w:t>
      </w:r>
      <w:r w:rsidR="00C827D1" w:rsidRPr="009A2ABF">
        <w:t> </w:t>
      </w:r>
      <w:r w:rsidR="007C38B6" w:rsidRPr="009A2ABF">
        <w:t xml:space="preserve">года. </w:t>
      </w:r>
    </w:p>
    <w:p w14:paraId="2D8C4054" w14:textId="1F3F9D71" w:rsidR="0013385F" w:rsidRPr="009A2ABF" w:rsidRDefault="0013385F" w:rsidP="006B078C">
      <w:r w:rsidRPr="009A2ABF">
        <w:t>1.2</w:t>
      </w:r>
      <w:r w:rsidRPr="009A2ABF">
        <w:tab/>
        <w:t xml:space="preserve">Устный отчет Председателя Комитета 2 </w:t>
      </w:r>
      <w:r w:rsidRPr="009A2ABF">
        <w:rPr>
          <w:b/>
          <w:bCs/>
        </w:rPr>
        <w:t>принимается к сведению</w:t>
      </w:r>
      <w:r w:rsidRPr="009A2ABF">
        <w:t>.</w:t>
      </w:r>
    </w:p>
    <w:p w14:paraId="5A7F387B" w14:textId="665A579C" w:rsidR="0013385F" w:rsidRPr="009A2ABF" w:rsidRDefault="0013385F" w:rsidP="00153683">
      <w:pPr>
        <w:rPr>
          <w:sz w:val="24"/>
        </w:rPr>
      </w:pPr>
      <w:r w:rsidRPr="009A2ABF">
        <w:t>1.3</w:t>
      </w:r>
      <w:r w:rsidRPr="009A2ABF">
        <w:tab/>
      </w:r>
      <w:r w:rsidR="007C38B6" w:rsidRPr="009A2ABF">
        <w:rPr>
          <w:b/>
          <w:bCs/>
        </w:rPr>
        <w:t>Председатель Комитета 3</w:t>
      </w:r>
      <w:r w:rsidR="007C38B6" w:rsidRPr="009A2ABF">
        <w:t xml:space="preserve"> сообщает, что </w:t>
      </w:r>
      <w:r w:rsidR="003A4916" w:rsidRPr="009A2ABF">
        <w:t xml:space="preserve">после предыдущего пленарного заседания </w:t>
      </w:r>
      <w:r w:rsidR="007C38B6" w:rsidRPr="009A2ABF">
        <w:t>его комитет не проводил заседаний</w:t>
      </w:r>
      <w:r w:rsidRPr="009A2ABF">
        <w:t>.</w:t>
      </w:r>
      <w:r w:rsidR="007C38B6" w:rsidRPr="009A2ABF">
        <w:t xml:space="preserve"> Он обращает внимание на Документ </w:t>
      </w:r>
      <w:r w:rsidRPr="009A2ABF">
        <w:t xml:space="preserve">133, </w:t>
      </w:r>
      <w:r w:rsidR="003A4916" w:rsidRPr="009A2ABF">
        <w:t xml:space="preserve">представить который в другие комитеты </w:t>
      </w:r>
      <w:r w:rsidR="007C38B6" w:rsidRPr="009A2ABF">
        <w:t xml:space="preserve">не было возможности и в котором содержится записка с просьбой к председателям всех комитетов как можно скорее представить все сведения и информацию о решениях, резолюциях или изменениях, вносимых в Регламент радиосвязи, которые могут иметь финансовые последствия. </w:t>
      </w:r>
      <w:r w:rsidR="007C38B6" w:rsidRPr="009A2ABF">
        <w:lastRenderedPageBreak/>
        <w:t>В</w:t>
      </w:r>
      <w:r w:rsidR="003A4916" w:rsidRPr="009A2ABF">
        <w:t> </w:t>
      </w:r>
      <w:r w:rsidR="007C38B6" w:rsidRPr="009A2ABF">
        <w:t xml:space="preserve">записке также отмечается, что </w:t>
      </w:r>
      <w:r w:rsidR="00AD0C8A" w:rsidRPr="009A2ABF">
        <w:t xml:space="preserve">финансовые последствия </w:t>
      </w:r>
      <w:r w:rsidR="009A2ABF">
        <w:t>следует</w:t>
      </w:r>
      <w:r w:rsidR="00AD0C8A" w:rsidRPr="009A2ABF">
        <w:t xml:space="preserve"> учитывать при принятии резолюций и решений. Комитет пока не получ</w:t>
      </w:r>
      <w:r w:rsidR="00153683" w:rsidRPr="009A2ABF">
        <w:t>ил</w:t>
      </w:r>
      <w:r w:rsidR="00AD0C8A" w:rsidRPr="009A2ABF">
        <w:t xml:space="preserve"> </w:t>
      </w:r>
      <w:r w:rsidR="003A4916" w:rsidRPr="009A2ABF">
        <w:t>какой-либо</w:t>
      </w:r>
      <w:r w:rsidR="00AD0C8A" w:rsidRPr="009A2ABF">
        <w:t xml:space="preserve"> информации о решениях, резолюциях или изменениях, которые будут иметь финансовые последствия для текущего утвержденного бюджета.</w:t>
      </w:r>
    </w:p>
    <w:p w14:paraId="5DA6BC65" w14:textId="239DBF26" w:rsidR="0013385F" w:rsidRPr="009A2ABF" w:rsidRDefault="0013385F" w:rsidP="0013385F">
      <w:r w:rsidRPr="009A2ABF">
        <w:t>1.4</w:t>
      </w:r>
      <w:r w:rsidRPr="009A2ABF">
        <w:tab/>
        <w:t xml:space="preserve">Устный отчет Председателя Комитета 3 </w:t>
      </w:r>
      <w:r w:rsidRPr="009A2ABF">
        <w:rPr>
          <w:b/>
          <w:bCs/>
        </w:rPr>
        <w:t>принимается к сведению</w:t>
      </w:r>
      <w:r w:rsidRPr="009A2ABF">
        <w:t>.</w:t>
      </w:r>
    </w:p>
    <w:p w14:paraId="04053F66" w14:textId="6A01BFF6" w:rsidR="0013385F" w:rsidRPr="009A2ABF" w:rsidRDefault="0013385F" w:rsidP="00153683">
      <w:r w:rsidRPr="009A2ABF">
        <w:t>1.5</w:t>
      </w:r>
      <w:r w:rsidRPr="009A2ABF">
        <w:tab/>
      </w:r>
      <w:r w:rsidR="00AD0C8A" w:rsidRPr="009A2ABF">
        <w:rPr>
          <w:b/>
          <w:bCs/>
        </w:rPr>
        <w:t>Председатель Комитета 4</w:t>
      </w:r>
      <w:r w:rsidR="00AD0C8A" w:rsidRPr="009A2ABF">
        <w:t xml:space="preserve"> сообщает, что его комитет провел очередное заседание и представляет два документа для рассмотрения на настоящем пленарном заседании (Документы 201 и 202). Его рабочие группы и </w:t>
      </w:r>
      <w:r w:rsidR="00153683" w:rsidRPr="009A2ABF">
        <w:t>подгруппы продолжают свои обсуждения</w:t>
      </w:r>
      <w:r w:rsidR="00AD0C8A" w:rsidRPr="009A2ABF">
        <w:t xml:space="preserve">, и он надеется, что к концу недели он будет готов представить отчет о </w:t>
      </w:r>
      <w:r w:rsidR="00267EA1" w:rsidRPr="009A2ABF">
        <w:t>дальнейших результатах работы</w:t>
      </w:r>
      <w:r w:rsidR="00AD0C8A" w:rsidRPr="009A2ABF">
        <w:t xml:space="preserve">. </w:t>
      </w:r>
    </w:p>
    <w:p w14:paraId="585DEC6B" w14:textId="15A5AAD7" w:rsidR="0013385F" w:rsidRPr="009A2ABF" w:rsidRDefault="0013385F" w:rsidP="00153683">
      <w:r w:rsidRPr="009A2ABF">
        <w:t>1.6</w:t>
      </w:r>
      <w:r w:rsidRPr="009A2ABF">
        <w:tab/>
      </w:r>
      <w:r w:rsidR="00267EA1" w:rsidRPr="009A2ABF">
        <w:rPr>
          <w:b/>
          <w:bCs/>
        </w:rPr>
        <w:t>Делегат от Исламской Республики Иран</w:t>
      </w:r>
      <w:r w:rsidR="00267EA1" w:rsidRPr="009A2ABF">
        <w:t xml:space="preserve"> приветствует положительные шаги, предпринятые в рамках Комитета 4 для достижения прогресса по пункту 1.8 повестки дня, что является непростой задачей. Он настоятельно призывает всех делегатов </w:t>
      </w:r>
      <w:r w:rsidR="00CC0409" w:rsidRPr="009A2ABF">
        <w:t>содействовать</w:t>
      </w:r>
      <w:r w:rsidR="00267EA1" w:rsidRPr="009A2ABF">
        <w:t xml:space="preserve"> эти</w:t>
      </w:r>
      <w:r w:rsidR="00CC0409" w:rsidRPr="009A2ABF">
        <w:t>м</w:t>
      </w:r>
      <w:r w:rsidR="00267EA1" w:rsidRPr="009A2ABF">
        <w:t xml:space="preserve"> усилия</w:t>
      </w:r>
      <w:r w:rsidR="00CC0409" w:rsidRPr="009A2ABF">
        <w:t>м</w:t>
      </w:r>
      <w:r w:rsidR="00267EA1" w:rsidRPr="009A2ABF">
        <w:t xml:space="preserve"> </w:t>
      </w:r>
      <w:r w:rsidR="00153683" w:rsidRPr="009A2ABF">
        <w:t>в целях</w:t>
      </w:r>
      <w:r w:rsidR="00267EA1" w:rsidRPr="009A2ABF">
        <w:t xml:space="preserve"> урегулирования вопросов, связанных с полосами ниже </w:t>
      </w:r>
      <w:r w:rsidRPr="009A2ABF">
        <w:t>1621</w:t>
      </w:r>
      <w:r w:rsidR="001A15F1" w:rsidRPr="009A2ABF">
        <w:t>,</w:t>
      </w:r>
      <w:r w:rsidRPr="009A2ABF">
        <w:t>5</w:t>
      </w:r>
      <w:r w:rsidR="001A15F1" w:rsidRPr="009A2ABF">
        <w:t> МГц</w:t>
      </w:r>
      <w:r w:rsidRPr="009A2ABF">
        <w:t xml:space="preserve"> </w:t>
      </w:r>
      <w:r w:rsidR="00267EA1" w:rsidRPr="009A2ABF">
        <w:t>и выше</w:t>
      </w:r>
      <w:r w:rsidRPr="009A2ABF">
        <w:t xml:space="preserve"> 1626</w:t>
      </w:r>
      <w:r w:rsidR="001A15F1" w:rsidRPr="009A2ABF">
        <w:t>,</w:t>
      </w:r>
      <w:r w:rsidRPr="009A2ABF">
        <w:t>5</w:t>
      </w:r>
      <w:r w:rsidR="001A15F1" w:rsidRPr="009A2ABF">
        <w:t> МГц</w:t>
      </w:r>
      <w:r w:rsidRPr="009A2ABF">
        <w:t xml:space="preserve">. </w:t>
      </w:r>
      <w:r w:rsidR="00267EA1" w:rsidRPr="009A2ABF">
        <w:t xml:space="preserve">Оратор благодарит участников за признание необходимости </w:t>
      </w:r>
      <w:r w:rsidR="00153683" w:rsidRPr="009A2ABF">
        <w:t>продолжения работы</w:t>
      </w:r>
      <w:r w:rsidR="00267EA1" w:rsidRPr="009A2ABF">
        <w:t xml:space="preserve"> в целях соблюдения сложившейся в МСЭ </w:t>
      </w:r>
      <w:r w:rsidR="00AA5284" w:rsidRPr="009A2ABF">
        <w:t xml:space="preserve">практики и надеется, что аналогичный подход будет использоваться в отношении пунктов 1.5 и 7 (Вопрос А) повестки дня, а также ряда других вопросов, которые на данный момент </w:t>
      </w:r>
      <w:r w:rsidR="00CC0409" w:rsidRPr="009A2ABF">
        <w:t>заблокированы</w:t>
      </w:r>
      <w:r w:rsidR="00AA5284" w:rsidRPr="009A2ABF">
        <w:t>.</w:t>
      </w:r>
      <w:r w:rsidR="00267EA1" w:rsidRPr="009A2ABF">
        <w:t xml:space="preserve"> </w:t>
      </w:r>
    </w:p>
    <w:p w14:paraId="26439FD6" w14:textId="3436432B" w:rsidR="0013385F" w:rsidRPr="009A2ABF" w:rsidRDefault="0013385F" w:rsidP="002D4E0F">
      <w:r w:rsidRPr="009A2ABF">
        <w:t>1.7</w:t>
      </w:r>
      <w:r w:rsidRPr="009A2ABF">
        <w:tab/>
      </w:r>
      <w:r w:rsidR="00AA5284" w:rsidRPr="009A2ABF">
        <w:rPr>
          <w:b/>
          <w:bCs/>
        </w:rPr>
        <w:t>Председатель</w:t>
      </w:r>
      <w:r w:rsidR="00AA5284" w:rsidRPr="009A2ABF">
        <w:t xml:space="preserve"> выражает надежду на то, что работа будет </w:t>
      </w:r>
      <w:r w:rsidR="00404919" w:rsidRPr="009A2ABF">
        <w:t>проводиться</w:t>
      </w:r>
      <w:r w:rsidR="00AA5284" w:rsidRPr="009A2ABF">
        <w:t xml:space="preserve"> в духе компромисса, благодаря </w:t>
      </w:r>
      <w:r w:rsidR="00404919" w:rsidRPr="009A2ABF">
        <w:t>чему</w:t>
      </w:r>
      <w:r w:rsidR="002D4E0F" w:rsidRPr="009A2ABF">
        <w:t xml:space="preserve"> все</w:t>
      </w:r>
      <w:r w:rsidR="00AA5284" w:rsidRPr="009A2ABF">
        <w:t xml:space="preserve"> рабочие группы и подгруппы смогут завершить свои обсуждения. </w:t>
      </w:r>
    </w:p>
    <w:p w14:paraId="0B579BDA" w14:textId="7F9EF1EC" w:rsidR="0013385F" w:rsidRPr="009A2ABF" w:rsidRDefault="0013385F" w:rsidP="0013385F">
      <w:r w:rsidRPr="009A2ABF">
        <w:t>1.8</w:t>
      </w:r>
      <w:r w:rsidRPr="009A2ABF">
        <w:tab/>
        <w:t xml:space="preserve">Устный отчет Председателя Комитета 4 </w:t>
      </w:r>
      <w:r w:rsidRPr="009A2ABF">
        <w:rPr>
          <w:b/>
          <w:bCs/>
        </w:rPr>
        <w:t>принимается к сведению</w:t>
      </w:r>
      <w:r w:rsidRPr="009A2ABF">
        <w:t>.</w:t>
      </w:r>
    </w:p>
    <w:p w14:paraId="3B02BC22" w14:textId="32DFD716" w:rsidR="0013385F" w:rsidRPr="009A2ABF" w:rsidRDefault="0013385F" w:rsidP="002D4E0F">
      <w:bookmarkStart w:id="12" w:name="_Hlk23520614"/>
      <w:r w:rsidRPr="009A2ABF">
        <w:t>1.9</w:t>
      </w:r>
      <w:r w:rsidRPr="009A2ABF">
        <w:tab/>
      </w:r>
      <w:r w:rsidR="002D4E0F" w:rsidRPr="009A2ABF">
        <w:rPr>
          <w:b/>
          <w:bCs/>
        </w:rPr>
        <w:t>Председатель Комитета 5</w:t>
      </w:r>
      <w:r w:rsidR="002D4E0F" w:rsidRPr="009A2ABF">
        <w:t xml:space="preserve"> сообщает, что к настоящему моменту его комитет провел четыре заседания. </w:t>
      </w:r>
      <w:r w:rsidR="00404919" w:rsidRPr="009A2ABF">
        <w:t>З</w:t>
      </w:r>
      <w:r w:rsidR="002D4E0F" w:rsidRPr="009A2ABF">
        <w:t xml:space="preserve">авершена работа по некоторым вопросам пункта 7 повестки дня, и подготовленные по результатам этой работы документы будут рассмотрены в ходе настоящего пленарного заседания. </w:t>
      </w:r>
      <w:bookmarkEnd w:id="12"/>
      <w:r w:rsidR="002D4E0F" w:rsidRPr="009A2ABF">
        <w:t xml:space="preserve">Рабочие группы и подгруппы Комитета продолжают добиваться прогресса, и оратор надеется, что к концу недели работа по некоторым пунктам будет завершена. </w:t>
      </w:r>
      <w:r w:rsidR="00404919" w:rsidRPr="009A2ABF">
        <w:t>Для достижения компромисса по некоторым сложным вопросам, например по пунктам 1.5, 1.6 и 7 (Вопрос A) повестки дня, б</w:t>
      </w:r>
      <w:r w:rsidR="002D4E0F" w:rsidRPr="009A2ABF">
        <w:t>ыли созданы различные неофициальные группы</w:t>
      </w:r>
      <w:r w:rsidRPr="009A2ABF">
        <w:t xml:space="preserve">. </w:t>
      </w:r>
    </w:p>
    <w:p w14:paraId="72F83832" w14:textId="5A03313C" w:rsidR="0013385F" w:rsidRPr="009A2ABF" w:rsidRDefault="0013385F" w:rsidP="00B34814">
      <w:r w:rsidRPr="009A2ABF">
        <w:t>1.10</w:t>
      </w:r>
      <w:r w:rsidRPr="009A2ABF">
        <w:tab/>
      </w:r>
      <w:r w:rsidR="002D4E0F" w:rsidRPr="009A2ABF">
        <w:rPr>
          <w:b/>
          <w:bCs/>
        </w:rPr>
        <w:t>Делегат от Исламской Республики Иран</w:t>
      </w:r>
      <w:r w:rsidR="002D4E0F" w:rsidRPr="009A2ABF">
        <w:t xml:space="preserve"> настоятельно призывает всех, кто участвует в работе Комитета 5 по пункту 1.5 повестки дня, признать важность</w:t>
      </w:r>
      <w:r w:rsidR="00B34814" w:rsidRPr="009A2ABF">
        <w:t xml:space="preserve"> обеспечения</w:t>
      </w:r>
      <w:r w:rsidR="002D4E0F" w:rsidRPr="009A2ABF">
        <w:t xml:space="preserve"> </w:t>
      </w:r>
      <w:r w:rsidR="00B34814" w:rsidRPr="009A2ABF">
        <w:t xml:space="preserve">последовательности и согласованности в деятельности МСЭ, включая рассмотрение пределов </w:t>
      </w:r>
      <w:proofErr w:type="spellStart"/>
      <w:r w:rsidR="00B34814" w:rsidRPr="009A2ABF">
        <w:t>п.п.м</w:t>
      </w:r>
      <w:proofErr w:type="spellEnd"/>
      <w:r w:rsidR="00B34814" w:rsidRPr="009A2ABF">
        <w:t xml:space="preserve">. для беспилотных авиационных систем и воздушных земных станций, находящихся в движении </w:t>
      </w:r>
      <w:r w:rsidRPr="009A2ABF">
        <w:t xml:space="preserve">(ESIM). </w:t>
      </w:r>
    </w:p>
    <w:p w14:paraId="3790B9D2" w14:textId="33518EF6" w:rsidR="0013385F" w:rsidRPr="009A2ABF" w:rsidRDefault="0013385F" w:rsidP="00B34814">
      <w:r w:rsidRPr="009A2ABF">
        <w:t>1.11</w:t>
      </w:r>
      <w:r w:rsidRPr="009A2ABF">
        <w:tab/>
      </w:r>
      <w:r w:rsidR="00B34814" w:rsidRPr="009A2ABF">
        <w:rPr>
          <w:b/>
          <w:bCs/>
        </w:rPr>
        <w:t>Председатель</w:t>
      </w:r>
      <w:r w:rsidR="00B34814" w:rsidRPr="009A2ABF">
        <w:t xml:space="preserve"> говорит, что предпочтительн</w:t>
      </w:r>
      <w:r w:rsidR="00404919" w:rsidRPr="009A2ABF">
        <w:t>о</w:t>
      </w:r>
      <w:r w:rsidR="00B34814" w:rsidRPr="009A2ABF">
        <w:t xml:space="preserve"> обсуждать сложные технические вопросы в рамках комитетов и рабочих групп, а не в ходе пленарных заседаний. </w:t>
      </w:r>
    </w:p>
    <w:p w14:paraId="4635773E" w14:textId="3870E557" w:rsidR="0013385F" w:rsidRPr="009A2ABF" w:rsidRDefault="0013385F" w:rsidP="0013385F">
      <w:r w:rsidRPr="009A2ABF">
        <w:t>1.12</w:t>
      </w:r>
      <w:r w:rsidRPr="009A2ABF">
        <w:tab/>
        <w:t xml:space="preserve">Устный отчет Председателя Комитета 5 </w:t>
      </w:r>
      <w:r w:rsidRPr="009A2ABF">
        <w:rPr>
          <w:b/>
          <w:bCs/>
        </w:rPr>
        <w:t>принимается к сведению</w:t>
      </w:r>
      <w:r w:rsidR="00B34814" w:rsidRPr="009A2ABF">
        <w:t>.</w:t>
      </w:r>
    </w:p>
    <w:p w14:paraId="0C2C6A15" w14:textId="7336B14C" w:rsidR="0013385F" w:rsidRPr="009A2ABF" w:rsidRDefault="0013385F" w:rsidP="00EF5D99">
      <w:r w:rsidRPr="009A2ABF">
        <w:t>1.13</w:t>
      </w:r>
      <w:r w:rsidRPr="009A2ABF">
        <w:tab/>
      </w:r>
      <w:r w:rsidR="00B34814" w:rsidRPr="009A2ABF">
        <w:rPr>
          <w:b/>
          <w:bCs/>
        </w:rPr>
        <w:t>Председатель Комитета 6</w:t>
      </w:r>
      <w:r w:rsidR="00B34814" w:rsidRPr="009A2ABF">
        <w:t xml:space="preserve"> сообщает, что </w:t>
      </w:r>
      <w:r w:rsidR="00404919" w:rsidRPr="009A2ABF">
        <w:t xml:space="preserve">после предыдущего пленарного заседания </w:t>
      </w:r>
      <w:r w:rsidR="00B34814" w:rsidRPr="009A2ABF">
        <w:t>его комитет провел одно</w:t>
      </w:r>
      <w:r w:rsidR="00404919" w:rsidRPr="009A2ABF">
        <w:t xml:space="preserve"> заседание</w:t>
      </w:r>
      <w:r w:rsidR="00B34814" w:rsidRPr="009A2ABF">
        <w:t xml:space="preserve">. Рабочие группы и подгруппы продолжают свои обсуждения; был утвержден текст, касающийся элементов пункта 2 повестки дня, для представления Редакционному комитету. </w:t>
      </w:r>
      <w:r w:rsidR="00404919" w:rsidRPr="009A2ABF">
        <w:t>П</w:t>
      </w:r>
      <w:r w:rsidR="00B34814" w:rsidRPr="009A2ABF">
        <w:t>одготовлена пересмотренная версия Документа 168 с учетом замечаний</w:t>
      </w:r>
      <w:r w:rsidR="00EF5D99" w:rsidRPr="009A2ABF">
        <w:t xml:space="preserve">, </w:t>
      </w:r>
      <w:r w:rsidR="00404919" w:rsidRPr="009A2ABF">
        <w:t>сделанных</w:t>
      </w:r>
      <w:r w:rsidR="00EF5D99" w:rsidRPr="009A2ABF">
        <w:t xml:space="preserve"> на третьем пленарном заседании, д</w:t>
      </w:r>
      <w:r w:rsidR="00B34814" w:rsidRPr="009A2ABF">
        <w:t xml:space="preserve">ля рассмотрения в ходе настоящего пленарного заседания. </w:t>
      </w:r>
    </w:p>
    <w:p w14:paraId="1EEE51F7" w14:textId="46FCE93C" w:rsidR="0013385F" w:rsidRPr="009A2ABF" w:rsidRDefault="0013385F" w:rsidP="0013385F">
      <w:r w:rsidRPr="009A2ABF">
        <w:t>1.14</w:t>
      </w:r>
      <w:r w:rsidRPr="009A2ABF">
        <w:tab/>
        <w:t xml:space="preserve">Устный отчет Председателя Комитета 6 </w:t>
      </w:r>
      <w:r w:rsidRPr="009A2ABF">
        <w:rPr>
          <w:b/>
          <w:bCs/>
        </w:rPr>
        <w:t>принимается к сведению</w:t>
      </w:r>
      <w:r w:rsidRPr="009A2ABF">
        <w:t>.</w:t>
      </w:r>
    </w:p>
    <w:p w14:paraId="37CB3C42" w14:textId="780D053C" w:rsidR="0013385F" w:rsidRPr="009A2ABF" w:rsidRDefault="0013385F" w:rsidP="00EF5D99">
      <w:r w:rsidRPr="009A2ABF">
        <w:rPr>
          <w:szCs w:val="24"/>
        </w:rPr>
        <w:t>1.15</w:t>
      </w:r>
      <w:r w:rsidRPr="009A2ABF">
        <w:rPr>
          <w:szCs w:val="24"/>
        </w:rPr>
        <w:tab/>
      </w:r>
      <w:r w:rsidR="00EF5D99" w:rsidRPr="009A2ABF">
        <w:rPr>
          <w:b/>
          <w:bCs/>
          <w:szCs w:val="24"/>
        </w:rPr>
        <w:t>Председатель Комитета 7</w:t>
      </w:r>
      <w:r w:rsidR="00EF5D99" w:rsidRPr="009A2ABF">
        <w:rPr>
          <w:szCs w:val="24"/>
        </w:rPr>
        <w:t xml:space="preserve"> сообщает, что его комитет провел свое первое заседание 4</w:t>
      </w:r>
      <w:r w:rsidR="00404919" w:rsidRPr="009A2ABF">
        <w:rPr>
          <w:szCs w:val="24"/>
        </w:rPr>
        <w:t> </w:t>
      </w:r>
      <w:r w:rsidR="00EF5D99" w:rsidRPr="009A2ABF">
        <w:rPr>
          <w:szCs w:val="24"/>
        </w:rPr>
        <w:t xml:space="preserve">ноября 2019 года и представил серию текстов для утверждения в ходе настоящего пленарного заседания. </w:t>
      </w:r>
    </w:p>
    <w:p w14:paraId="0AD38D6A" w14:textId="4EBFA289" w:rsidR="0013385F" w:rsidRPr="009A2ABF" w:rsidRDefault="0013385F" w:rsidP="0013385F">
      <w:pPr>
        <w:rPr>
          <w:szCs w:val="24"/>
        </w:rPr>
      </w:pPr>
      <w:r w:rsidRPr="009A2ABF">
        <w:rPr>
          <w:szCs w:val="24"/>
        </w:rPr>
        <w:t>1.16</w:t>
      </w:r>
      <w:r w:rsidRPr="009A2ABF">
        <w:rPr>
          <w:szCs w:val="24"/>
        </w:rPr>
        <w:tab/>
        <w:t xml:space="preserve">Устный отчет Председателя Комитета 7 </w:t>
      </w:r>
      <w:r w:rsidRPr="009A2ABF">
        <w:rPr>
          <w:b/>
          <w:bCs/>
          <w:szCs w:val="24"/>
        </w:rPr>
        <w:t>принимается к сведению</w:t>
      </w:r>
      <w:r w:rsidRPr="009A2ABF">
        <w:rPr>
          <w:szCs w:val="24"/>
        </w:rPr>
        <w:t>.</w:t>
      </w:r>
    </w:p>
    <w:p w14:paraId="70E4E263" w14:textId="1FF51B1A" w:rsidR="0013385F" w:rsidRPr="009A2ABF" w:rsidRDefault="0013385F" w:rsidP="00EF5D99">
      <w:pPr>
        <w:pStyle w:val="Heading1"/>
        <w:rPr>
          <w:bCs/>
        </w:rPr>
      </w:pPr>
      <w:r w:rsidRPr="009A2ABF">
        <w:t>2</w:t>
      </w:r>
      <w:r w:rsidRPr="009A2ABF">
        <w:tab/>
      </w:r>
      <w:r w:rsidR="00EF5D99" w:rsidRPr="009A2ABF">
        <w:t>Документы для утверждения</w:t>
      </w:r>
      <w:r w:rsidRPr="009A2ABF">
        <w:t xml:space="preserve"> (</w:t>
      </w:r>
      <w:r w:rsidR="00EF5D99" w:rsidRPr="009A2ABF">
        <w:t xml:space="preserve">Документы </w:t>
      </w:r>
      <w:r w:rsidRPr="009A2ABF">
        <w:t xml:space="preserve">201, 202 </w:t>
      </w:r>
      <w:r w:rsidR="00EF5D99" w:rsidRPr="009A2ABF">
        <w:t>и</w:t>
      </w:r>
      <w:r w:rsidRPr="009A2ABF">
        <w:t xml:space="preserve"> 168(Rev.1))</w:t>
      </w:r>
    </w:p>
    <w:p w14:paraId="17CDE9BA" w14:textId="218FD08C" w:rsidR="0013385F" w:rsidRPr="009A2ABF" w:rsidRDefault="0013385F" w:rsidP="00EF5D99">
      <w:bookmarkStart w:id="13" w:name="_Hlk23757725"/>
      <w:r w:rsidRPr="009A2ABF">
        <w:t>2.1</w:t>
      </w:r>
      <w:r w:rsidRPr="009A2ABF">
        <w:tab/>
      </w:r>
      <w:r w:rsidR="00EF5D99" w:rsidRPr="009A2ABF">
        <w:t xml:space="preserve">Представляя Документ </w:t>
      </w:r>
      <w:r w:rsidRPr="009A2ABF">
        <w:t xml:space="preserve">201, </w:t>
      </w:r>
      <w:r w:rsidR="00EF5D99" w:rsidRPr="009A2ABF">
        <w:rPr>
          <w:b/>
          <w:bCs/>
        </w:rPr>
        <w:t>Председатель Комитета 4</w:t>
      </w:r>
      <w:r w:rsidR="00EF5D99" w:rsidRPr="009A2ABF">
        <w:t xml:space="preserve"> говорит, что Комитет рассмотрел п.</w:t>
      </w:r>
      <w:bookmarkEnd w:id="13"/>
      <w:r w:rsidR="00EF5D99" w:rsidRPr="009A2ABF">
        <w:t> </w:t>
      </w:r>
      <w:r w:rsidRPr="009A2ABF">
        <w:t xml:space="preserve">3.4.1 </w:t>
      </w:r>
      <w:r w:rsidR="00EF5D99" w:rsidRPr="009A2ABF">
        <w:t>Дополнительного документа</w:t>
      </w:r>
      <w:r w:rsidRPr="009A2ABF">
        <w:t xml:space="preserve"> 2 </w:t>
      </w:r>
      <w:r w:rsidR="00EF5D99" w:rsidRPr="009A2ABF">
        <w:t>к Отчету Директора для</w:t>
      </w:r>
      <w:r w:rsidRPr="009A2ABF">
        <w:t xml:space="preserve"> </w:t>
      </w:r>
      <w:r w:rsidR="001A15F1" w:rsidRPr="009A2ABF">
        <w:t>ВКР</w:t>
      </w:r>
      <w:r w:rsidRPr="009A2ABF">
        <w:noBreakHyphen/>
        <w:t>19 (</w:t>
      </w:r>
      <w:r w:rsidR="00EF5D99" w:rsidRPr="009A2ABF">
        <w:t>Документ</w:t>
      </w:r>
      <w:r w:rsidRPr="009A2ABF">
        <w:t xml:space="preserve"> 4) ("</w:t>
      </w:r>
      <w:r w:rsidRPr="009A2ABF">
        <w:rPr>
          <w:lang w:eastAsia="zh-CN"/>
        </w:rPr>
        <w:t xml:space="preserve">Предлагаемое </w:t>
      </w:r>
      <w:r w:rsidRPr="009A2ABF">
        <w:rPr>
          <w:lang w:eastAsia="zh-CN"/>
        </w:rPr>
        <w:lastRenderedPageBreak/>
        <w:t>использование данных о местности для рассмотрения заявок на наземные станции, установления требований к координации и расчетов совместимости наземных станций"</w:t>
      </w:r>
      <w:r w:rsidRPr="009A2ABF">
        <w:t xml:space="preserve">). </w:t>
      </w:r>
      <w:r w:rsidR="00EF5D99" w:rsidRPr="009A2ABF">
        <w:t xml:space="preserve">Комитет предлагает утвердить и включить в протокол заседания в качестве решения Конференции </w:t>
      </w:r>
      <w:r w:rsidR="00404919" w:rsidRPr="009A2ABF">
        <w:t>ниже</w:t>
      </w:r>
      <w:r w:rsidR="00EF5D99" w:rsidRPr="009A2ABF">
        <w:t xml:space="preserve">следующий текст, </w:t>
      </w:r>
      <w:r w:rsidR="00404919" w:rsidRPr="009A2ABF">
        <w:t>содержащийся</w:t>
      </w:r>
      <w:r w:rsidR="00EF5D99" w:rsidRPr="009A2ABF">
        <w:t xml:space="preserve"> в приложении к Документу 201</w:t>
      </w:r>
      <w:r w:rsidR="00313D6E" w:rsidRPr="009A2ABF">
        <w:t>:</w:t>
      </w:r>
    </w:p>
    <w:p w14:paraId="2C9B7029" w14:textId="3A24B1DC" w:rsidR="0013385F" w:rsidRPr="009A2ABF" w:rsidRDefault="00EF5D99" w:rsidP="0013385F">
      <w:r w:rsidRPr="009A2ABF">
        <w:t>"</w:t>
      </w:r>
      <w:r w:rsidR="0013385F" w:rsidRPr="009A2ABF">
        <w:t>Была принята к сведению информация, представленная в п. 3.4.1 Дополнительного документа 2 к Отчету Директора для ВКР-19 (Док. CMR19/4), о том, что все рассмотрения частотных присвоений наземным службам и определение потенциально затрагиваемых администраций, которые в настоящее время осуществляет Бюро при применении различных процедур РР и региональных соглашений, выполняются с использованием моделей прогнозирования распространения радиоволн без применения профилей рельефа местности.</w:t>
      </w:r>
    </w:p>
    <w:p w14:paraId="622AADC2" w14:textId="77777777" w:rsidR="0013385F" w:rsidRPr="009A2ABF" w:rsidRDefault="0013385F" w:rsidP="0013385F">
      <w:r w:rsidRPr="009A2ABF">
        <w:t xml:space="preserve">Было признано, что использование данных о высоте рельефа местности при определении потенциально затрагиваемых администраций может быть полезным для администраций и что такой подход сократит перечень потребностей в координации и уменьшит объем работы по координации, выполняемой как администрациями, так и Бюро. </w:t>
      </w:r>
    </w:p>
    <w:p w14:paraId="1A58D5A7" w14:textId="77777777" w:rsidR="0013385F" w:rsidRPr="009A2ABF" w:rsidRDefault="0013385F" w:rsidP="0013385F">
      <w:r w:rsidRPr="009A2ABF">
        <w:t>Учитывая вышеизложенные соображения, предлагается поручить Бюро провести моделирование рассмотрения заявок в соответствии с п. </w:t>
      </w:r>
      <w:r w:rsidRPr="009A2ABF">
        <w:rPr>
          <w:b/>
          <w:bCs/>
        </w:rPr>
        <w:t>9.21</w:t>
      </w:r>
      <w:r w:rsidRPr="009A2ABF">
        <w:t xml:space="preserve"> РР во внеплановых полосах с использованием цифровых моделей рельефа (ЦМР) и представить результаты в </w:t>
      </w:r>
      <w:proofErr w:type="spellStart"/>
      <w:r w:rsidRPr="009A2ABF">
        <w:t>Радиорегламентарный</w:t>
      </w:r>
      <w:proofErr w:type="spellEnd"/>
      <w:r w:rsidRPr="009A2ABF">
        <w:t xml:space="preserve"> комитет. Комитет далее может принять решение, в форме соответствующего Правила процедуры, что при проведении рассмотрения в соответствии с п. </w:t>
      </w:r>
      <w:r w:rsidRPr="009A2ABF">
        <w:rPr>
          <w:b/>
          <w:bCs/>
        </w:rPr>
        <w:t>9.21</w:t>
      </w:r>
      <w:r w:rsidRPr="009A2ABF">
        <w:t xml:space="preserve"> РР Бюро следует использовать информацию о высоте рельефа местности и представить отчет о результатах следующей ВКР.</w:t>
      </w:r>
    </w:p>
    <w:p w14:paraId="6687CB72" w14:textId="6E1A137B" w:rsidR="0013385F" w:rsidRPr="009A2ABF" w:rsidRDefault="0013385F" w:rsidP="0013385F">
      <w:r w:rsidRPr="009A2ABF">
        <w:t>Ввиду того, что имеющийся в настоящее время набор данных радиолокационной топографии миссии "Шаттл" с разрешением по долготе и широте в одну секунду дуги (SRTM1) не охватывает местность к северу от 60 градусов северной широты и к югу от 56 градусов южной широты, Бюро может быть дано также указание продолжать рассмотрения наземных станций, расположенных за пределами этой географической зоны, без использования информации о высоте рельефа местности и изучить возможности применения альтернативных цифровых моделей рельефа большей географической протяженности</w:t>
      </w:r>
      <w:r w:rsidR="00EF5D99" w:rsidRPr="009A2ABF">
        <w:t>"</w:t>
      </w:r>
      <w:r w:rsidR="009A2ABF" w:rsidRPr="009A2ABF">
        <w:t>.</w:t>
      </w:r>
    </w:p>
    <w:p w14:paraId="7E84D18C" w14:textId="069705D1" w:rsidR="0013385F" w:rsidRPr="009A2ABF" w:rsidRDefault="0013385F" w:rsidP="00EF5D99">
      <w:pPr>
        <w:rPr>
          <w:sz w:val="24"/>
        </w:rPr>
      </w:pPr>
      <w:r w:rsidRPr="009A2ABF">
        <w:t>2.2</w:t>
      </w:r>
      <w:r w:rsidRPr="009A2ABF">
        <w:tab/>
      </w:r>
      <w:r w:rsidR="00EF5D99" w:rsidRPr="009A2ABF">
        <w:t>П</w:t>
      </w:r>
      <w:r w:rsidRPr="009A2ABF">
        <w:t xml:space="preserve">редложение </w:t>
      </w:r>
      <w:r w:rsidRPr="009A2ABF">
        <w:rPr>
          <w:b/>
          <w:bCs/>
        </w:rPr>
        <w:t>принимается</w:t>
      </w:r>
      <w:r w:rsidRPr="009A2ABF">
        <w:t>.</w:t>
      </w:r>
    </w:p>
    <w:p w14:paraId="4867DDDF" w14:textId="6ED2AD9A" w:rsidR="0013385F" w:rsidRPr="009A2ABF" w:rsidRDefault="0013385F" w:rsidP="00EF5D99">
      <w:r w:rsidRPr="009A2ABF">
        <w:t>2.3</w:t>
      </w:r>
      <w:r w:rsidRPr="009A2ABF">
        <w:tab/>
      </w:r>
      <w:r w:rsidR="00EF5D99" w:rsidRPr="009A2ABF">
        <w:t>Документ</w:t>
      </w:r>
      <w:r w:rsidRPr="009A2ABF">
        <w:t xml:space="preserve"> 201 </w:t>
      </w:r>
      <w:r w:rsidR="00EF5D99" w:rsidRPr="009A2ABF">
        <w:rPr>
          <w:b/>
          <w:bCs/>
        </w:rPr>
        <w:t>утверждается</w:t>
      </w:r>
      <w:r w:rsidRPr="009A2ABF">
        <w:t>.</w:t>
      </w:r>
    </w:p>
    <w:p w14:paraId="53B79126" w14:textId="2F23DA8B" w:rsidR="0013385F" w:rsidRPr="009A2ABF" w:rsidRDefault="0013385F" w:rsidP="00A716A9">
      <w:r w:rsidRPr="009A2ABF">
        <w:t>2.4</w:t>
      </w:r>
      <w:r w:rsidRPr="009A2ABF">
        <w:tab/>
      </w:r>
      <w:r w:rsidR="00EF5D99" w:rsidRPr="009A2ABF">
        <w:t xml:space="preserve">Представляя Документ 202, </w:t>
      </w:r>
      <w:r w:rsidR="00EF5D99" w:rsidRPr="009A2ABF">
        <w:rPr>
          <w:b/>
          <w:bCs/>
        </w:rPr>
        <w:t>Председатель Комитета 4</w:t>
      </w:r>
      <w:r w:rsidR="00EF5D99" w:rsidRPr="009A2ABF">
        <w:t xml:space="preserve"> говорит, что Комитет пришел к </w:t>
      </w:r>
      <w:r w:rsidR="00404919" w:rsidRPr="009A2ABF">
        <w:t>заключению</w:t>
      </w:r>
      <w:r w:rsidR="00EF5D99" w:rsidRPr="009A2ABF">
        <w:t xml:space="preserve"> о том, что </w:t>
      </w:r>
      <w:r w:rsidR="00404919" w:rsidRPr="009A2ABF">
        <w:t xml:space="preserve">не требуется </w:t>
      </w:r>
      <w:r w:rsidR="00EF5D99" w:rsidRPr="009A2ABF">
        <w:t xml:space="preserve">вносить изменения в Регламент радиосвязи в рамках пункта 1.13 повестки дня в отношении полос частот </w:t>
      </w:r>
      <w:r w:rsidR="00A716A9" w:rsidRPr="009A2ABF">
        <w:t>71−76 ГГц и 81−86 ГГц</w:t>
      </w:r>
      <w:r w:rsidRPr="009A2ABF">
        <w:t xml:space="preserve">. </w:t>
      </w:r>
    </w:p>
    <w:p w14:paraId="4448302D" w14:textId="336EC02A" w:rsidR="0013385F" w:rsidRPr="009A2ABF" w:rsidRDefault="0013385F" w:rsidP="00EF5D99">
      <w:pPr>
        <w:rPr>
          <w:b/>
          <w:bCs/>
        </w:rPr>
      </w:pPr>
      <w:r w:rsidRPr="009A2ABF">
        <w:t>2.5</w:t>
      </w:r>
      <w:r w:rsidRPr="009A2ABF">
        <w:tab/>
      </w:r>
      <w:r w:rsidR="00EF5D99" w:rsidRPr="009A2ABF">
        <w:t xml:space="preserve">Документ </w:t>
      </w:r>
      <w:r w:rsidRPr="009A2ABF">
        <w:t xml:space="preserve">202 </w:t>
      </w:r>
      <w:r w:rsidR="00EF5D99" w:rsidRPr="009A2ABF">
        <w:rPr>
          <w:b/>
          <w:bCs/>
        </w:rPr>
        <w:t>утверждается</w:t>
      </w:r>
      <w:r w:rsidRPr="009A2ABF">
        <w:rPr>
          <w:b/>
          <w:bCs/>
        </w:rPr>
        <w:t>.</w:t>
      </w:r>
    </w:p>
    <w:p w14:paraId="206D123B" w14:textId="6CC90E55" w:rsidR="0013385F" w:rsidRPr="009A2ABF" w:rsidRDefault="0013385F" w:rsidP="00A716A9">
      <w:r w:rsidRPr="009A2ABF">
        <w:t>2.6</w:t>
      </w:r>
      <w:r w:rsidRPr="009A2ABF">
        <w:tab/>
      </w:r>
      <w:r w:rsidR="00A716A9" w:rsidRPr="009A2ABF">
        <w:t xml:space="preserve">Представляя Документ </w:t>
      </w:r>
      <w:r w:rsidRPr="009A2ABF">
        <w:t>168(Rev.1),</w:t>
      </w:r>
      <w:r w:rsidRPr="009A2ABF">
        <w:rPr>
          <w:b/>
          <w:bCs/>
        </w:rPr>
        <w:t xml:space="preserve"> </w:t>
      </w:r>
      <w:r w:rsidR="00A716A9" w:rsidRPr="009A2ABF">
        <w:rPr>
          <w:b/>
          <w:bCs/>
        </w:rPr>
        <w:t xml:space="preserve">Председатель Комитета 6 </w:t>
      </w:r>
      <w:r w:rsidR="00A716A9" w:rsidRPr="009A2ABF">
        <w:t xml:space="preserve">напоминает, что в ходе третьего пленарного заседания был утвержден принцип невнесения изменений в Регламент </w:t>
      </w:r>
      <w:bookmarkStart w:id="14" w:name="_GoBack"/>
      <w:r w:rsidR="00A716A9" w:rsidRPr="009A2ABF">
        <w:t>радиосвязи в рамках</w:t>
      </w:r>
      <w:r w:rsidR="00126252" w:rsidRPr="009A2ABF">
        <w:t xml:space="preserve"> вопроса 9.1</w:t>
      </w:r>
      <w:r w:rsidR="00A716A9" w:rsidRPr="009A2ABF">
        <w:t xml:space="preserve">.6 </w:t>
      </w:r>
      <w:r w:rsidR="00126252" w:rsidRPr="009A2ABF">
        <w:t xml:space="preserve">пункта 9.1 </w:t>
      </w:r>
      <w:r w:rsidR="00A716A9" w:rsidRPr="009A2ABF">
        <w:t xml:space="preserve">повестки дня. Документ </w:t>
      </w:r>
      <w:r w:rsidRPr="009A2ABF">
        <w:t>168</w:t>
      </w:r>
      <w:r w:rsidR="00A716A9" w:rsidRPr="009A2ABF">
        <w:t xml:space="preserve"> был пересмотрен</w:t>
      </w:r>
      <w:r w:rsidR="00404919" w:rsidRPr="009A2ABF">
        <w:t>,</w:t>
      </w:r>
      <w:r w:rsidR="00A716A9" w:rsidRPr="009A2ABF">
        <w:t xml:space="preserve"> с тем </w:t>
      </w:r>
      <w:bookmarkEnd w:id="14"/>
      <w:r w:rsidR="00A716A9" w:rsidRPr="009A2ABF">
        <w:t xml:space="preserve">чтобы учесть опасения, </w:t>
      </w:r>
      <w:r w:rsidR="00404919" w:rsidRPr="009A2ABF">
        <w:t>выраженные</w:t>
      </w:r>
      <w:r w:rsidR="00A716A9" w:rsidRPr="009A2ABF">
        <w:t xml:space="preserve"> в ходе заседания, и уделить особое внимание отдельным элементам, касающимся защиты служб радиосвязи от воздействия БПЭ для электромобилей</w:t>
      </w:r>
      <w:r w:rsidRPr="009A2ABF">
        <w:t>.</w:t>
      </w:r>
    </w:p>
    <w:p w14:paraId="136119C8" w14:textId="1610111D" w:rsidR="0013385F" w:rsidRPr="009A2ABF" w:rsidRDefault="0013385F" w:rsidP="00A716A9">
      <w:r w:rsidRPr="009A2ABF">
        <w:t>2.7</w:t>
      </w:r>
      <w:r w:rsidRPr="009A2ABF">
        <w:tab/>
      </w:r>
      <w:r w:rsidR="00A716A9" w:rsidRPr="009A2ABF">
        <w:t>Документ</w:t>
      </w:r>
      <w:r w:rsidRPr="009A2ABF">
        <w:t xml:space="preserve"> 168(Rev.1) </w:t>
      </w:r>
      <w:r w:rsidR="00A716A9" w:rsidRPr="009A2ABF">
        <w:rPr>
          <w:b/>
          <w:bCs/>
        </w:rPr>
        <w:t>утверждается</w:t>
      </w:r>
      <w:r w:rsidRPr="009A2ABF">
        <w:t>.</w:t>
      </w:r>
    </w:p>
    <w:p w14:paraId="0F26D7EA" w14:textId="6EB6BBDA" w:rsidR="0013385F" w:rsidRPr="009A2ABF" w:rsidRDefault="0013385F" w:rsidP="00BC4789">
      <w:bookmarkStart w:id="15" w:name="_Hlk24011703"/>
      <w:r w:rsidRPr="009A2ABF">
        <w:t>2.8</w:t>
      </w:r>
      <w:r w:rsidRPr="009A2ABF">
        <w:tab/>
      </w:r>
      <w:r w:rsidR="00BC4789" w:rsidRPr="009A2ABF">
        <w:rPr>
          <w:b/>
          <w:bCs/>
        </w:rPr>
        <w:t>Делегат от Японии</w:t>
      </w:r>
      <w:r w:rsidR="00BC4789" w:rsidRPr="009A2ABF">
        <w:t xml:space="preserve"> выступает со следующим заявлением в отношении Документа </w:t>
      </w:r>
      <w:r w:rsidRPr="009A2ABF">
        <w:t>168(Rev.1):</w:t>
      </w:r>
    </w:p>
    <w:p w14:paraId="6035DFB5" w14:textId="4D10C277" w:rsidR="0013385F" w:rsidRPr="009A2ABF" w:rsidRDefault="001A15F1" w:rsidP="00501F31">
      <w:r w:rsidRPr="009A2ABF">
        <w:t>"</w:t>
      </w:r>
      <w:r w:rsidR="00BC4789" w:rsidRPr="009A2ABF">
        <w:t xml:space="preserve">Япония согласна с отчетом. </w:t>
      </w:r>
      <w:r w:rsidR="007E0B23" w:rsidRPr="009A2ABF">
        <w:t>Вместе с тем</w:t>
      </w:r>
      <w:r w:rsidR="00BC4789" w:rsidRPr="009A2ABF">
        <w:t xml:space="preserve"> </w:t>
      </w:r>
      <w:r w:rsidR="007E0B23" w:rsidRPr="009A2ABF">
        <w:t>Япония</w:t>
      </w:r>
      <w:r w:rsidR="00BC4789" w:rsidRPr="009A2ABF">
        <w:t xml:space="preserve"> по-прежнему считает неуместным употребление </w:t>
      </w:r>
      <w:r w:rsidR="009779CF" w:rsidRPr="009A2ABF">
        <w:t>термина</w:t>
      </w:r>
      <w:r w:rsidR="00BC4789" w:rsidRPr="009A2ABF">
        <w:t xml:space="preserve"> </w:t>
      </w:r>
      <w:r w:rsidR="00313D6E" w:rsidRPr="009A2ABF">
        <w:t>"</w:t>
      </w:r>
      <w:r w:rsidR="00BC4789" w:rsidRPr="009A2ABF">
        <w:t>излучение</w:t>
      </w:r>
      <w:r w:rsidR="00313D6E" w:rsidRPr="009A2ABF">
        <w:t>"</w:t>
      </w:r>
      <w:r w:rsidR="00BC4789" w:rsidRPr="009A2ABF">
        <w:t>, котор</w:t>
      </w:r>
      <w:r w:rsidR="009779CF" w:rsidRPr="009A2ABF">
        <w:t>ый</w:t>
      </w:r>
      <w:r w:rsidR="00BC4789" w:rsidRPr="009A2ABF">
        <w:t xml:space="preserve"> используется в отчете</w:t>
      </w:r>
      <w:r w:rsidR="007E0B23" w:rsidRPr="009A2ABF">
        <w:t>,</w:t>
      </w:r>
      <w:r w:rsidR="00501F31" w:rsidRPr="009A2ABF">
        <w:t xml:space="preserve"> применительно к </w:t>
      </w:r>
      <w:r w:rsidR="0003644B" w:rsidRPr="009A2ABF">
        <w:t xml:space="preserve">радиации </w:t>
      </w:r>
      <w:r w:rsidR="00BC4789" w:rsidRPr="009A2ABF">
        <w:t xml:space="preserve">от БПЭ. </w:t>
      </w:r>
      <w:r w:rsidR="0003644B" w:rsidRPr="009A2ABF">
        <w:t>В</w:t>
      </w:r>
      <w:r w:rsidR="009779CF" w:rsidRPr="009A2ABF">
        <w:t> </w:t>
      </w:r>
      <w:r w:rsidR="0003644B" w:rsidRPr="009A2ABF">
        <w:t>Регламенте радиосвязи прив</w:t>
      </w:r>
      <w:r w:rsidR="007E0B23" w:rsidRPr="009A2ABF">
        <w:t>едено</w:t>
      </w:r>
      <w:r w:rsidR="0003644B" w:rsidRPr="009A2ABF">
        <w:t xml:space="preserve"> определение </w:t>
      </w:r>
      <w:r w:rsidR="007E0B23" w:rsidRPr="009A2ABF">
        <w:t>термина</w:t>
      </w:r>
      <w:r w:rsidR="00BC4789" w:rsidRPr="009A2ABF">
        <w:t xml:space="preserve"> </w:t>
      </w:r>
      <w:r w:rsidR="00313D6E" w:rsidRPr="009A2ABF">
        <w:t>"</w:t>
      </w:r>
      <w:r w:rsidR="0003644B" w:rsidRPr="009A2ABF">
        <w:t>излучение</w:t>
      </w:r>
      <w:r w:rsidR="00313D6E" w:rsidRPr="009A2ABF">
        <w:t>"</w:t>
      </w:r>
      <w:r w:rsidR="0013385F" w:rsidRPr="009A2ABF">
        <w:t>,</w:t>
      </w:r>
      <w:r w:rsidR="0003644B" w:rsidRPr="009A2ABF">
        <w:t xml:space="preserve"> </w:t>
      </w:r>
      <w:r w:rsidR="00F017B9" w:rsidRPr="009A2ABF">
        <w:t xml:space="preserve">однако в </w:t>
      </w:r>
      <w:r w:rsidR="007E0B23" w:rsidRPr="009A2ABF">
        <w:t>данном</w:t>
      </w:r>
      <w:r w:rsidR="00F017B9" w:rsidRPr="009A2ABF">
        <w:t xml:space="preserve"> отчете</w:t>
      </w:r>
      <w:r w:rsidR="0003644B" w:rsidRPr="009A2ABF">
        <w:t xml:space="preserve"> он используется иначе и имеет </w:t>
      </w:r>
      <w:r w:rsidR="00F017B9" w:rsidRPr="009A2ABF">
        <w:t>другое значение</w:t>
      </w:r>
      <w:r w:rsidR="0003644B" w:rsidRPr="009A2ABF">
        <w:t>.</w:t>
      </w:r>
      <w:r w:rsidR="0013385F" w:rsidRPr="009A2ABF">
        <w:t xml:space="preserve"> </w:t>
      </w:r>
      <w:r w:rsidR="0003644B" w:rsidRPr="009A2ABF">
        <w:t xml:space="preserve">Исходя из того понимания, что </w:t>
      </w:r>
      <w:r w:rsidR="009779CF" w:rsidRPr="009A2ABF">
        <w:t>термин</w:t>
      </w:r>
      <w:r w:rsidR="0003644B" w:rsidRPr="009A2ABF">
        <w:t xml:space="preserve"> </w:t>
      </w:r>
      <w:r w:rsidR="00313D6E" w:rsidRPr="009A2ABF">
        <w:t>"</w:t>
      </w:r>
      <w:r w:rsidR="0003644B" w:rsidRPr="009A2ABF">
        <w:t>излучение</w:t>
      </w:r>
      <w:r w:rsidR="00313D6E" w:rsidRPr="009A2ABF">
        <w:t>"</w:t>
      </w:r>
      <w:r w:rsidR="0003644B" w:rsidRPr="009A2ABF">
        <w:t xml:space="preserve"> использовалс</w:t>
      </w:r>
      <w:r w:rsidR="009A2ABF">
        <w:t>я</w:t>
      </w:r>
      <w:r w:rsidR="0003644B" w:rsidRPr="009A2ABF">
        <w:t xml:space="preserve"> в исследованиях 1-й Исследовательской комиссии, посвященных БПЭ, Япония хотела </w:t>
      </w:r>
      <w:r w:rsidR="00501F31" w:rsidRPr="009A2ABF">
        <w:t xml:space="preserve">бы </w:t>
      </w:r>
      <w:r w:rsidR="0003644B" w:rsidRPr="009A2ABF">
        <w:t>продолжить обсуждение этого вопроса в рамках 1-й Исследовательской комиссии"</w:t>
      </w:r>
      <w:r w:rsidR="009A2ABF" w:rsidRPr="009A2ABF">
        <w:t>.</w:t>
      </w:r>
      <w:r w:rsidR="0003644B" w:rsidRPr="009A2ABF">
        <w:t xml:space="preserve"> </w:t>
      </w:r>
    </w:p>
    <w:p w14:paraId="0DD40956" w14:textId="78881520" w:rsidR="0013385F" w:rsidRPr="009A2ABF" w:rsidRDefault="0013385F" w:rsidP="00F017B9">
      <w:r w:rsidRPr="009A2ABF">
        <w:t>2.9</w:t>
      </w:r>
      <w:r w:rsidRPr="009A2ABF">
        <w:tab/>
      </w:r>
      <w:r w:rsidR="00F017B9" w:rsidRPr="009A2ABF">
        <w:t xml:space="preserve">Данное заявление </w:t>
      </w:r>
      <w:r w:rsidR="00F017B9" w:rsidRPr="009A2ABF">
        <w:rPr>
          <w:b/>
          <w:bCs/>
        </w:rPr>
        <w:t>принимается к сведению</w:t>
      </w:r>
      <w:r w:rsidRPr="009A2ABF">
        <w:t>.</w:t>
      </w:r>
    </w:p>
    <w:bookmarkEnd w:id="15"/>
    <w:p w14:paraId="1A76CEE8" w14:textId="43D2A6B8" w:rsidR="0013385F" w:rsidRPr="009A2ABF" w:rsidRDefault="0013385F" w:rsidP="00F017B9">
      <w:pPr>
        <w:pStyle w:val="Heading1"/>
      </w:pPr>
      <w:r w:rsidRPr="009A2ABF">
        <w:lastRenderedPageBreak/>
        <w:t>3</w:t>
      </w:r>
      <w:r w:rsidRPr="009A2ABF">
        <w:tab/>
      </w:r>
      <w:r w:rsidR="00F017B9" w:rsidRPr="009A2ABF">
        <w:t xml:space="preserve">Первая серия текстов, представленных Редакционным комитетом для первого чтения </w:t>
      </w:r>
      <w:r w:rsidRPr="009A2ABF">
        <w:t>(B1) (</w:t>
      </w:r>
      <w:r w:rsidR="00F017B9" w:rsidRPr="009A2ABF">
        <w:t>Документ</w:t>
      </w:r>
      <w:r w:rsidRPr="009A2ABF">
        <w:t xml:space="preserve"> 188)</w:t>
      </w:r>
    </w:p>
    <w:p w14:paraId="5AEC69A1" w14:textId="7BB7D139" w:rsidR="0013385F" w:rsidRPr="009A2ABF" w:rsidRDefault="0013385F" w:rsidP="00F017B9">
      <w:r w:rsidRPr="009A2ABF">
        <w:t>3.1</w:t>
      </w:r>
      <w:r w:rsidRPr="009A2ABF">
        <w:tab/>
      </w:r>
      <w:r w:rsidR="00F017B9" w:rsidRPr="009A2ABF">
        <w:rPr>
          <w:b/>
          <w:bCs/>
        </w:rPr>
        <w:t>Председатель Редакционного комитета</w:t>
      </w:r>
      <w:r w:rsidR="00F017B9" w:rsidRPr="009A2ABF">
        <w:t xml:space="preserve"> излагает процедуру для представления документов для первого и второго чтения. Далее он представляет Документ</w:t>
      </w:r>
      <w:r w:rsidRPr="009A2ABF">
        <w:t xml:space="preserve"> 188.</w:t>
      </w:r>
    </w:p>
    <w:p w14:paraId="3A9D2D0A" w14:textId="195D74B9" w:rsidR="0013385F" w:rsidRPr="009A2ABF" w:rsidRDefault="0013385F" w:rsidP="0013385F">
      <w:r w:rsidRPr="009A2ABF">
        <w:t>3.2</w:t>
      </w:r>
      <w:r w:rsidRPr="009A2ABF">
        <w:tab/>
      </w:r>
      <w:r w:rsidRPr="009A2ABF">
        <w:rPr>
          <w:b/>
          <w:bCs/>
        </w:rPr>
        <w:t xml:space="preserve">Председатель </w:t>
      </w:r>
      <w:r w:rsidRPr="009A2ABF">
        <w:t>предлагает участникам рассмотреть Документ 188.</w:t>
      </w:r>
    </w:p>
    <w:p w14:paraId="3AD5B385" w14:textId="117BD5B1" w:rsidR="0013385F" w:rsidRPr="009A2ABF" w:rsidRDefault="00F017B9" w:rsidP="00F017B9">
      <w:pPr>
        <w:pStyle w:val="Headingb"/>
        <w:rPr>
          <w:rFonts w:eastAsia="SimSun"/>
          <w:lang w:val="ru-RU"/>
        </w:rPr>
      </w:pPr>
      <w:r w:rsidRPr="009A2ABF">
        <w:rPr>
          <w:rFonts w:eastAsia="SimSun"/>
          <w:lang w:val="ru-RU"/>
        </w:rPr>
        <w:t>Приложение 5 (MOD Таблицы 5-1)</w:t>
      </w:r>
    </w:p>
    <w:p w14:paraId="3354DBD2" w14:textId="061EFE5F" w:rsidR="0013385F" w:rsidRPr="009A2ABF" w:rsidRDefault="0013385F" w:rsidP="0013385F">
      <w:pPr>
        <w:rPr>
          <w:bCs/>
        </w:rPr>
      </w:pPr>
      <w:r w:rsidRPr="009A2ABF">
        <w:rPr>
          <w:rFonts w:eastAsia="SimSun"/>
          <w:bCs/>
        </w:rPr>
        <w:t>3.3</w:t>
      </w:r>
      <w:r w:rsidRPr="009A2ABF">
        <w:rPr>
          <w:rFonts w:eastAsia="SimSun"/>
          <w:bCs/>
        </w:rPr>
        <w:tab/>
      </w:r>
      <w:r w:rsidR="00901FEB" w:rsidRPr="009A2ABF">
        <w:rPr>
          <w:rFonts w:eastAsia="SimSun"/>
          <w:b/>
          <w:bCs/>
        </w:rPr>
        <w:t>У</w:t>
      </w:r>
      <w:r w:rsidR="00C95C11" w:rsidRPr="009A2ABF">
        <w:rPr>
          <w:rFonts w:eastAsia="SimSun"/>
          <w:b/>
          <w:bCs/>
        </w:rPr>
        <w:t>тверждается.</w:t>
      </w:r>
    </w:p>
    <w:p w14:paraId="5981CD59" w14:textId="17013942" w:rsidR="0013385F" w:rsidRPr="009A2ABF" w:rsidRDefault="0013385F" w:rsidP="00F017B9">
      <w:r w:rsidRPr="009A2ABF">
        <w:t>3.4</w:t>
      </w:r>
      <w:r w:rsidRPr="009A2ABF">
        <w:tab/>
      </w:r>
      <w:r w:rsidR="00F017B9" w:rsidRPr="009A2ABF">
        <w:t>Первая серия текстов, представленных Редакционным комитетом для первого чтения (B1) (Документ 188)</w:t>
      </w:r>
      <w:r w:rsidR="009A2ABF">
        <w:t>,</w:t>
      </w:r>
      <w:r w:rsidR="00F017B9" w:rsidRPr="009A2ABF">
        <w:t xml:space="preserve"> </w:t>
      </w:r>
      <w:r w:rsidR="00F017B9" w:rsidRPr="009A2ABF">
        <w:rPr>
          <w:b/>
          <w:bCs/>
        </w:rPr>
        <w:t>утверждается</w:t>
      </w:r>
      <w:r w:rsidR="00F017B9" w:rsidRPr="009A2ABF">
        <w:t xml:space="preserve">. </w:t>
      </w:r>
    </w:p>
    <w:p w14:paraId="63AFA2CD" w14:textId="6C794320" w:rsidR="0013385F" w:rsidRPr="009A2ABF" w:rsidRDefault="0013385F" w:rsidP="00F017B9">
      <w:pPr>
        <w:pStyle w:val="Heading1"/>
      </w:pPr>
      <w:r w:rsidRPr="009A2ABF">
        <w:t>4</w:t>
      </w:r>
      <w:r w:rsidRPr="009A2ABF">
        <w:tab/>
      </w:r>
      <w:r w:rsidR="00F017B9" w:rsidRPr="009A2ABF">
        <w:t>Первая серия текстов, представленных Редакционным комитетом</w:t>
      </w:r>
      <w:r w:rsidR="00901FEB" w:rsidRPr="009A2ABF">
        <w:t> </w:t>
      </w:r>
      <w:r w:rsidR="00F017B9" w:rsidRPr="009A2ABF">
        <w:t>(В1)</w:t>
      </w:r>
      <w:r w:rsidR="00901FEB" w:rsidRPr="009A2ABF">
        <w:t> </w:t>
      </w:r>
      <w:r w:rsidR="00F017B9" w:rsidRPr="009A2ABF">
        <w:t xml:space="preserve">− второе чтение </w:t>
      </w:r>
      <w:r w:rsidRPr="009A2ABF">
        <w:t>(</w:t>
      </w:r>
      <w:r w:rsidR="00F017B9" w:rsidRPr="009A2ABF">
        <w:t>Документ</w:t>
      </w:r>
      <w:r w:rsidRPr="009A2ABF">
        <w:t xml:space="preserve"> 188)</w:t>
      </w:r>
    </w:p>
    <w:p w14:paraId="640579A6" w14:textId="24FE4D47" w:rsidR="0013385F" w:rsidRPr="009A2ABF" w:rsidRDefault="0013385F" w:rsidP="00F017B9">
      <w:r w:rsidRPr="009A2ABF">
        <w:t>4.1</w:t>
      </w:r>
      <w:r w:rsidRPr="009A2ABF">
        <w:tab/>
      </w:r>
      <w:r w:rsidR="00F017B9" w:rsidRPr="009A2ABF">
        <w:t>Первая серия текстов, представленных Редакционным комитетом (В1) (Документ 188)</w:t>
      </w:r>
      <w:r w:rsidR="009A2ABF">
        <w:t>,</w:t>
      </w:r>
      <w:r w:rsidR="00F017B9" w:rsidRPr="009A2ABF">
        <w:t xml:space="preserve"> </w:t>
      </w:r>
      <w:r w:rsidR="00F017B9" w:rsidRPr="009A2ABF">
        <w:rPr>
          <w:b/>
          <w:bCs/>
        </w:rPr>
        <w:t>утверждается</w:t>
      </w:r>
      <w:r w:rsidR="00F017B9" w:rsidRPr="009A2ABF">
        <w:t xml:space="preserve"> во втором чтении</w:t>
      </w:r>
      <w:r w:rsidRPr="009A2ABF">
        <w:t>.</w:t>
      </w:r>
    </w:p>
    <w:p w14:paraId="096A55CA" w14:textId="77777777" w:rsidR="00E10D06" w:rsidRPr="009A2ABF" w:rsidRDefault="00E10D06" w:rsidP="00F81102">
      <w:pPr>
        <w:pStyle w:val="Heading1"/>
      </w:pPr>
      <w:r w:rsidRPr="009A2ABF">
        <w:t>5</w:t>
      </w:r>
      <w:r w:rsidRPr="009A2ABF">
        <w:tab/>
        <w:t xml:space="preserve">Вторая серия текстов, представленных Редакционным комитетом для первого чтения (В2) (Документ 189) </w:t>
      </w:r>
    </w:p>
    <w:p w14:paraId="4F69D942" w14:textId="77777777" w:rsidR="00E10D06" w:rsidRPr="009A2ABF" w:rsidRDefault="00E10D06" w:rsidP="0013385F">
      <w:r w:rsidRPr="009A2ABF">
        <w:t>5.1</w:t>
      </w:r>
      <w:r w:rsidRPr="009A2ABF">
        <w:tab/>
      </w:r>
      <w:r w:rsidRPr="009A2ABF">
        <w:rPr>
          <w:b/>
          <w:bCs/>
        </w:rPr>
        <w:t>Председатель Редакционного комитета</w:t>
      </w:r>
      <w:r w:rsidRPr="009A2ABF">
        <w:t xml:space="preserve"> представляет Документ 189.</w:t>
      </w:r>
    </w:p>
    <w:p w14:paraId="2AC09FA1" w14:textId="77777777" w:rsidR="00E10D06" w:rsidRPr="009A2ABF" w:rsidRDefault="00E10D06" w:rsidP="0013385F">
      <w:r w:rsidRPr="009A2ABF">
        <w:t>5.2</w:t>
      </w:r>
      <w:r w:rsidRPr="009A2ABF">
        <w:tab/>
      </w:r>
      <w:r w:rsidRPr="009A2ABF">
        <w:rPr>
          <w:b/>
          <w:bCs/>
        </w:rPr>
        <w:t xml:space="preserve">Председатель </w:t>
      </w:r>
      <w:r w:rsidRPr="009A2ABF">
        <w:t>предлагает участникам рассмотреть Документ 189.</w:t>
      </w:r>
    </w:p>
    <w:p w14:paraId="3AB8B77C" w14:textId="77777777" w:rsidR="00E10D06" w:rsidRPr="009A2ABF" w:rsidRDefault="00E10D06" w:rsidP="00CF0D8D">
      <w:pPr>
        <w:pStyle w:val="Headingb"/>
        <w:rPr>
          <w:lang w:val="ru-RU"/>
        </w:rPr>
      </w:pPr>
      <w:r w:rsidRPr="009A2ABF">
        <w:rPr>
          <w:lang w:val="ru-RU"/>
        </w:rPr>
        <w:t>Статья 9 (MOD 9.36, MOD 9.36.1, MOD 9.52C и MOD 9.53A)</w:t>
      </w:r>
    </w:p>
    <w:p w14:paraId="5B63DB46" w14:textId="77777777" w:rsidR="00E10D06" w:rsidRPr="009A2ABF" w:rsidRDefault="00E10D06" w:rsidP="00CF0D8D">
      <w:pPr>
        <w:spacing w:line="480" w:lineRule="auto"/>
        <w:rPr>
          <w:szCs w:val="24"/>
        </w:rPr>
      </w:pPr>
      <w:r w:rsidRPr="009A2ABF">
        <w:t>5.3</w:t>
      </w:r>
      <w:r w:rsidRPr="009A2ABF">
        <w:tab/>
      </w:r>
      <w:r w:rsidRPr="009A2ABF">
        <w:rPr>
          <w:b/>
          <w:bCs/>
        </w:rPr>
        <w:t>Утверждается</w:t>
      </w:r>
      <w:r w:rsidRPr="009A2ABF">
        <w:rPr>
          <w:szCs w:val="24"/>
        </w:rPr>
        <w:t>.</w:t>
      </w:r>
    </w:p>
    <w:p w14:paraId="20DFF45C" w14:textId="77777777" w:rsidR="00E10D06" w:rsidRPr="009A2ABF" w:rsidRDefault="00E10D06" w:rsidP="00C827D1">
      <w:pPr>
        <w:spacing w:before="0"/>
      </w:pPr>
      <w:r w:rsidRPr="009A2ABF">
        <w:t>5.4</w:t>
      </w:r>
      <w:r w:rsidRPr="009A2ABF">
        <w:tab/>
      </w:r>
      <w:r w:rsidRPr="009A2ABF">
        <w:rPr>
          <w:b/>
          <w:bCs/>
        </w:rPr>
        <w:t>Делегат от Исламской Республики Иран</w:t>
      </w:r>
      <w:r w:rsidRPr="009A2ABF">
        <w:t xml:space="preserve"> говорит, что вопрос предельных сроков является важным и деликатным для развивающихся стран, у которых нередко не хватает ресурсов, для того чтобы представить ответ в течение четырех месяцев. С учетом того, что отсутствие ответа расценивается как молчаливое согласие, администрации, которым не удается соблюсти предельные сроки, также лишаются возможности требовать защиты, что непосредственным образом затрагивает их права. В качестве меры предосторожности было бы целесообразно включить в протокол заседания нижеследующий текст в качестве поручения для Бюро.</w:t>
      </w:r>
    </w:p>
    <w:p w14:paraId="4AAE1E6D" w14:textId="77777777" w:rsidR="00E10D06" w:rsidRPr="009A2ABF" w:rsidRDefault="00E10D06" w:rsidP="00F81102">
      <w:pPr>
        <w:rPr>
          <w:szCs w:val="24"/>
        </w:rPr>
      </w:pPr>
      <w:r w:rsidRPr="009A2ABF">
        <w:rPr>
          <w:szCs w:val="24"/>
        </w:rPr>
        <w:t xml:space="preserve">"До истечения предельного срока, указанного в настоящем документе, Бюро радиосвязи должно направить заинтересованным администрациям сообщение, привлекая их внимание к необходимости представить ответ в предельные сроки, обозначенные в документе". </w:t>
      </w:r>
    </w:p>
    <w:p w14:paraId="14D20D7F" w14:textId="642ACC5D" w:rsidR="00E10D06" w:rsidRPr="009A2ABF" w:rsidRDefault="00E10D06" w:rsidP="00F81102">
      <w:r w:rsidRPr="009A2ABF">
        <w:t>Он также рекомендует направлять копии документов как администрациям, так и дипломатически</w:t>
      </w:r>
      <w:r w:rsidR="009A2ABF">
        <w:t>м</w:t>
      </w:r>
      <w:r w:rsidRPr="009A2ABF">
        <w:t xml:space="preserve"> представительства</w:t>
      </w:r>
      <w:r w:rsidR="009A2ABF">
        <w:t>м</w:t>
      </w:r>
      <w:r w:rsidRPr="009A2ABF">
        <w:t xml:space="preserve"> в Женеве, с тем чтобы могли быть приняты надлежащие меры. Отвечая на замечание </w:t>
      </w:r>
      <w:r w:rsidRPr="009A2ABF">
        <w:rPr>
          <w:b/>
          <w:bCs/>
        </w:rPr>
        <w:t>Председателя Комитета 5</w:t>
      </w:r>
      <w:r w:rsidRPr="009A2ABF">
        <w:t xml:space="preserve">, делегат говорит, что требование о направлении таких напоминаний уже содержится в Приложениях </w:t>
      </w:r>
      <w:r w:rsidRPr="009A2ABF">
        <w:rPr>
          <w:b/>
          <w:bCs/>
        </w:rPr>
        <w:t>30</w:t>
      </w:r>
      <w:r w:rsidRPr="009A2ABF">
        <w:t xml:space="preserve">, </w:t>
      </w:r>
      <w:r w:rsidRPr="009A2ABF">
        <w:rPr>
          <w:b/>
          <w:bCs/>
        </w:rPr>
        <w:t>30А</w:t>
      </w:r>
      <w:r w:rsidRPr="009A2ABF">
        <w:t xml:space="preserve"> и </w:t>
      </w:r>
      <w:r w:rsidRPr="009A2ABF">
        <w:rPr>
          <w:b/>
          <w:bCs/>
        </w:rPr>
        <w:t>30В</w:t>
      </w:r>
      <w:r w:rsidRPr="009A2ABF">
        <w:t xml:space="preserve"> к Регламенту радиосвязи в аналогичной формулировке. </w:t>
      </w:r>
    </w:p>
    <w:p w14:paraId="595C8911" w14:textId="45E6A75D" w:rsidR="00E10D06" w:rsidRPr="009A2ABF" w:rsidRDefault="00E10D06" w:rsidP="00F81102">
      <w:r w:rsidRPr="009A2ABF">
        <w:t>5.5</w:t>
      </w:r>
      <w:r w:rsidRPr="009A2ABF">
        <w:tab/>
      </w:r>
      <w:r w:rsidRPr="009A2ABF">
        <w:rPr>
          <w:b/>
          <w:bCs/>
        </w:rPr>
        <w:t>Делегаты от Южно</w:t>
      </w:r>
      <w:r w:rsidR="009A2ABF">
        <w:rPr>
          <w:b/>
          <w:bCs/>
        </w:rPr>
        <w:t>-</w:t>
      </w:r>
      <w:r w:rsidRPr="009A2ABF">
        <w:rPr>
          <w:b/>
          <w:bCs/>
        </w:rPr>
        <w:t>Африк</w:t>
      </w:r>
      <w:r w:rsidR="009A2ABF">
        <w:rPr>
          <w:b/>
          <w:bCs/>
        </w:rPr>
        <w:t>анской Республики</w:t>
      </w:r>
      <w:r w:rsidRPr="009A2ABF">
        <w:t xml:space="preserve"> и </w:t>
      </w:r>
      <w:r w:rsidRPr="009A2ABF">
        <w:rPr>
          <w:b/>
          <w:bCs/>
        </w:rPr>
        <w:t>Непала</w:t>
      </w:r>
      <w:r w:rsidRPr="009A2ABF">
        <w:t xml:space="preserve"> поддерживают это предложение. </w:t>
      </w:r>
    </w:p>
    <w:p w14:paraId="4E033967" w14:textId="3A1C528C" w:rsidR="00E10D06" w:rsidRPr="009A2ABF" w:rsidRDefault="00E10D06" w:rsidP="00F81102">
      <w:r w:rsidRPr="009A2ABF">
        <w:t>5.6</w:t>
      </w:r>
      <w:r w:rsidRPr="009A2ABF">
        <w:tab/>
      </w:r>
      <w:r w:rsidRPr="009A2ABF">
        <w:rPr>
          <w:b/>
          <w:bCs/>
        </w:rPr>
        <w:t>Председатель</w:t>
      </w:r>
      <w:r w:rsidRPr="009A2ABF">
        <w:t xml:space="preserve"> отмечает, что возражений в отношении предлагаемого текста не поступило, поэтому он будет включен в протокол </w:t>
      </w:r>
      <w:r w:rsidR="009A2ABF" w:rsidRPr="009A2ABF">
        <w:t xml:space="preserve">пленарного </w:t>
      </w:r>
      <w:r w:rsidRPr="009A2ABF">
        <w:t xml:space="preserve">заседания в качестве поручения для Бюро. </w:t>
      </w:r>
    </w:p>
    <w:p w14:paraId="6CBDF14B" w14:textId="77777777" w:rsidR="00E10D06" w:rsidRPr="009A2ABF" w:rsidRDefault="00E10D06" w:rsidP="007A6994">
      <w:r w:rsidRPr="009A2ABF">
        <w:t>5.7</w:t>
      </w:r>
      <w:r w:rsidRPr="009A2ABF">
        <w:tab/>
        <w:t xml:space="preserve">Решение </w:t>
      </w:r>
      <w:r w:rsidRPr="009A2ABF">
        <w:rPr>
          <w:b/>
          <w:bCs/>
        </w:rPr>
        <w:t>принимается</w:t>
      </w:r>
      <w:r w:rsidRPr="009A2ABF">
        <w:t>.</w:t>
      </w:r>
    </w:p>
    <w:p w14:paraId="4DDEB205" w14:textId="77777777" w:rsidR="00E10D06" w:rsidRPr="009A2ABF" w:rsidRDefault="00E10D06" w:rsidP="00F81102">
      <w:r w:rsidRPr="009A2ABF">
        <w:t>5.8</w:t>
      </w:r>
      <w:r w:rsidRPr="009A2ABF">
        <w:tab/>
        <w:t xml:space="preserve">Вторая серия текстов, представленных Редакционным комитетом для первого чтения (В2) (Документ 189), </w:t>
      </w:r>
      <w:r w:rsidRPr="009A2ABF">
        <w:rPr>
          <w:b/>
          <w:bCs/>
        </w:rPr>
        <w:t>утверждается</w:t>
      </w:r>
      <w:r w:rsidRPr="009A2ABF">
        <w:t xml:space="preserve">. </w:t>
      </w:r>
    </w:p>
    <w:p w14:paraId="736059AE" w14:textId="77777777" w:rsidR="00E10D06" w:rsidRPr="009A2ABF" w:rsidRDefault="00E10D06" w:rsidP="00F81102">
      <w:pPr>
        <w:pStyle w:val="Heading1"/>
      </w:pPr>
      <w:r w:rsidRPr="009A2ABF">
        <w:lastRenderedPageBreak/>
        <w:t>6</w:t>
      </w:r>
      <w:r w:rsidRPr="009A2ABF">
        <w:tab/>
        <w:t xml:space="preserve">Вторая серия текстов, представленных Редакционным комитетом (В2) − второе чтение (Документ 189) </w:t>
      </w:r>
    </w:p>
    <w:p w14:paraId="525D6FAE" w14:textId="77777777" w:rsidR="00E10D06" w:rsidRPr="009A2ABF" w:rsidRDefault="00E10D06" w:rsidP="00F81102">
      <w:pPr>
        <w:rPr>
          <w:b/>
          <w:bCs/>
        </w:rPr>
      </w:pPr>
      <w:r w:rsidRPr="009A2ABF">
        <w:t>6.1</w:t>
      </w:r>
      <w:r w:rsidRPr="009A2ABF">
        <w:tab/>
        <w:t xml:space="preserve">Вторая серия текстов, представленных Редакционным комитетом (В2) (Документ 189), </w:t>
      </w:r>
      <w:r w:rsidRPr="009A2ABF">
        <w:rPr>
          <w:b/>
          <w:bCs/>
        </w:rPr>
        <w:t>утверждается</w:t>
      </w:r>
      <w:r w:rsidRPr="009A2ABF">
        <w:t xml:space="preserve"> во втором чтении. </w:t>
      </w:r>
    </w:p>
    <w:p w14:paraId="65924FA2" w14:textId="77777777" w:rsidR="00E10D06" w:rsidRPr="009A2ABF" w:rsidRDefault="00E10D06" w:rsidP="00F81102">
      <w:pPr>
        <w:pStyle w:val="Heading1"/>
      </w:pPr>
      <w:r w:rsidRPr="009A2ABF">
        <w:t>7</w:t>
      </w:r>
      <w:r w:rsidRPr="009A2ABF">
        <w:tab/>
        <w:t xml:space="preserve">Третья серия текстов, представленных Редакционным комитетом для первого чтения (В3) (Документ 190) </w:t>
      </w:r>
    </w:p>
    <w:p w14:paraId="3905E97F" w14:textId="77777777" w:rsidR="00E10D06" w:rsidRPr="009A2ABF" w:rsidRDefault="00E10D06" w:rsidP="00313D6E">
      <w:pPr>
        <w:rPr>
          <w:szCs w:val="24"/>
        </w:rPr>
      </w:pPr>
      <w:r w:rsidRPr="009A2ABF">
        <w:t>7.1</w:t>
      </w:r>
      <w:r w:rsidRPr="009A2ABF">
        <w:tab/>
      </w:r>
      <w:bookmarkStart w:id="16" w:name="_Hlk24129010"/>
      <w:r w:rsidRPr="009A2ABF">
        <w:rPr>
          <w:b/>
          <w:bCs/>
        </w:rPr>
        <w:t>Председатель Редакционного комитета</w:t>
      </w:r>
      <w:r w:rsidRPr="009A2ABF">
        <w:t xml:space="preserve"> представляет Документ 190.</w:t>
      </w:r>
      <w:bookmarkEnd w:id="16"/>
    </w:p>
    <w:p w14:paraId="32DB7957" w14:textId="77777777" w:rsidR="00E10D06" w:rsidRPr="009A2ABF" w:rsidRDefault="00E10D06" w:rsidP="0013385F">
      <w:r w:rsidRPr="009A2ABF">
        <w:t>7.2</w:t>
      </w:r>
      <w:r w:rsidRPr="009A2ABF">
        <w:tab/>
      </w:r>
      <w:r w:rsidRPr="009A2ABF">
        <w:rPr>
          <w:b/>
          <w:bCs/>
        </w:rPr>
        <w:t xml:space="preserve">Председатель </w:t>
      </w:r>
      <w:r w:rsidRPr="009A2ABF">
        <w:t>предлагает участникам рассмотреть Документ 190.</w:t>
      </w:r>
    </w:p>
    <w:p w14:paraId="28CACE08" w14:textId="77777777" w:rsidR="00E10D06" w:rsidRPr="009A2ABF" w:rsidRDefault="00E10D06" w:rsidP="00F81102">
      <w:pPr>
        <w:pStyle w:val="Headingb"/>
        <w:rPr>
          <w:lang w:val="ru-RU"/>
        </w:rPr>
      </w:pPr>
      <w:r w:rsidRPr="009A2ABF">
        <w:rPr>
          <w:lang w:val="ru-RU"/>
        </w:rPr>
        <w:t>Приложение 30 (MOD 4.1.12. и MOD 4.2.16); Приложение 30A (MOD 4.1.12 и MOD 4.2.16); Приложение 30B (MOD 6.21)</w:t>
      </w:r>
    </w:p>
    <w:p w14:paraId="074ED111" w14:textId="77777777" w:rsidR="00E10D06" w:rsidRPr="009A2ABF" w:rsidRDefault="00E10D06" w:rsidP="0013385F">
      <w:r w:rsidRPr="009A2ABF">
        <w:t>7.3</w:t>
      </w:r>
      <w:r w:rsidRPr="009A2ABF">
        <w:tab/>
      </w:r>
      <w:r w:rsidRPr="009A2ABF">
        <w:rPr>
          <w:b/>
          <w:bCs/>
        </w:rPr>
        <w:t>Утверждаются</w:t>
      </w:r>
      <w:r w:rsidRPr="009A2ABF">
        <w:t>.</w:t>
      </w:r>
    </w:p>
    <w:p w14:paraId="75B72994" w14:textId="77777777" w:rsidR="00E10D06" w:rsidRPr="009A2ABF" w:rsidRDefault="00E10D06" w:rsidP="0013385F">
      <w:r w:rsidRPr="009A2ABF">
        <w:t>7.4</w:t>
      </w:r>
      <w:r w:rsidRPr="009A2ABF">
        <w:tab/>
        <w:t xml:space="preserve">Третья серия текстов, представленных Редакционным комитетом для первого чтения (B3) (Документ 190), </w:t>
      </w:r>
      <w:r w:rsidRPr="009A2ABF">
        <w:rPr>
          <w:b/>
          <w:bCs/>
        </w:rPr>
        <w:t>утверждается</w:t>
      </w:r>
      <w:r w:rsidRPr="009A2ABF">
        <w:t>.</w:t>
      </w:r>
    </w:p>
    <w:p w14:paraId="0EC2F9A5" w14:textId="77777777" w:rsidR="00E10D06" w:rsidRPr="009A2ABF" w:rsidRDefault="00E10D06" w:rsidP="00F81102">
      <w:pPr>
        <w:pStyle w:val="Heading1"/>
      </w:pPr>
      <w:r w:rsidRPr="009A2ABF">
        <w:t>8</w:t>
      </w:r>
      <w:r w:rsidRPr="009A2ABF">
        <w:tab/>
        <w:t xml:space="preserve">Третья серия текстов, представленных Редакционным комитетом (B3) − второе чтение (Документ 190) </w:t>
      </w:r>
    </w:p>
    <w:p w14:paraId="68EFF18D" w14:textId="77777777" w:rsidR="00E10D06" w:rsidRPr="009A2ABF" w:rsidRDefault="00E10D06" w:rsidP="0013385F">
      <w:pPr>
        <w:rPr>
          <w:szCs w:val="24"/>
        </w:rPr>
      </w:pPr>
      <w:r w:rsidRPr="009A2ABF">
        <w:t>8.1</w:t>
      </w:r>
      <w:r w:rsidRPr="009A2ABF">
        <w:tab/>
        <w:t xml:space="preserve">Третья серия текстов, представленных Редакционным комитетом (B3) (Документ 190), </w:t>
      </w:r>
      <w:r w:rsidRPr="009A2ABF">
        <w:rPr>
          <w:b/>
          <w:bCs/>
        </w:rPr>
        <w:t>утверждается</w:t>
      </w:r>
      <w:r w:rsidRPr="009A2ABF">
        <w:t xml:space="preserve"> во втором чтении.</w:t>
      </w:r>
    </w:p>
    <w:p w14:paraId="58129A6B" w14:textId="77777777" w:rsidR="00E10D06" w:rsidRPr="009A2ABF" w:rsidRDefault="00E10D06" w:rsidP="00B93D8C">
      <w:pPr>
        <w:pStyle w:val="Heading1"/>
      </w:pPr>
      <w:r w:rsidRPr="009A2ABF">
        <w:t>9</w:t>
      </w:r>
      <w:r w:rsidRPr="009A2ABF">
        <w:tab/>
        <w:t>Утверждение протоколов первого и второго пленарных заседаний (Документы 156 и 174)</w:t>
      </w:r>
    </w:p>
    <w:p w14:paraId="5CBADFCC" w14:textId="77777777" w:rsidR="00E10D06" w:rsidRPr="009A2ABF" w:rsidRDefault="00E10D06" w:rsidP="00F81102">
      <w:pPr>
        <w:rPr>
          <w:rFonts w:eastAsia="MS Mincho"/>
          <w:b/>
          <w:bCs/>
        </w:rPr>
      </w:pPr>
      <w:r w:rsidRPr="009A2ABF">
        <w:rPr>
          <w:rFonts w:eastAsia="MS Mincho"/>
        </w:rPr>
        <w:t>9.1</w:t>
      </w:r>
      <w:r w:rsidRPr="009A2ABF">
        <w:rPr>
          <w:rFonts w:eastAsia="MS Mincho"/>
        </w:rPr>
        <w:tab/>
        <w:t xml:space="preserve">Протоколы первого и второго пленарных заседаний (Документы 156 и 174) </w:t>
      </w:r>
      <w:r w:rsidRPr="009A2ABF">
        <w:rPr>
          <w:rFonts w:eastAsia="MS Mincho"/>
          <w:b/>
          <w:bCs/>
        </w:rPr>
        <w:t>утверждаются</w:t>
      </w:r>
      <w:r w:rsidRPr="009A2ABF">
        <w:rPr>
          <w:rFonts w:eastAsia="MS Mincho"/>
        </w:rPr>
        <w:t xml:space="preserve">. </w:t>
      </w:r>
    </w:p>
    <w:p w14:paraId="082888A7" w14:textId="77777777" w:rsidR="00E10D06" w:rsidRPr="009A2ABF" w:rsidRDefault="00E10D06" w:rsidP="00F81102">
      <w:r w:rsidRPr="009A2ABF">
        <w:t>9.2</w:t>
      </w:r>
      <w:r w:rsidRPr="009A2ABF">
        <w:tab/>
      </w:r>
      <w:r w:rsidRPr="009A2ABF">
        <w:rPr>
          <w:b/>
          <w:bCs/>
        </w:rPr>
        <w:t>Делегат от Исламской Республики Иран</w:t>
      </w:r>
      <w:r w:rsidRPr="009A2ABF">
        <w:t xml:space="preserve"> говорит, что на будущее было бы разумно обеспечить возможность для администраций обращаться в секретариат пленарного заседания за пределами зала заседаний, чтобы убедиться, что их заявления точно отражены в протоколе, вместо того чтобы брать слово и предлагать поправки в ходе пленарного заседания. </w:t>
      </w:r>
    </w:p>
    <w:p w14:paraId="160F2598" w14:textId="77777777" w:rsidR="00E10D06" w:rsidRPr="009A2ABF" w:rsidRDefault="00E10D06" w:rsidP="00B93D8C">
      <w:r w:rsidRPr="009A2ABF">
        <w:t>9.3</w:t>
      </w:r>
      <w:r w:rsidRPr="009A2ABF">
        <w:tab/>
        <w:t xml:space="preserve">Это предложение </w:t>
      </w:r>
      <w:r w:rsidRPr="009A2ABF">
        <w:rPr>
          <w:b/>
          <w:bCs/>
        </w:rPr>
        <w:t>принимается во внимание</w:t>
      </w:r>
      <w:r w:rsidRPr="009A2ABF">
        <w:t>.</w:t>
      </w:r>
    </w:p>
    <w:p w14:paraId="5E21F12A" w14:textId="77777777" w:rsidR="00E10D06" w:rsidRPr="009A2ABF" w:rsidRDefault="00E10D06" w:rsidP="00CF1D3E">
      <w:pPr>
        <w:pStyle w:val="Heading1"/>
      </w:pPr>
      <w:r w:rsidRPr="009A2ABF">
        <w:rPr>
          <w:rFonts w:eastAsia="Calibri"/>
        </w:rPr>
        <w:t>10</w:t>
      </w:r>
      <w:r w:rsidRPr="009A2ABF">
        <w:rPr>
          <w:rFonts w:eastAsia="Calibri"/>
        </w:rPr>
        <w:tab/>
        <w:t xml:space="preserve">Предельный срок для исключения названий стран из примечаний (Документ 131) </w:t>
      </w:r>
    </w:p>
    <w:p w14:paraId="572DB3E5" w14:textId="77777777" w:rsidR="00E10D06" w:rsidRPr="009A2ABF" w:rsidRDefault="00E10D06" w:rsidP="00CF1D3E">
      <w:r w:rsidRPr="009A2ABF">
        <w:t>10.1</w:t>
      </w:r>
      <w:r w:rsidRPr="009A2ABF">
        <w:tab/>
      </w:r>
      <w:r w:rsidRPr="009A2ABF">
        <w:rPr>
          <w:b/>
          <w:bCs/>
        </w:rPr>
        <w:t>Председатель</w:t>
      </w:r>
      <w:r w:rsidRPr="009A2ABF">
        <w:t xml:space="preserve"> напоминает делегатам о том, что в соответствии с решением, принятым на втором пленарном заседании на основании Документа 131, в качестве предельного срока для представления предложений об исключении названий стран из примечаний установлена пятница, 8 ноября 2019 года, 18 час. 00 мин. (время Шарм-эль-Шейха). </w:t>
      </w:r>
    </w:p>
    <w:p w14:paraId="0F5B37A7" w14:textId="77777777" w:rsidR="00E10D06" w:rsidRPr="009A2ABF" w:rsidRDefault="00E10D06" w:rsidP="00C95C11">
      <w:pPr>
        <w:rPr>
          <w:b/>
          <w:bCs/>
        </w:rPr>
      </w:pPr>
      <w:r w:rsidRPr="009A2ABF">
        <w:rPr>
          <w:b/>
          <w:bCs/>
        </w:rPr>
        <w:t>Собрание закрывается в 14 час. 50 мин</w:t>
      </w:r>
      <w:r w:rsidRPr="009A2ABF">
        <w:t>.</w:t>
      </w:r>
    </w:p>
    <w:p w14:paraId="3972C4E1" w14:textId="77777777" w:rsidR="00E10D06" w:rsidRPr="009A2ABF" w:rsidRDefault="00E10D06" w:rsidP="00C827D1">
      <w:pPr>
        <w:tabs>
          <w:tab w:val="clear" w:pos="1134"/>
          <w:tab w:val="clear" w:pos="1871"/>
          <w:tab w:val="clear" w:pos="2268"/>
          <w:tab w:val="left" w:pos="6804"/>
        </w:tabs>
        <w:spacing w:before="960"/>
        <w:rPr>
          <w:rFonts w:asciiTheme="majorBidi" w:hAnsiTheme="majorBidi" w:cstheme="majorBidi"/>
          <w:szCs w:val="24"/>
        </w:rPr>
      </w:pPr>
      <w:r w:rsidRPr="009A2ABF">
        <w:rPr>
          <w:rFonts w:asciiTheme="majorBidi" w:hAnsiTheme="majorBidi" w:cstheme="majorBidi"/>
        </w:rPr>
        <w:t>Генеральный секретарь:</w:t>
      </w:r>
      <w:r w:rsidRPr="009A2ABF">
        <w:rPr>
          <w:rFonts w:asciiTheme="majorBidi" w:hAnsiTheme="majorBidi" w:cstheme="majorBidi"/>
        </w:rPr>
        <w:tab/>
        <w:t>Председатель:</w:t>
      </w:r>
      <w:r w:rsidRPr="009A2ABF">
        <w:rPr>
          <w:rFonts w:asciiTheme="majorBidi" w:hAnsiTheme="majorBidi" w:cstheme="majorBidi"/>
          <w:lang w:bidi="he-IL"/>
        </w:rPr>
        <w:br/>
      </w:r>
      <w:r w:rsidRPr="009A2ABF">
        <w:rPr>
          <w:rFonts w:asciiTheme="majorBidi" w:hAnsiTheme="majorBidi" w:cstheme="majorBidi"/>
        </w:rPr>
        <w:t xml:space="preserve">Х. ЧЖАО </w:t>
      </w:r>
      <w:r w:rsidRPr="009A2ABF">
        <w:rPr>
          <w:rFonts w:asciiTheme="majorBidi" w:hAnsiTheme="majorBidi" w:cstheme="majorBidi"/>
        </w:rPr>
        <w:tab/>
      </w:r>
      <w:r w:rsidRPr="009A2ABF">
        <w:rPr>
          <w:rFonts w:asciiTheme="majorBidi" w:hAnsiTheme="majorBidi" w:cstheme="majorBidi"/>
          <w:bCs/>
        </w:rPr>
        <w:t>А. БАДАВИ</w:t>
      </w:r>
    </w:p>
    <w:sectPr w:rsidR="00E10D06" w:rsidRPr="009A2ABF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C0EDE" w14:textId="77777777" w:rsidR="0003644B" w:rsidRDefault="0003644B">
      <w:r>
        <w:separator/>
      </w:r>
    </w:p>
  </w:endnote>
  <w:endnote w:type="continuationSeparator" w:id="0">
    <w:p w14:paraId="71D187C9" w14:textId="77777777" w:rsidR="0003644B" w:rsidRDefault="0003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8D785" w14:textId="77777777" w:rsidR="0003644B" w:rsidRDefault="0003644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F5102EE" w14:textId="5BE185A0" w:rsidR="0003644B" w:rsidRPr="00CB5AF7" w:rsidRDefault="0003644B">
    <w:pPr>
      <w:ind w:right="360"/>
      <w:rPr>
        <w:lang w:val="en-US"/>
      </w:rPr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7C38E2">
      <w:rPr>
        <w:noProof/>
        <w:lang w:val="en-US"/>
      </w:rPr>
      <w:t>P:\RUS\ITU-R\CONF-R\CMR19\200\237R.docx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C38E2">
      <w:rPr>
        <w:noProof/>
      </w:rPr>
      <w:t>11.11.19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C38E2">
      <w:rPr>
        <w:noProof/>
      </w:rPr>
      <w:t>11.11.19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B0CA" w14:textId="4F20D2A4" w:rsidR="0003644B" w:rsidRPr="00A769F6" w:rsidRDefault="0003644B" w:rsidP="00A93DD4">
    <w:pPr>
      <w:pStyle w:val="Footer"/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7C38E2">
      <w:rPr>
        <w:lang w:val="en-US"/>
      </w:rPr>
      <w:t>P:\RUS\ITU-R\CONF-R\CMR19\200\237R.docx</w:t>
    </w:r>
    <w:r>
      <w:fldChar w:fldCharType="end"/>
    </w:r>
    <w:r w:rsidRPr="00A769F6">
      <w:t xml:space="preserve"> (4639</w:t>
    </w:r>
    <w:r w:rsidR="009A2ABF">
      <w:t>89</w:t>
    </w:r>
    <w:r w:rsidRPr="00A769F6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3DF16" w14:textId="1030CFDB" w:rsidR="0003644B" w:rsidRPr="00A769F6" w:rsidRDefault="0003644B" w:rsidP="00A93DD4">
    <w:pPr>
      <w:pStyle w:val="Footer"/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7C38E2">
      <w:rPr>
        <w:lang w:val="en-US"/>
      </w:rPr>
      <w:t>P:\RUS\ITU-R\CONF-R\CMR19\200\237R.docx</w:t>
    </w:r>
    <w:r>
      <w:fldChar w:fldCharType="end"/>
    </w:r>
    <w:r w:rsidRPr="00A769F6">
      <w:t xml:space="preserve"> (</w:t>
    </w:r>
    <w:r w:rsidRPr="00BA2A00">
      <w:t>4639</w:t>
    </w:r>
    <w:r w:rsidR="009A2ABF">
      <w:t>89</w:t>
    </w:r>
    <w:r w:rsidRPr="00A769F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DF69E" w14:textId="77777777" w:rsidR="0003644B" w:rsidRDefault="0003644B">
      <w:r>
        <w:rPr>
          <w:b/>
        </w:rPr>
        <w:t>_______________</w:t>
      </w:r>
    </w:p>
  </w:footnote>
  <w:footnote w:type="continuationSeparator" w:id="0">
    <w:p w14:paraId="34168147" w14:textId="77777777" w:rsidR="0003644B" w:rsidRDefault="00036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D646C" w14:textId="10905A9C" w:rsidR="0003644B" w:rsidRPr="00434A7C" w:rsidRDefault="0003644B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910C64">
      <w:rPr>
        <w:noProof/>
      </w:rPr>
      <w:t>4</w:t>
    </w:r>
    <w:r>
      <w:fldChar w:fldCharType="end"/>
    </w:r>
  </w:p>
  <w:p w14:paraId="62425667" w14:textId="0A5DB901" w:rsidR="0003644B" w:rsidRDefault="00C827D1" w:rsidP="00A15F23">
    <w:pPr>
      <w:pStyle w:val="Header"/>
      <w:rPr>
        <w:lang w:val="en-US"/>
      </w:rPr>
    </w:pPr>
    <w:r w:rsidRPr="00C827D1">
      <w:rPr>
        <w:lang w:val="ru-RU"/>
      </w:rPr>
      <w:t>CMR19/</w:t>
    </w:r>
    <w:r w:rsidR="009A2ABF">
      <w:rPr>
        <w:lang w:val="en-US"/>
      </w:rPr>
      <w:t>237</w:t>
    </w:r>
    <w:r w:rsidR="0003644B"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intFractionalCharacterWidth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en-CA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B30"/>
    <w:rsid w:val="000260F1"/>
    <w:rsid w:val="0003535B"/>
    <w:rsid w:val="0003644B"/>
    <w:rsid w:val="000A3BCA"/>
    <w:rsid w:val="00123B68"/>
    <w:rsid w:val="00124C09"/>
    <w:rsid w:val="00126252"/>
    <w:rsid w:val="00126F2E"/>
    <w:rsid w:val="0013385F"/>
    <w:rsid w:val="00151895"/>
    <w:rsid w:val="001521AE"/>
    <w:rsid w:val="00153683"/>
    <w:rsid w:val="0017261A"/>
    <w:rsid w:val="001842C8"/>
    <w:rsid w:val="001A15F1"/>
    <w:rsid w:val="001E5FB4"/>
    <w:rsid w:val="00202CA0"/>
    <w:rsid w:val="00245A1F"/>
    <w:rsid w:val="00267EA1"/>
    <w:rsid w:val="00290C74"/>
    <w:rsid w:val="002D4E0F"/>
    <w:rsid w:val="00300F84"/>
    <w:rsid w:val="00313D6E"/>
    <w:rsid w:val="00344EB8"/>
    <w:rsid w:val="00352F84"/>
    <w:rsid w:val="00383FBF"/>
    <w:rsid w:val="003A4916"/>
    <w:rsid w:val="003C583C"/>
    <w:rsid w:val="003F0078"/>
    <w:rsid w:val="00404919"/>
    <w:rsid w:val="00434A7C"/>
    <w:rsid w:val="0045143A"/>
    <w:rsid w:val="004A58F4"/>
    <w:rsid w:val="00501F31"/>
    <w:rsid w:val="005029E8"/>
    <w:rsid w:val="0051315E"/>
    <w:rsid w:val="00567276"/>
    <w:rsid w:val="005D1879"/>
    <w:rsid w:val="005D79A3"/>
    <w:rsid w:val="005E61DD"/>
    <w:rsid w:val="006023DF"/>
    <w:rsid w:val="00620DD7"/>
    <w:rsid w:val="00621DB1"/>
    <w:rsid w:val="00657DE0"/>
    <w:rsid w:val="00692C06"/>
    <w:rsid w:val="006A6E9B"/>
    <w:rsid w:val="006B078C"/>
    <w:rsid w:val="00763F4F"/>
    <w:rsid w:val="00775720"/>
    <w:rsid w:val="007A0B30"/>
    <w:rsid w:val="007C38B6"/>
    <w:rsid w:val="007C38E2"/>
    <w:rsid w:val="007E0B23"/>
    <w:rsid w:val="00811633"/>
    <w:rsid w:val="008153AD"/>
    <w:rsid w:val="00872FC8"/>
    <w:rsid w:val="00894CAD"/>
    <w:rsid w:val="008B43F2"/>
    <w:rsid w:val="008C3257"/>
    <w:rsid w:val="00901FEB"/>
    <w:rsid w:val="00910C64"/>
    <w:rsid w:val="009119CC"/>
    <w:rsid w:val="00941A02"/>
    <w:rsid w:val="009779CF"/>
    <w:rsid w:val="009A2ABF"/>
    <w:rsid w:val="009E5FC8"/>
    <w:rsid w:val="00A138D0"/>
    <w:rsid w:val="00A141AF"/>
    <w:rsid w:val="00A15F23"/>
    <w:rsid w:val="00A2044F"/>
    <w:rsid w:val="00A4600A"/>
    <w:rsid w:val="00A57C04"/>
    <w:rsid w:val="00A61057"/>
    <w:rsid w:val="00A66340"/>
    <w:rsid w:val="00A710E7"/>
    <w:rsid w:val="00A716A9"/>
    <w:rsid w:val="00A769F6"/>
    <w:rsid w:val="00A85B65"/>
    <w:rsid w:val="00A93DD4"/>
    <w:rsid w:val="00A97EC0"/>
    <w:rsid w:val="00AA5284"/>
    <w:rsid w:val="00AC2575"/>
    <w:rsid w:val="00AC66E6"/>
    <w:rsid w:val="00AD0C8A"/>
    <w:rsid w:val="00AF661B"/>
    <w:rsid w:val="00B03CBA"/>
    <w:rsid w:val="00B34814"/>
    <w:rsid w:val="00B468A6"/>
    <w:rsid w:val="00BA13A4"/>
    <w:rsid w:val="00BA1AA1"/>
    <w:rsid w:val="00BA2A00"/>
    <w:rsid w:val="00BA35DC"/>
    <w:rsid w:val="00BC4789"/>
    <w:rsid w:val="00BC5313"/>
    <w:rsid w:val="00BD6D5D"/>
    <w:rsid w:val="00BD7593"/>
    <w:rsid w:val="00C20466"/>
    <w:rsid w:val="00C324A8"/>
    <w:rsid w:val="00C56E7A"/>
    <w:rsid w:val="00C64184"/>
    <w:rsid w:val="00C827D1"/>
    <w:rsid w:val="00C83CA1"/>
    <w:rsid w:val="00C92213"/>
    <w:rsid w:val="00C95C11"/>
    <w:rsid w:val="00CB5AF7"/>
    <w:rsid w:val="00CC0409"/>
    <w:rsid w:val="00CC47C6"/>
    <w:rsid w:val="00CE5E47"/>
    <w:rsid w:val="00CF020F"/>
    <w:rsid w:val="00D53715"/>
    <w:rsid w:val="00DE2EBA"/>
    <w:rsid w:val="00DF640B"/>
    <w:rsid w:val="00E10D06"/>
    <w:rsid w:val="00E976C1"/>
    <w:rsid w:val="00EF5D99"/>
    <w:rsid w:val="00F017B9"/>
    <w:rsid w:val="00F65C19"/>
    <w:rsid w:val="00FC63FD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C0B5F06"/>
  <w15:docId w15:val="{22BB49CE-B743-4FAE-8E32-5F81B345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221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C92213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C92213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C92213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C92213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92213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92213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C92213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C92213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C92213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C92213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C92213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C92213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C92213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C92213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C92213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C92213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C92213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C92213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C92213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C92213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C92213"/>
  </w:style>
  <w:style w:type="character" w:customStyle="1" w:styleId="AppendixNoCar">
    <w:name w:val="Appendix_No Car"/>
    <w:basedOn w:val="DefaultParagraphFont"/>
    <w:link w:val="Appendix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C92213"/>
    <w:rPr>
      <w:lang w:val="en-GB"/>
    </w:rPr>
  </w:style>
  <w:style w:type="paragraph" w:customStyle="1" w:styleId="Appendixref">
    <w:name w:val="Appendix_ref"/>
    <w:basedOn w:val="Annexref"/>
    <w:next w:val="Annextitle"/>
    <w:rsid w:val="00C92213"/>
  </w:style>
  <w:style w:type="paragraph" w:customStyle="1" w:styleId="Appendixtitle">
    <w:name w:val="Appendix_title"/>
    <w:basedOn w:val="Annextitle"/>
    <w:next w:val="Normal"/>
    <w:link w:val="AppendixtitleChar"/>
    <w:rsid w:val="00C92213"/>
  </w:style>
  <w:style w:type="character" w:customStyle="1" w:styleId="AppendixtitleChar">
    <w:name w:val="Appendix_title Char"/>
    <w:basedOn w:val="AnnextitleChar1"/>
    <w:link w:val="Appendixtitle"/>
    <w:locked/>
    <w:rsid w:val="00C92213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C92213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C92213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C92213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C92213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C92213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C92213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C92213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C92213"/>
    <w:rPr>
      <w:lang w:val="en-US"/>
    </w:rPr>
  </w:style>
  <w:style w:type="paragraph" w:customStyle="1" w:styleId="Booktitle">
    <w:name w:val="Book_title"/>
    <w:basedOn w:val="Normal"/>
    <w:qFormat/>
    <w:rsid w:val="00C92213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C92213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C92213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C92213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C92213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C92213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C92213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C92213"/>
  </w:style>
  <w:style w:type="character" w:customStyle="1" w:styleId="ChaptitleChar">
    <w:name w:val="Chap_title Char"/>
    <w:basedOn w:val="DefaultParagraphFont"/>
    <w:link w:val="Chaptitle"/>
    <w:locked/>
    <w:rsid w:val="00C92213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C92213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C92213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C92213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C92213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C92213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C92213"/>
    <w:pPr>
      <w:ind w:left="2268" w:hanging="397"/>
    </w:pPr>
  </w:style>
  <w:style w:type="paragraph" w:customStyle="1" w:styleId="Equation">
    <w:name w:val="Equation"/>
    <w:basedOn w:val="Normal"/>
    <w:link w:val="EquationChar"/>
    <w:rsid w:val="00C92213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C92213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C92213"/>
    <w:pPr>
      <w:ind w:left="1134"/>
    </w:pPr>
  </w:style>
  <w:style w:type="paragraph" w:customStyle="1" w:styleId="Equationlegend">
    <w:name w:val="Equation_legend"/>
    <w:basedOn w:val="NormalIndent"/>
    <w:rsid w:val="00C92213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C92213"/>
    <w:pPr>
      <w:keepNext/>
      <w:keepLines/>
      <w:jc w:val="center"/>
    </w:pPr>
  </w:style>
  <w:style w:type="paragraph" w:customStyle="1" w:styleId="Figurelegend">
    <w:name w:val="Figure_legend"/>
    <w:basedOn w:val="Normal"/>
    <w:rsid w:val="00C92213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C92213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C92213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C92213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C92213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C92213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C92213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C92213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C92213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C92213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92213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C92213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C92213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C92213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C92213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C92213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C92213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C92213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C92213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C92213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C92213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C92213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C92213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C92213"/>
  </w:style>
  <w:style w:type="paragraph" w:styleId="Index2">
    <w:name w:val="index 2"/>
    <w:basedOn w:val="Normal"/>
    <w:next w:val="Normal"/>
    <w:rsid w:val="00C92213"/>
    <w:pPr>
      <w:ind w:left="283"/>
    </w:pPr>
  </w:style>
  <w:style w:type="paragraph" w:styleId="Index3">
    <w:name w:val="index 3"/>
    <w:basedOn w:val="Normal"/>
    <w:next w:val="Normal"/>
    <w:rsid w:val="00C92213"/>
    <w:pPr>
      <w:ind w:left="566"/>
    </w:pPr>
  </w:style>
  <w:style w:type="paragraph" w:styleId="Index4">
    <w:name w:val="index 4"/>
    <w:basedOn w:val="Normal"/>
    <w:next w:val="Normal"/>
    <w:rsid w:val="00C92213"/>
    <w:pPr>
      <w:ind w:left="849"/>
    </w:pPr>
  </w:style>
  <w:style w:type="paragraph" w:styleId="Index5">
    <w:name w:val="index 5"/>
    <w:basedOn w:val="Normal"/>
    <w:next w:val="Normal"/>
    <w:rsid w:val="00C92213"/>
    <w:pPr>
      <w:ind w:left="1132"/>
    </w:pPr>
  </w:style>
  <w:style w:type="paragraph" w:styleId="Index6">
    <w:name w:val="index 6"/>
    <w:basedOn w:val="Normal"/>
    <w:next w:val="Normal"/>
    <w:rsid w:val="00C92213"/>
    <w:pPr>
      <w:ind w:left="1415"/>
    </w:pPr>
  </w:style>
  <w:style w:type="paragraph" w:styleId="Index7">
    <w:name w:val="index 7"/>
    <w:basedOn w:val="Normal"/>
    <w:next w:val="Normal"/>
    <w:rsid w:val="00C92213"/>
    <w:pPr>
      <w:ind w:left="1698"/>
    </w:pPr>
  </w:style>
  <w:style w:type="paragraph" w:styleId="IndexHeading">
    <w:name w:val="index heading"/>
    <w:basedOn w:val="Normal"/>
    <w:next w:val="Index1"/>
    <w:rsid w:val="00C92213"/>
  </w:style>
  <w:style w:type="character" w:styleId="LineNumber">
    <w:name w:val="line number"/>
    <w:basedOn w:val="DefaultParagraphFont"/>
    <w:rsid w:val="00C92213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C92213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C92213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C92213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C92213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C92213"/>
    <w:rPr>
      <w:rFonts w:cs="Times New Roman"/>
    </w:rPr>
  </w:style>
  <w:style w:type="paragraph" w:customStyle="1" w:styleId="PartNo">
    <w:name w:val="Part_No"/>
    <w:basedOn w:val="AnnexNo"/>
    <w:next w:val="Normal"/>
    <w:rsid w:val="00C92213"/>
  </w:style>
  <w:style w:type="paragraph" w:customStyle="1" w:styleId="Partref">
    <w:name w:val="Part_ref"/>
    <w:basedOn w:val="Annexref"/>
    <w:next w:val="Normal"/>
    <w:rsid w:val="00C92213"/>
  </w:style>
  <w:style w:type="paragraph" w:customStyle="1" w:styleId="Parttitle">
    <w:name w:val="Part_title"/>
    <w:basedOn w:val="Annextitle"/>
    <w:next w:val="Normalaftertitle"/>
    <w:rsid w:val="00C92213"/>
  </w:style>
  <w:style w:type="paragraph" w:customStyle="1" w:styleId="Proposal">
    <w:name w:val="Proposal"/>
    <w:basedOn w:val="Normal"/>
    <w:next w:val="Normal"/>
    <w:link w:val="ProposalChar"/>
    <w:rsid w:val="00C92213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C92213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C92213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C9221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C92213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C92213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92213"/>
  </w:style>
  <w:style w:type="paragraph" w:customStyle="1" w:styleId="QuestionNo">
    <w:name w:val="Question_No"/>
    <w:basedOn w:val="RecNo"/>
    <w:next w:val="Normal"/>
    <w:rsid w:val="00C92213"/>
  </w:style>
  <w:style w:type="paragraph" w:customStyle="1" w:styleId="Questionref">
    <w:name w:val="Question_ref"/>
    <w:basedOn w:val="Recref"/>
    <w:next w:val="Questiondate"/>
    <w:rsid w:val="00C92213"/>
  </w:style>
  <w:style w:type="paragraph" w:customStyle="1" w:styleId="Questiontitle">
    <w:name w:val="Question_title"/>
    <w:basedOn w:val="Rectitle"/>
    <w:next w:val="Questionref"/>
    <w:rsid w:val="00C92213"/>
  </w:style>
  <w:style w:type="paragraph" w:customStyle="1" w:styleId="Reasons">
    <w:name w:val="Reasons"/>
    <w:basedOn w:val="Normal"/>
    <w:link w:val="ReasonsChar"/>
    <w:qFormat/>
    <w:rsid w:val="00C92213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C92213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C92213"/>
    <w:rPr>
      <w:rFonts w:cs="Times New Roman"/>
      <w:b/>
    </w:rPr>
  </w:style>
  <w:style w:type="paragraph" w:customStyle="1" w:styleId="Reftext">
    <w:name w:val="Ref_text"/>
    <w:basedOn w:val="Normal"/>
    <w:rsid w:val="00C92213"/>
    <w:pPr>
      <w:ind w:left="1134" w:hanging="1134"/>
    </w:pPr>
  </w:style>
  <w:style w:type="paragraph" w:customStyle="1" w:styleId="Reftitle">
    <w:name w:val="Ref_title"/>
    <w:basedOn w:val="Normal"/>
    <w:next w:val="Reftext"/>
    <w:rsid w:val="00C92213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C92213"/>
  </w:style>
  <w:style w:type="paragraph" w:customStyle="1" w:styleId="RepNo">
    <w:name w:val="Rep_No"/>
    <w:basedOn w:val="RecNo"/>
    <w:next w:val="Normal"/>
    <w:rsid w:val="00C92213"/>
  </w:style>
  <w:style w:type="paragraph" w:customStyle="1" w:styleId="Repref">
    <w:name w:val="Rep_ref"/>
    <w:basedOn w:val="Recref"/>
    <w:next w:val="Repdate"/>
    <w:rsid w:val="00C92213"/>
  </w:style>
  <w:style w:type="paragraph" w:customStyle="1" w:styleId="Reptitle">
    <w:name w:val="Rep_title"/>
    <w:basedOn w:val="Rectitle"/>
    <w:next w:val="Repref"/>
    <w:rsid w:val="00C92213"/>
  </w:style>
  <w:style w:type="paragraph" w:customStyle="1" w:styleId="Resdate">
    <w:name w:val="Res_date"/>
    <w:basedOn w:val="Recdate"/>
    <w:next w:val="Normalaftertitle"/>
    <w:rsid w:val="00C92213"/>
  </w:style>
  <w:style w:type="character" w:customStyle="1" w:styleId="Resdef">
    <w:name w:val="Res_def"/>
    <w:basedOn w:val="DefaultParagraphFont"/>
    <w:rsid w:val="00C92213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C92213"/>
  </w:style>
  <w:style w:type="character" w:customStyle="1" w:styleId="ResNoChar">
    <w:name w:val="Res_No Char"/>
    <w:basedOn w:val="DefaultParagraphFont"/>
    <w:link w:val="Res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C92213"/>
  </w:style>
  <w:style w:type="paragraph" w:customStyle="1" w:styleId="Restitle">
    <w:name w:val="Res_title"/>
    <w:basedOn w:val="Rectitle"/>
    <w:next w:val="Resref"/>
    <w:link w:val="RestitleChar"/>
    <w:rsid w:val="00C92213"/>
  </w:style>
  <w:style w:type="character" w:customStyle="1" w:styleId="RestitleChar">
    <w:name w:val="Res_title Char"/>
    <w:basedOn w:val="DefaultParagraphFont"/>
    <w:link w:val="Restitle"/>
    <w:locked/>
    <w:rsid w:val="00C92213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C92213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C92213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C92213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C92213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C92213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C92213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C92213"/>
  </w:style>
  <w:style w:type="paragraph" w:customStyle="1" w:styleId="Sectiontitle">
    <w:name w:val="Section_title"/>
    <w:basedOn w:val="Annextitle"/>
    <w:next w:val="Normalaftertitle"/>
    <w:rsid w:val="00C92213"/>
  </w:style>
  <w:style w:type="paragraph" w:customStyle="1" w:styleId="SpecialFooter">
    <w:name w:val="Special Footer"/>
    <w:basedOn w:val="Footer"/>
    <w:rsid w:val="00C92213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C92213"/>
    <w:rPr>
      <w:lang w:val="en-GB"/>
    </w:rPr>
  </w:style>
  <w:style w:type="table" w:styleId="TableGrid">
    <w:name w:val="Table Grid"/>
    <w:basedOn w:val="TableNormal"/>
    <w:rsid w:val="00C9221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C92213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C92213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C92213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C92213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C92213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C92213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C92213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C92213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AF661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AF661B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C92213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C92213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C92213"/>
    <w:rPr>
      <w:b/>
    </w:rPr>
  </w:style>
  <w:style w:type="paragraph" w:customStyle="1" w:styleId="toc0">
    <w:name w:val="toc 0"/>
    <w:basedOn w:val="Normal"/>
    <w:next w:val="TOC1"/>
    <w:rsid w:val="00C92213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C92213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C92213"/>
    <w:pPr>
      <w:spacing w:before="120"/>
    </w:pPr>
  </w:style>
  <w:style w:type="paragraph" w:styleId="TOC3">
    <w:name w:val="toc 3"/>
    <w:basedOn w:val="TOC2"/>
    <w:rsid w:val="00C92213"/>
  </w:style>
  <w:style w:type="paragraph" w:styleId="TOC4">
    <w:name w:val="toc 4"/>
    <w:basedOn w:val="TOC3"/>
    <w:rsid w:val="00C92213"/>
  </w:style>
  <w:style w:type="paragraph" w:styleId="TOC5">
    <w:name w:val="toc 5"/>
    <w:basedOn w:val="TOC4"/>
    <w:rsid w:val="00C92213"/>
  </w:style>
  <w:style w:type="paragraph" w:styleId="TOC6">
    <w:name w:val="toc 6"/>
    <w:basedOn w:val="TOC4"/>
    <w:rsid w:val="00C92213"/>
  </w:style>
  <w:style w:type="paragraph" w:styleId="TOC7">
    <w:name w:val="toc 7"/>
    <w:basedOn w:val="TOC4"/>
    <w:rsid w:val="00C92213"/>
  </w:style>
  <w:style w:type="paragraph" w:styleId="TOC8">
    <w:name w:val="toc 8"/>
    <w:basedOn w:val="TOC4"/>
    <w:rsid w:val="00C92213"/>
  </w:style>
  <w:style w:type="paragraph" w:customStyle="1" w:styleId="Volumetitle">
    <w:name w:val="Volume_title"/>
    <w:basedOn w:val="ArtNo"/>
    <w:qFormat/>
    <w:rsid w:val="00C92213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C92213"/>
  </w:style>
  <w:style w:type="paragraph" w:customStyle="1" w:styleId="AppArtNo">
    <w:name w:val="App_Art_No"/>
    <w:basedOn w:val="ArtNo"/>
    <w:next w:val="AppArttitle"/>
    <w:qFormat/>
    <w:rsid w:val="00C92213"/>
  </w:style>
  <w:style w:type="paragraph" w:customStyle="1" w:styleId="Committee">
    <w:name w:val="Committee"/>
    <w:basedOn w:val="Normal"/>
    <w:qFormat/>
    <w:rsid w:val="00C922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Part1">
    <w:name w:val="Part_1"/>
    <w:basedOn w:val="Subsection1"/>
    <w:next w:val="Section1"/>
    <w:qFormat/>
    <w:rsid w:val="00C92213"/>
  </w:style>
  <w:style w:type="paragraph" w:customStyle="1" w:styleId="Headingsplit">
    <w:name w:val="Heading_split"/>
    <w:basedOn w:val="Headingi"/>
    <w:qFormat/>
    <w:rsid w:val="00C92213"/>
    <w:pPr>
      <w:keepNext w:val="0"/>
    </w:pPr>
    <w:rPr>
      <w:rFonts w:ascii="Times New Roman" w:hAnsi="Times New Roman"/>
      <w:lang w:val="en-US"/>
    </w:rPr>
  </w:style>
  <w:style w:type="paragraph" w:customStyle="1" w:styleId="MethodHeadingb">
    <w:name w:val="Method_Headingb"/>
    <w:basedOn w:val="Headingb"/>
    <w:qFormat/>
    <w:rsid w:val="00C92213"/>
  </w:style>
  <w:style w:type="paragraph" w:customStyle="1" w:styleId="Methodheading1">
    <w:name w:val="Method_heading1"/>
    <w:basedOn w:val="Heading1"/>
    <w:next w:val="Normal"/>
    <w:qFormat/>
    <w:rsid w:val="00C92213"/>
  </w:style>
  <w:style w:type="paragraph" w:customStyle="1" w:styleId="Methodheading2">
    <w:name w:val="Method_heading2"/>
    <w:basedOn w:val="Heading2"/>
    <w:next w:val="Normal"/>
    <w:qFormat/>
    <w:rsid w:val="00C92213"/>
  </w:style>
  <w:style w:type="paragraph" w:customStyle="1" w:styleId="Methodheading3">
    <w:name w:val="Method_heading3"/>
    <w:basedOn w:val="Heading3"/>
    <w:next w:val="Normal"/>
    <w:qFormat/>
    <w:rsid w:val="00C92213"/>
  </w:style>
  <w:style w:type="paragraph" w:customStyle="1" w:styleId="Methodheading4">
    <w:name w:val="Method_heading4"/>
    <w:basedOn w:val="Heading4"/>
    <w:next w:val="Normal"/>
    <w:qFormat/>
    <w:rsid w:val="00C92213"/>
  </w:style>
  <w:style w:type="paragraph" w:customStyle="1" w:styleId="Normalsplit">
    <w:name w:val="Normal_split"/>
    <w:basedOn w:val="Normal"/>
    <w:qFormat/>
    <w:rsid w:val="00C92213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C92213"/>
    <w:rPr>
      <w:rFonts w:ascii="Times New Roman" w:hAnsi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upov\AppData\Roaming\Microsoft\Templates\POOL%20R%20-%20ITU\PR_WR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PR_WRC19.dotx</Template>
  <TotalTime>47</TotalTime>
  <Pages>1</Pages>
  <Words>1843</Words>
  <Characters>12096</Characters>
  <Application>Microsoft Office Word</Application>
  <DocSecurity>0</DocSecurity>
  <Lines>242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13861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Radiocommunication Conference - 2019</dc:subject>
  <dc:creator>Russian</dc:creator>
  <cp:keywords/>
  <dc:description/>
  <cp:lastModifiedBy>Tsarapkina, Yulia</cp:lastModifiedBy>
  <cp:revision>6</cp:revision>
  <cp:lastPrinted>2019-11-11T17:39:00Z</cp:lastPrinted>
  <dcterms:created xsi:type="dcterms:W3CDTF">2019-11-11T16:20:00Z</dcterms:created>
  <dcterms:modified xsi:type="dcterms:W3CDTF">2019-11-11T17:39:00Z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