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60CB2" w14:paraId="3D764D94" w14:textId="77777777" w:rsidTr="0050008E">
        <w:trPr>
          <w:cantSplit/>
        </w:trPr>
        <w:tc>
          <w:tcPr>
            <w:tcW w:w="6911" w:type="dxa"/>
          </w:tcPr>
          <w:p w14:paraId="245383F5" w14:textId="77777777" w:rsidR="00BB1D82" w:rsidRPr="00E60CB2" w:rsidRDefault="00851625" w:rsidP="00492B79">
            <w:pPr>
              <w:spacing w:before="400" w:after="48"/>
              <w:rPr>
                <w:rFonts w:ascii="Verdana" w:hAnsi="Verdana"/>
                <w:b/>
                <w:bCs/>
                <w:sz w:val="20"/>
                <w:lang w:val="fr-CH"/>
              </w:rPr>
            </w:pPr>
            <w:r w:rsidRPr="00E60CB2">
              <w:rPr>
                <w:rFonts w:ascii="Verdana" w:hAnsi="Verdana"/>
                <w:b/>
                <w:bCs/>
                <w:sz w:val="20"/>
                <w:lang w:val="fr-CH"/>
              </w:rPr>
              <w:t>Conférence mondiale des radiocommunications (CMR-1</w:t>
            </w:r>
            <w:r w:rsidR="00FD7AA3" w:rsidRPr="00E60CB2">
              <w:rPr>
                <w:rFonts w:ascii="Verdana" w:hAnsi="Verdana"/>
                <w:b/>
                <w:bCs/>
                <w:sz w:val="20"/>
                <w:lang w:val="fr-CH"/>
              </w:rPr>
              <w:t>9</w:t>
            </w:r>
            <w:r w:rsidRPr="00E60CB2">
              <w:rPr>
                <w:rFonts w:ascii="Verdana" w:hAnsi="Verdana"/>
                <w:b/>
                <w:bCs/>
                <w:sz w:val="20"/>
                <w:lang w:val="fr-CH"/>
              </w:rPr>
              <w:t>)</w:t>
            </w:r>
            <w:r w:rsidRPr="00E60CB2">
              <w:rPr>
                <w:rFonts w:ascii="Verdana" w:hAnsi="Verdana"/>
                <w:b/>
                <w:bCs/>
                <w:sz w:val="20"/>
                <w:lang w:val="fr-CH"/>
              </w:rPr>
              <w:br/>
            </w:r>
            <w:r w:rsidR="00063A1F" w:rsidRPr="00E60CB2">
              <w:rPr>
                <w:rFonts w:ascii="Verdana" w:hAnsi="Verdana"/>
                <w:b/>
                <w:bCs/>
                <w:sz w:val="18"/>
                <w:szCs w:val="18"/>
                <w:lang w:val="fr-CH"/>
              </w:rPr>
              <w:t xml:space="preserve">Charm el-Cheikh, </w:t>
            </w:r>
            <w:r w:rsidR="00081366" w:rsidRPr="00E60CB2">
              <w:rPr>
                <w:rFonts w:ascii="Verdana" w:hAnsi="Verdana"/>
                <w:b/>
                <w:bCs/>
                <w:sz w:val="18"/>
                <w:szCs w:val="18"/>
                <w:lang w:val="fr-CH"/>
              </w:rPr>
              <w:t>É</w:t>
            </w:r>
            <w:r w:rsidR="00063A1F" w:rsidRPr="00E60CB2">
              <w:rPr>
                <w:rFonts w:ascii="Verdana" w:hAnsi="Verdana"/>
                <w:b/>
                <w:bCs/>
                <w:sz w:val="18"/>
                <w:szCs w:val="18"/>
                <w:lang w:val="fr-CH"/>
              </w:rPr>
              <w:t>gypte</w:t>
            </w:r>
            <w:r w:rsidRPr="00E60CB2">
              <w:rPr>
                <w:rFonts w:ascii="Verdana" w:hAnsi="Verdana"/>
                <w:b/>
                <w:bCs/>
                <w:sz w:val="18"/>
                <w:szCs w:val="18"/>
                <w:lang w:val="fr-CH"/>
              </w:rPr>
              <w:t>,</w:t>
            </w:r>
            <w:r w:rsidR="00E537FF" w:rsidRPr="00E60CB2">
              <w:rPr>
                <w:rFonts w:ascii="Verdana" w:hAnsi="Verdana"/>
                <w:b/>
                <w:bCs/>
                <w:sz w:val="18"/>
                <w:szCs w:val="18"/>
                <w:lang w:val="fr-CH"/>
              </w:rPr>
              <w:t xml:space="preserve"> </w:t>
            </w:r>
            <w:r w:rsidRPr="00E60CB2">
              <w:rPr>
                <w:rFonts w:ascii="Verdana" w:hAnsi="Verdana"/>
                <w:b/>
                <w:bCs/>
                <w:sz w:val="18"/>
                <w:szCs w:val="18"/>
                <w:lang w:val="fr-CH"/>
              </w:rPr>
              <w:t>2</w:t>
            </w:r>
            <w:r w:rsidR="00FD7AA3" w:rsidRPr="00E60CB2">
              <w:rPr>
                <w:rFonts w:ascii="Verdana" w:hAnsi="Verdana"/>
                <w:b/>
                <w:bCs/>
                <w:sz w:val="18"/>
                <w:szCs w:val="18"/>
                <w:lang w:val="fr-CH"/>
              </w:rPr>
              <w:t xml:space="preserve">8 octobre </w:t>
            </w:r>
            <w:r w:rsidR="00F10064" w:rsidRPr="00E60CB2">
              <w:rPr>
                <w:rFonts w:ascii="Verdana" w:hAnsi="Verdana"/>
                <w:b/>
                <w:bCs/>
                <w:sz w:val="18"/>
                <w:szCs w:val="18"/>
                <w:lang w:val="fr-CH"/>
              </w:rPr>
              <w:t>–</w:t>
            </w:r>
            <w:r w:rsidR="00FD7AA3" w:rsidRPr="00E60CB2">
              <w:rPr>
                <w:rFonts w:ascii="Verdana" w:hAnsi="Verdana"/>
                <w:b/>
                <w:bCs/>
                <w:sz w:val="18"/>
                <w:szCs w:val="18"/>
                <w:lang w:val="fr-CH"/>
              </w:rPr>
              <w:t xml:space="preserve"> </w:t>
            </w:r>
            <w:r w:rsidRPr="00E60CB2">
              <w:rPr>
                <w:rFonts w:ascii="Verdana" w:hAnsi="Verdana"/>
                <w:b/>
                <w:bCs/>
                <w:sz w:val="18"/>
                <w:szCs w:val="18"/>
                <w:lang w:val="fr-CH"/>
              </w:rPr>
              <w:t>2</w:t>
            </w:r>
            <w:r w:rsidR="00FD7AA3" w:rsidRPr="00E60CB2">
              <w:rPr>
                <w:rFonts w:ascii="Verdana" w:hAnsi="Verdana"/>
                <w:b/>
                <w:bCs/>
                <w:sz w:val="18"/>
                <w:szCs w:val="18"/>
                <w:lang w:val="fr-CH"/>
              </w:rPr>
              <w:t>2</w:t>
            </w:r>
            <w:r w:rsidRPr="00E60CB2">
              <w:rPr>
                <w:rFonts w:ascii="Verdana" w:hAnsi="Verdana"/>
                <w:b/>
                <w:bCs/>
                <w:sz w:val="18"/>
                <w:szCs w:val="18"/>
                <w:lang w:val="fr-CH"/>
              </w:rPr>
              <w:t xml:space="preserve"> novembre 201</w:t>
            </w:r>
            <w:r w:rsidR="00FD7AA3" w:rsidRPr="00E60CB2">
              <w:rPr>
                <w:rFonts w:ascii="Verdana" w:hAnsi="Verdana"/>
                <w:b/>
                <w:bCs/>
                <w:sz w:val="18"/>
                <w:szCs w:val="18"/>
                <w:lang w:val="fr-CH"/>
              </w:rPr>
              <w:t>9</w:t>
            </w:r>
          </w:p>
        </w:tc>
        <w:tc>
          <w:tcPr>
            <w:tcW w:w="3120" w:type="dxa"/>
          </w:tcPr>
          <w:p w14:paraId="32FA0A9F" w14:textId="77777777" w:rsidR="00BB1D82" w:rsidRPr="00E60CB2" w:rsidRDefault="000A55AE" w:rsidP="00492B79">
            <w:pPr>
              <w:spacing w:before="0"/>
              <w:jc w:val="right"/>
              <w:rPr>
                <w:lang w:val="fr-CH"/>
              </w:rPr>
            </w:pPr>
            <w:bookmarkStart w:id="0" w:name="ditulogo"/>
            <w:bookmarkEnd w:id="0"/>
            <w:r w:rsidRPr="00E60CB2">
              <w:rPr>
                <w:rFonts w:ascii="Verdana" w:hAnsi="Verdana"/>
                <w:b/>
                <w:bCs/>
                <w:noProof/>
                <w:lang w:val="fr-CH" w:eastAsia="zh-CN"/>
              </w:rPr>
              <w:drawing>
                <wp:inline distT="0" distB="0" distL="0" distR="0" wp14:anchorId="75BE09BA" wp14:editId="16882AD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E60CB2" w14:paraId="728EA448" w14:textId="77777777" w:rsidTr="0050008E">
        <w:trPr>
          <w:cantSplit/>
        </w:trPr>
        <w:tc>
          <w:tcPr>
            <w:tcW w:w="6911" w:type="dxa"/>
            <w:tcBorders>
              <w:bottom w:val="single" w:sz="12" w:space="0" w:color="auto"/>
            </w:tcBorders>
          </w:tcPr>
          <w:p w14:paraId="7E8AFC1B" w14:textId="77777777" w:rsidR="00BB1D82" w:rsidRPr="00E60CB2" w:rsidRDefault="00BB1D82" w:rsidP="00492B79">
            <w:pPr>
              <w:spacing w:before="0" w:after="48"/>
              <w:rPr>
                <w:b/>
                <w:smallCaps/>
                <w:szCs w:val="24"/>
                <w:lang w:val="fr-CH"/>
              </w:rPr>
            </w:pPr>
            <w:bookmarkStart w:id="1" w:name="dhead"/>
          </w:p>
        </w:tc>
        <w:tc>
          <w:tcPr>
            <w:tcW w:w="3120" w:type="dxa"/>
            <w:tcBorders>
              <w:bottom w:val="single" w:sz="12" w:space="0" w:color="auto"/>
            </w:tcBorders>
          </w:tcPr>
          <w:p w14:paraId="34F693BE" w14:textId="77777777" w:rsidR="00BB1D82" w:rsidRPr="00E60CB2" w:rsidRDefault="00BB1D82" w:rsidP="00492B79">
            <w:pPr>
              <w:spacing w:before="0"/>
              <w:rPr>
                <w:rFonts w:ascii="Verdana" w:hAnsi="Verdana"/>
                <w:szCs w:val="24"/>
                <w:lang w:val="fr-CH"/>
              </w:rPr>
            </w:pPr>
          </w:p>
        </w:tc>
      </w:tr>
      <w:tr w:rsidR="00BB1D82" w:rsidRPr="00E60CB2" w14:paraId="6B7E0A42" w14:textId="77777777" w:rsidTr="00BB1D82">
        <w:trPr>
          <w:cantSplit/>
        </w:trPr>
        <w:tc>
          <w:tcPr>
            <w:tcW w:w="6911" w:type="dxa"/>
            <w:tcBorders>
              <w:top w:val="single" w:sz="12" w:space="0" w:color="auto"/>
            </w:tcBorders>
          </w:tcPr>
          <w:p w14:paraId="65414A33" w14:textId="77777777" w:rsidR="00BB1D82" w:rsidRPr="00E60CB2" w:rsidRDefault="00BB1D82" w:rsidP="00492B79">
            <w:pPr>
              <w:spacing w:before="0" w:after="48"/>
              <w:rPr>
                <w:rFonts w:ascii="Verdana" w:hAnsi="Verdana"/>
                <w:b/>
                <w:smallCaps/>
                <w:sz w:val="20"/>
                <w:lang w:val="fr-CH"/>
              </w:rPr>
            </w:pPr>
          </w:p>
        </w:tc>
        <w:tc>
          <w:tcPr>
            <w:tcW w:w="3120" w:type="dxa"/>
            <w:tcBorders>
              <w:top w:val="single" w:sz="12" w:space="0" w:color="auto"/>
            </w:tcBorders>
          </w:tcPr>
          <w:p w14:paraId="14C88409" w14:textId="77777777" w:rsidR="00BB1D82" w:rsidRPr="00E60CB2" w:rsidRDefault="00BB1D82" w:rsidP="00492B79">
            <w:pPr>
              <w:spacing w:before="0"/>
              <w:rPr>
                <w:rFonts w:ascii="Verdana" w:hAnsi="Verdana"/>
                <w:sz w:val="20"/>
                <w:lang w:val="fr-CH"/>
              </w:rPr>
            </w:pPr>
          </w:p>
        </w:tc>
      </w:tr>
      <w:tr w:rsidR="00BB1D82" w:rsidRPr="00E60CB2" w14:paraId="148420F5" w14:textId="77777777" w:rsidTr="00BB1D82">
        <w:trPr>
          <w:cantSplit/>
        </w:trPr>
        <w:tc>
          <w:tcPr>
            <w:tcW w:w="6911" w:type="dxa"/>
          </w:tcPr>
          <w:p w14:paraId="5D5C80A2" w14:textId="77777777" w:rsidR="00BB1D82" w:rsidRPr="00E60CB2" w:rsidRDefault="006D4724" w:rsidP="00492B79">
            <w:pPr>
              <w:spacing w:before="0"/>
              <w:rPr>
                <w:rFonts w:ascii="Verdana" w:hAnsi="Verdana"/>
                <w:b/>
                <w:sz w:val="20"/>
                <w:lang w:val="fr-CH"/>
              </w:rPr>
            </w:pPr>
            <w:r w:rsidRPr="00E60CB2">
              <w:rPr>
                <w:rFonts w:ascii="Verdana" w:hAnsi="Verdana"/>
                <w:b/>
                <w:sz w:val="20"/>
                <w:lang w:val="fr-CH"/>
              </w:rPr>
              <w:t>COMMISSION 6</w:t>
            </w:r>
          </w:p>
        </w:tc>
        <w:tc>
          <w:tcPr>
            <w:tcW w:w="3120" w:type="dxa"/>
          </w:tcPr>
          <w:p w14:paraId="40BFAE07" w14:textId="77777777" w:rsidR="00BB1D82" w:rsidRPr="00E60CB2" w:rsidRDefault="006D4724" w:rsidP="00492B79">
            <w:pPr>
              <w:spacing w:before="0"/>
              <w:rPr>
                <w:rFonts w:ascii="Verdana" w:hAnsi="Verdana"/>
                <w:sz w:val="20"/>
                <w:lang w:val="fr-CH"/>
              </w:rPr>
            </w:pPr>
            <w:r>
              <w:rPr>
                <w:rFonts w:ascii="Verdana" w:hAnsi="Verdana"/>
                <w:b/>
                <w:sz w:val="20"/>
                <w:lang w:val="fr-CH"/>
              </w:rPr>
              <w:t>Document 209</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38E375E2" w14:textId="77777777" w:rsidTr="00BB1D82">
        <w:trPr>
          <w:cantSplit/>
        </w:trPr>
        <w:tc>
          <w:tcPr>
            <w:tcW w:w="6911" w:type="dxa"/>
          </w:tcPr>
          <w:p w14:paraId="2BF10563" w14:textId="77777777" w:rsidR="00690C7B" w:rsidRPr="00E60CB2" w:rsidRDefault="00690C7B" w:rsidP="00492B79">
            <w:pPr>
              <w:spacing w:before="0"/>
              <w:rPr>
                <w:rFonts w:ascii="Verdana" w:hAnsi="Verdana"/>
                <w:b/>
                <w:sz w:val="20"/>
                <w:lang w:val="fr-CH"/>
              </w:rPr>
            </w:pPr>
          </w:p>
        </w:tc>
        <w:tc>
          <w:tcPr>
            <w:tcW w:w="3120" w:type="dxa"/>
          </w:tcPr>
          <w:p w14:paraId="58686B26" w14:textId="77777777" w:rsidR="00690C7B" w:rsidRPr="00E60CB2" w:rsidRDefault="00690C7B" w:rsidP="00492B79">
            <w:pPr>
              <w:spacing w:before="0"/>
              <w:rPr>
                <w:rFonts w:ascii="Verdana" w:hAnsi="Verdana"/>
                <w:b/>
                <w:sz w:val="20"/>
                <w:lang w:val="fr-CH"/>
              </w:rPr>
            </w:pPr>
            <w:r w:rsidRPr="00E60CB2">
              <w:rPr>
                <w:rFonts w:ascii="Verdana" w:hAnsi="Verdana"/>
                <w:b/>
                <w:sz w:val="20"/>
                <w:lang w:val="fr-CH"/>
              </w:rPr>
              <w:t>6 novembre 2019</w:t>
            </w:r>
          </w:p>
        </w:tc>
      </w:tr>
      <w:tr w:rsidR="00690C7B" w:rsidRPr="00E60CB2" w14:paraId="2EA5373D" w14:textId="77777777" w:rsidTr="00BB1D82">
        <w:trPr>
          <w:cantSplit/>
        </w:trPr>
        <w:tc>
          <w:tcPr>
            <w:tcW w:w="6911" w:type="dxa"/>
          </w:tcPr>
          <w:p w14:paraId="092E3A38" w14:textId="77777777" w:rsidR="00690C7B" w:rsidRPr="00E60CB2" w:rsidRDefault="00690C7B" w:rsidP="00492B79">
            <w:pPr>
              <w:spacing w:before="0" w:after="48"/>
              <w:rPr>
                <w:rFonts w:ascii="Verdana" w:hAnsi="Verdana"/>
                <w:b/>
                <w:smallCaps/>
                <w:sz w:val="20"/>
                <w:lang w:val="fr-CH"/>
              </w:rPr>
            </w:pPr>
          </w:p>
        </w:tc>
        <w:tc>
          <w:tcPr>
            <w:tcW w:w="3120" w:type="dxa"/>
          </w:tcPr>
          <w:p w14:paraId="4D7C2506" w14:textId="77777777" w:rsidR="00690C7B" w:rsidRPr="00E60CB2" w:rsidRDefault="00690C7B" w:rsidP="00492B79">
            <w:pPr>
              <w:spacing w:before="0"/>
              <w:rPr>
                <w:rFonts w:ascii="Verdana" w:hAnsi="Verdana"/>
                <w:b/>
                <w:sz w:val="20"/>
                <w:lang w:val="fr-CH"/>
              </w:rPr>
            </w:pPr>
            <w:r w:rsidRPr="00E60CB2">
              <w:rPr>
                <w:rFonts w:ascii="Verdana" w:hAnsi="Verdana"/>
                <w:b/>
                <w:sz w:val="20"/>
                <w:lang w:val="fr-CH"/>
              </w:rPr>
              <w:t>Original: chinois</w:t>
            </w:r>
          </w:p>
        </w:tc>
      </w:tr>
      <w:tr w:rsidR="00690C7B" w:rsidRPr="00E60CB2" w14:paraId="57480FB9" w14:textId="77777777" w:rsidTr="00C11970">
        <w:trPr>
          <w:cantSplit/>
        </w:trPr>
        <w:tc>
          <w:tcPr>
            <w:tcW w:w="10031" w:type="dxa"/>
            <w:gridSpan w:val="2"/>
          </w:tcPr>
          <w:p w14:paraId="1344F3C2" w14:textId="77777777" w:rsidR="00690C7B" w:rsidRPr="00E60CB2" w:rsidRDefault="00690C7B" w:rsidP="00492B79">
            <w:pPr>
              <w:spacing w:before="0"/>
              <w:rPr>
                <w:rFonts w:ascii="Verdana" w:hAnsi="Verdana"/>
                <w:b/>
                <w:sz w:val="20"/>
                <w:lang w:val="fr-CH"/>
              </w:rPr>
            </w:pPr>
          </w:p>
        </w:tc>
      </w:tr>
      <w:tr w:rsidR="00690C7B" w:rsidRPr="00E60CB2" w14:paraId="6D302A67" w14:textId="77777777" w:rsidTr="0050008E">
        <w:trPr>
          <w:cantSplit/>
        </w:trPr>
        <w:tc>
          <w:tcPr>
            <w:tcW w:w="10031" w:type="dxa"/>
            <w:gridSpan w:val="2"/>
          </w:tcPr>
          <w:p w14:paraId="02901988" w14:textId="77777777" w:rsidR="00690C7B" w:rsidRPr="00E60CB2" w:rsidRDefault="00690C7B" w:rsidP="00492B79">
            <w:pPr>
              <w:pStyle w:val="Source"/>
              <w:rPr>
                <w:lang w:val="fr-CH"/>
              </w:rPr>
            </w:pPr>
            <w:bookmarkStart w:id="2" w:name="dsource" w:colFirst="0" w:colLast="0"/>
            <w:r w:rsidRPr="00E60CB2">
              <w:rPr>
                <w:lang w:val="fr-CH"/>
              </w:rPr>
              <w:t xml:space="preserve">Chine (République </w:t>
            </w:r>
            <w:bookmarkStart w:id="3" w:name="_GoBack"/>
            <w:bookmarkEnd w:id="3"/>
            <w:r w:rsidRPr="00E60CB2">
              <w:rPr>
                <w:lang w:val="fr-CH"/>
              </w:rPr>
              <w:t>populaire de)</w:t>
            </w:r>
          </w:p>
        </w:tc>
      </w:tr>
      <w:tr w:rsidR="00690C7B" w:rsidRPr="00E60CB2" w14:paraId="4D1C458E" w14:textId="77777777" w:rsidTr="0050008E">
        <w:trPr>
          <w:cantSplit/>
        </w:trPr>
        <w:tc>
          <w:tcPr>
            <w:tcW w:w="10031" w:type="dxa"/>
            <w:gridSpan w:val="2"/>
          </w:tcPr>
          <w:p w14:paraId="6BD7B3DE" w14:textId="77777777" w:rsidR="00690C7B" w:rsidRPr="00E60CB2" w:rsidRDefault="00690C7B" w:rsidP="00492B79">
            <w:pPr>
              <w:pStyle w:val="Title1"/>
              <w:rPr>
                <w:lang w:val="fr-CH"/>
              </w:rPr>
            </w:pPr>
            <w:bookmarkStart w:id="4" w:name="dtitle1" w:colFirst="0" w:colLast="0"/>
            <w:bookmarkEnd w:id="2"/>
            <w:r w:rsidRPr="00E60CB2">
              <w:rPr>
                <w:lang w:val="fr-CH"/>
              </w:rPr>
              <w:t>Propositions pour les travaux de la conférence</w:t>
            </w:r>
          </w:p>
        </w:tc>
      </w:tr>
      <w:tr w:rsidR="00690C7B" w:rsidRPr="00E60CB2" w14:paraId="6F9A2E17" w14:textId="77777777" w:rsidTr="0050008E">
        <w:trPr>
          <w:cantSplit/>
        </w:trPr>
        <w:tc>
          <w:tcPr>
            <w:tcW w:w="10031" w:type="dxa"/>
            <w:gridSpan w:val="2"/>
          </w:tcPr>
          <w:p w14:paraId="50A546CE" w14:textId="77777777" w:rsidR="00690C7B" w:rsidRPr="00E60CB2" w:rsidRDefault="00690C7B" w:rsidP="00492B79">
            <w:pPr>
              <w:pStyle w:val="Title2"/>
              <w:rPr>
                <w:lang w:val="fr-CH"/>
              </w:rPr>
            </w:pPr>
            <w:bookmarkStart w:id="5" w:name="dtitle2" w:colFirst="0" w:colLast="0"/>
            <w:bookmarkEnd w:id="4"/>
          </w:p>
        </w:tc>
      </w:tr>
      <w:tr w:rsidR="00690C7B" w:rsidRPr="00E60CB2" w14:paraId="25B896F5" w14:textId="77777777" w:rsidTr="0050008E">
        <w:trPr>
          <w:cantSplit/>
        </w:trPr>
        <w:tc>
          <w:tcPr>
            <w:tcW w:w="10031" w:type="dxa"/>
            <w:gridSpan w:val="2"/>
          </w:tcPr>
          <w:p w14:paraId="08E71FB8" w14:textId="77777777" w:rsidR="00690C7B" w:rsidRPr="00E60CB2" w:rsidRDefault="00690C7B" w:rsidP="00492B79">
            <w:pPr>
              <w:pStyle w:val="Agendaitem"/>
            </w:pPr>
            <w:bookmarkStart w:id="6" w:name="dtitle3" w:colFirst="0" w:colLast="0"/>
            <w:bookmarkEnd w:id="5"/>
            <w:r w:rsidRPr="00E60CB2">
              <w:t>Point 9.2 de l'ordre du jour</w:t>
            </w:r>
          </w:p>
        </w:tc>
      </w:tr>
    </w:tbl>
    <w:bookmarkEnd w:id="6"/>
    <w:p w14:paraId="358408ED" w14:textId="77777777" w:rsidR="001C0E40" w:rsidRPr="00404314" w:rsidRDefault="005B3E51" w:rsidP="00492B79">
      <w:r w:rsidRPr="009B46DD">
        <w:t>9</w:t>
      </w:r>
      <w:r w:rsidRPr="009B46DD">
        <w:tab/>
        <w:t>examiner et approuver le rapport du Directeur du Bureau des radiocommunications, conformément à l'article 7 de la Convention:</w:t>
      </w:r>
    </w:p>
    <w:p w14:paraId="2557305C" w14:textId="77777777" w:rsidR="001C0E40" w:rsidRPr="00404314" w:rsidRDefault="005B3E51" w:rsidP="00492B79">
      <w:r w:rsidRPr="009B46DD">
        <w:t>9.2</w:t>
      </w:r>
      <w:r w:rsidRPr="009B46DD">
        <w:tab/>
        <w:t>sur les difficultés rencontrées ou les incohérences constatées dans l'application du Règlement des radiocommunications</w:t>
      </w:r>
      <w:r w:rsidRPr="009B46DD">
        <w:rPr>
          <w:rStyle w:val="FootnoteReference"/>
        </w:rPr>
        <w:footnoteReference w:customMarkFollows="1" w:id="1"/>
        <w:t>*</w:t>
      </w:r>
      <w:r w:rsidRPr="009B46DD">
        <w:t>; et</w:t>
      </w:r>
    </w:p>
    <w:p w14:paraId="124D2629" w14:textId="77777777" w:rsidR="00902F1E" w:rsidRPr="002750B7" w:rsidRDefault="00902F1E" w:rsidP="00492B79">
      <w:pPr>
        <w:rPr>
          <w:b/>
          <w:bCs/>
          <w:lang w:val="fr-CH"/>
        </w:rPr>
      </w:pPr>
      <w:r w:rsidRPr="002750B7">
        <w:rPr>
          <w:b/>
          <w:bCs/>
          <w:lang w:val="fr-CH"/>
        </w:rPr>
        <w:t>Introduction</w:t>
      </w:r>
    </w:p>
    <w:p w14:paraId="34BDB7E8" w14:textId="562B4337" w:rsidR="00902F1E" w:rsidRPr="007949C7" w:rsidRDefault="00902F1E" w:rsidP="00492B79">
      <w:r w:rsidRPr="00902F1E">
        <w:t>Lors de l</w:t>
      </w:r>
      <w:r w:rsidR="00D46774">
        <w:t>'</w:t>
      </w:r>
      <w:r w:rsidRPr="00902F1E">
        <w:t>examen de la version chinoise du Règlement des radiocommunications</w:t>
      </w:r>
      <w:r>
        <w:t xml:space="preserve">, </w:t>
      </w:r>
      <w:r w:rsidRPr="00902F1E">
        <w:t>il a été porté à l'attention de</w:t>
      </w:r>
      <w:r>
        <w:t xml:space="preserve"> </w:t>
      </w:r>
      <w:r w:rsidR="00492B79">
        <w:t>l'A</w:t>
      </w:r>
      <w:r>
        <w:t xml:space="preserve">dministration </w:t>
      </w:r>
      <w:r w:rsidR="00492B79">
        <w:t xml:space="preserve">de la Chine </w:t>
      </w:r>
      <w:r>
        <w:t>qu</w:t>
      </w:r>
      <w:r w:rsidR="00D46774">
        <w:t>'</w:t>
      </w:r>
      <w:r>
        <w:t xml:space="preserve">il existe des </w:t>
      </w:r>
      <w:r w:rsidRPr="00902F1E">
        <w:t>divergences</w:t>
      </w:r>
      <w:r>
        <w:t xml:space="preserve"> </w:t>
      </w:r>
      <w:r w:rsidR="00492B79">
        <w:t xml:space="preserve">ou des incohérences </w:t>
      </w:r>
      <w:r>
        <w:t xml:space="preserve">entre certains textes </w:t>
      </w:r>
      <w:r w:rsidRPr="00902F1E">
        <w:t>du Règlement des radiocommunications</w:t>
      </w:r>
      <w:r>
        <w:t xml:space="preserve"> </w:t>
      </w:r>
      <w:r w:rsidRPr="00902F1E">
        <w:t>en chinois</w:t>
      </w:r>
      <w:r>
        <w:t xml:space="preserve"> et ceux </w:t>
      </w:r>
      <w:r w:rsidRPr="00902F1E">
        <w:t>dans les autres langues officielles de l'Union</w:t>
      </w:r>
      <w:r>
        <w:t xml:space="preserve">. </w:t>
      </w:r>
      <w:r w:rsidRPr="00902F1E">
        <w:t xml:space="preserve">Par conséquent, </w:t>
      </w:r>
      <w:r w:rsidR="00492B79">
        <w:t xml:space="preserve">il est proposé, dans </w:t>
      </w:r>
      <w:r w:rsidRPr="00902F1E">
        <w:t>la présente contribution</w:t>
      </w:r>
      <w:r w:rsidR="00492B79">
        <w:t>,</w:t>
      </w:r>
      <w:r w:rsidR="007949C7">
        <w:t xml:space="preserve"> d</w:t>
      </w:r>
      <w:r w:rsidR="00D46774">
        <w:t>'</w:t>
      </w:r>
      <w:r w:rsidR="007949C7">
        <w:t>apporter</w:t>
      </w:r>
      <w:r>
        <w:t xml:space="preserve"> </w:t>
      </w:r>
      <w:r w:rsidRPr="00902F1E">
        <w:t>certaines modifications d'ordre rédactionnel</w:t>
      </w:r>
      <w:r>
        <w:t xml:space="preserve"> aux textes de la version chinoise du </w:t>
      </w:r>
      <w:r w:rsidRPr="00902F1E">
        <w:t>Règlement des radiocommunications (édition de 2016)</w:t>
      </w:r>
      <w:r w:rsidR="007949C7">
        <w:t xml:space="preserve">, qui sont soumises à la Conférence pour examen au titre du point </w:t>
      </w:r>
      <w:r w:rsidR="007949C7" w:rsidRPr="007949C7">
        <w:t>9.2</w:t>
      </w:r>
      <w:r w:rsidR="007949C7">
        <w:t xml:space="preserve"> de l</w:t>
      </w:r>
      <w:r w:rsidR="00D46774">
        <w:t>'</w:t>
      </w:r>
      <w:r w:rsidR="007949C7">
        <w:t>ordre du jour</w:t>
      </w:r>
      <w:r w:rsidRPr="007949C7">
        <w:t xml:space="preserve">. </w:t>
      </w:r>
    </w:p>
    <w:p w14:paraId="6D44FDEB" w14:textId="2A26CF05" w:rsidR="00902F1E" w:rsidRPr="007205D3" w:rsidRDefault="007949C7" w:rsidP="00492B79">
      <w:r w:rsidRPr="007949C7">
        <w:t>Les propositions suivantes donnent des</w:t>
      </w:r>
      <w:r>
        <w:t xml:space="preserve"> précisions sur les </w:t>
      </w:r>
      <w:r w:rsidRPr="007949C7">
        <w:t>modifications d'ordre rédactionnel</w:t>
      </w:r>
      <w:r>
        <w:t xml:space="preserve"> proposées, qui ne concerne</w:t>
      </w:r>
      <w:r w:rsidR="007205D3">
        <w:t>nt</w:t>
      </w:r>
      <w:r>
        <w:t xml:space="preserve"> que la version chinoise du </w:t>
      </w:r>
      <w:r w:rsidRPr="00902F1E">
        <w:t>Règlement des radiocommunications</w:t>
      </w:r>
      <w:r>
        <w:t xml:space="preserve">. </w:t>
      </w:r>
      <w:r w:rsidRPr="007205D3">
        <w:t>Aucune modification n</w:t>
      </w:r>
      <w:r w:rsidR="00D46774">
        <w:t>'</w:t>
      </w:r>
      <w:r w:rsidRPr="007205D3">
        <w:t>est nécessaire pour les autres versions linguistiques</w:t>
      </w:r>
      <w:r w:rsidR="00902F1E" w:rsidRPr="007205D3">
        <w:t xml:space="preserve">. </w:t>
      </w:r>
    </w:p>
    <w:p w14:paraId="64D585CC" w14:textId="77777777" w:rsidR="0015203F" w:rsidRPr="00492B79" w:rsidRDefault="0015203F" w:rsidP="00492B79">
      <w:pPr>
        <w:tabs>
          <w:tab w:val="clear" w:pos="1134"/>
          <w:tab w:val="clear" w:pos="1871"/>
          <w:tab w:val="clear" w:pos="2268"/>
        </w:tabs>
        <w:overflowPunct/>
        <w:autoSpaceDE/>
        <w:autoSpaceDN/>
        <w:adjustRightInd/>
        <w:spacing w:before="0"/>
        <w:textAlignment w:val="auto"/>
        <w:rPr>
          <w:lang w:val="fr-CH"/>
        </w:rPr>
      </w:pPr>
      <w:r w:rsidRPr="00492B79">
        <w:rPr>
          <w:lang w:val="fr-CH"/>
        </w:rPr>
        <w:br w:type="page"/>
      </w:r>
    </w:p>
    <w:p w14:paraId="0491779D" w14:textId="77777777" w:rsidR="00F05C1A" w:rsidRPr="00492B79" w:rsidRDefault="00F05C1A" w:rsidP="00F05C1A">
      <w:pPr>
        <w:rPr>
          <w:b/>
          <w:bCs/>
          <w:lang w:val="fr-CH"/>
        </w:rPr>
      </w:pPr>
      <w:bookmarkStart w:id="7" w:name="_Toc455752914"/>
      <w:bookmarkStart w:id="8" w:name="_Toc455756153"/>
      <w:r w:rsidRPr="00492B79">
        <w:rPr>
          <w:b/>
          <w:bCs/>
          <w:lang w:val="fr-CH"/>
        </w:rPr>
        <w:lastRenderedPageBreak/>
        <w:t>Propositions</w:t>
      </w:r>
    </w:p>
    <w:p w14:paraId="6E7ADEE3" w14:textId="3C724DDA" w:rsidR="007F3F42" w:rsidRPr="00492B79" w:rsidRDefault="005B3E51" w:rsidP="00492B79">
      <w:pPr>
        <w:pStyle w:val="ArtNo"/>
        <w:spacing w:before="0"/>
        <w:rPr>
          <w:lang w:val="fr-CH"/>
        </w:rPr>
      </w:pPr>
      <w:r w:rsidRPr="00492B79">
        <w:rPr>
          <w:lang w:val="fr-CH"/>
        </w:rPr>
        <w:t xml:space="preserve">ARTICLE </w:t>
      </w:r>
      <w:r w:rsidRPr="00492B79">
        <w:rPr>
          <w:rStyle w:val="href"/>
          <w:color w:val="000000"/>
          <w:lang w:val="fr-CH"/>
        </w:rPr>
        <w:t>5</w:t>
      </w:r>
      <w:bookmarkEnd w:id="7"/>
      <w:bookmarkEnd w:id="8"/>
    </w:p>
    <w:p w14:paraId="7AC5AD5C" w14:textId="77777777" w:rsidR="007F3F42" w:rsidRDefault="005B3E51" w:rsidP="00492B79">
      <w:pPr>
        <w:pStyle w:val="Arttitle"/>
        <w:rPr>
          <w:lang w:val="fr-CH"/>
        </w:rPr>
      </w:pPr>
      <w:bookmarkStart w:id="9" w:name="_Toc455752915"/>
      <w:bookmarkStart w:id="10" w:name="_Toc455756154"/>
      <w:r>
        <w:rPr>
          <w:lang w:val="fr-CH"/>
        </w:rPr>
        <w:t>Attribution des bandes de fréquences</w:t>
      </w:r>
      <w:bookmarkEnd w:id="9"/>
      <w:bookmarkEnd w:id="10"/>
    </w:p>
    <w:p w14:paraId="0C98AF37" w14:textId="77777777" w:rsidR="00D73104" w:rsidRDefault="005B3E51" w:rsidP="00492B79">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58869025" w14:textId="77777777" w:rsidR="00FB3F8E" w:rsidRDefault="005B3E51" w:rsidP="00492B79">
      <w:pPr>
        <w:pStyle w:val="Proposal"/>
      </w:pPr>
      <w:r>
        <w:t>(MOD)</w:t>
      </w:r>
      <w:r>
        <w:tab/>
        <w:t>CHN/209/1</w:t>
      </w:r>
    </w:p>
    <w:p w14:paraId="3D54BA00" w14:textId="77777777" w:rsidR="007F3F42" w:rsidRDefault="005B3E51" w:rsidP="00492B79">
      <w:pPr>
        <w:pStyle w:val="Note"/>
        <w:rPr>
          <w:sz w:val="16"/>
          <w:lang w:val="fr-CH"/>
        </w:rPr>
      </w:pPr>
      <w:r w:rsidRPr="000866E1">
        <w:rPr>
          <w:rStyle w:val="Artdef"/>
        </w:rPr>
        <w:t>5.323</w:t>
      </w:r>
      <w:r w:rsidRPr="0061407F">
        <w:tab/>
      </w:r>
      <w:r>
        <w:rPr>
          <w:i/>
          <w:lang w:val="fr-CH"/>
        </w:rPr>
        <w:t>Attribution additionnelle</w:t>
      </w:r>
      <w:r w:rsidRPr="006D49AF">
        <w:rPr>
          <w:i/>
          <w:lang w:val="fr-CH"/>
        </w:rPr>
        <w:t>:</w:t>
      </w:r>
      <w:r>
        <w:rPr>
          <w:iCs/>
          <w:lang w:val="fr-CH"/>
        </w:rPr>
        <w:t xml:space="preserve"> </w:t>
      </w:r>
      <w:r>
        <w:rPr>
          <w:lang w:val="fr-CH"/>
        </w:rPr>
        <w:t xml:space="preserve">dans les pays suivants: Arménie, Azerbaïdjan, Bélarus, Fédération de Russie, Kazakhstan, Ouzbékistan, Kirghizistan, Tadjikistan, Turkménistan et Ukraine, la bande 862-960 MHz, et en Bulgarie, les bandes </w:t>
      </w:r>
      <w:r>
        <w:t>862-890,</w:t>
      </w:r>
      <w:r w:rsidRPr="00E16C90">
        <w:t>2 </w:t>
      </w:r>
      <w:r w:rsidRPr="00195441">
        <w:rPr>
          <w:lang w:val="fr-CH"/>
        </w:rPr>
        <w:t>MHz</w:t>
      </w:r>
      <w:r w:rsidRPr="00E16C90">
        <w:t xml:space="preserve"> </w:t>
      </w:r>
      <w:r>
        <w:t xml:space="preserve">et </w:t>
      </w:r>
      <w:r>
        <w:rPr>
          <w:lang w:val="fr-CH"/>
        </w:rPr>
        <w:t>900-935,</w:t>
      </w:r>
      <w:r w:rsidRPr="00195441">
        <w:rPr>
          <w:lang w:val="fr-CH"/>
        </w:rPr>
        <w:t>2</w:t>
      </w:r>
      <w:r w:rsidRPr="00E16C90">
        <w:t> </w:t>
      </w:r>
      <w:r w:rsidRPr="00195441">
        <w:rPr>
          <w:lang w:val="fr-CH"/>
        </w:rPr>
        <w:t>MHz</w:t>
      </w:r>
      <w:r w:rsidRPr="00E16C90">
        <w:t xml:space="preserve">, </w:t>
      </w:r>
      <w:r>
        <w:t>e</w:t>
      </w:r>
      <w:r w:rsidRPr="00E16C90">
        <w:t>n Pol</w:t>
      </w:r>
      <w:r>
        <w:t>ogne</w:t>
      </w:r>
      <w:r w:rsidRPr="00E16C90">
        <w:t xml:space="preserve">, </w:t>
      </w:r>
      <w:r>
        <w:t xml:space="preserve">la </w:t>
      </w:r>
      <w:r w:rsidRPr="00E16C90">
        <w:t>band</w:t>
      </w:r>
      <w:r>
        <w:t>e</w:t>
      </w:r>
      <w:r w:rsidRPr="00E16C90">
        <w:t xml:space="preserve"> 862-876</w:t>
      </w:r>
      <w:r>
        <w:t> </w:t>
      </w:r>
      <w:r w:rsidRPr="00E16C90">
        <w:t>MHz</w:t>
      </w:r>
      <w:r>
        <w:t xml:space="preserve"> jusqu'au </w:t>
      </w:r>
      <w:r w:rsidRPr="00E16C90">
        <w:t>31</w:t>
      </w:r>
      <w:r>
        <w:t> décembre </w:t>
      </w:r>
      <w:r w:rsidRPr="00E16C90">
        <w:t>2017,</w:t>
      </w:r>
      <w:r>
        <w:t xml:space="preserve"> et en Roumanie, les bandes </w:t>
      </w:r>
      <w:r w:rsidRPr="00E16C90">
        <w:t xml:space="preserve">862-880 MHz </w:t>
      </w:r>
      <w:r>
        <w:t>et</w:t>
      </w:r>
      <w:r w:rsidRPr="00E16C90">
        <w:t xml:space="preserve"> 915-925 MHz,</w:t>
      </w:r>
      <w:r>
        <w:rPr>
          <w:lang w:val="fr-CH"/>
        </w:rPr>
        <w:t xml:space="preserve"> sont, de plus, attribuées au service de radionavigation aéronautique à titre primaire. Cette utilisation est subordonnée à l'obtention de l'accord des administrations concernées en vertu du numéro </w:t>
      </w:r>
      <w:r w:rsidRPr="00B711E0">
        <w:rPr>
          <w:b/>
          <w:bCs/>
        </w:rPr>
        <w:t>9.21</w:t>
      </w:r>
      <w:r>
        <w:rPr>
          <w:lang w:val="fr-CH"/>
        </w:rPr>
        <w:t xml:space="preserve"> et limitée aux radiobalises au sol en service le 27 octobre 1997 jusqu'à la fin de leur vie utile.</w:t>
      </w:r>
      <w:r>
        <w:rPr>
          <w:sz w:val="16"/>
          <w:lang w:val="fr-CH"/>
        </w:rPr>
        <w:t>     (CMR</w:t>
      </w:r>
      <w:r>
        <w:rPr>
          <w:sz w:val="16"/>
          <w:lang w:val="fr-CH"/>
        </w:rPr>
        <w:noBreakHyphen/>
        <w:t>12)</w:t>
      </w:r>
    </w:p>
    <w:p w14:paraId="767074AD" w14:textId="5245A752" w:rsidR="00FB3F8E" w:rsidRDefault="005B3E51" w:rsidP="00492B79">
      <w:pPr>
        <w:pStyle w:val="Reasons"/>
      </w:pPr>
      <w:r>
        <w:rPr>
          <w:b/>
        </w:rPr>
        <w:t>Motifs:</w:t>
      </w:r>
      <w:r>
        <w:tab/>
      </w:r>
      <w:r w:rsidR="007949C7" w:rsidRPr="007949C7">
        <w:t>Chinois uniquement</w:t>
      </w:r>
      <w:r w:rsidR="007949C7">
        <w:t>.</w:t>
      </w:r>
    </w:p>
    <w:p w14:paraId="53391984" w14:textId="77777777" w:rsidR="00FB3F8E" w:rsidRDefault="005B3E51" w:rsidP="00492B79">
      <w:pPr>
        <w:pStyle w:val="Proposal"/>
      </w:pPr>
      <w:r>
        <w:t>(MOD)</w:t>
      </w:r>
      <w:r>
        <w:tab/>
        <w:t>CHN/209/2</w:t>
      </w:r>
    </w:p>
    <w:p w14:paraId="5094C2C8" w14:textId="77777777" w:rsidR="007F3F42" w:rsidRPr="00BA5CEB" w:rsidRDefault="005B3E51" w:rsidP="00492B79">
      <w:pPr>
        <w:pStyle w:val="Note"/>
        <w:rPr>
          <w:sz w:val="16"/>
          <w:szCs w:val="16"/>
        </w:rPr>
      </w:pPr>
      <w:r w:rsidRPr="004A19B0">
        <w:rPr>
          <w:rStyle w:val="Artdef"/>
        </w:rPr>
        <w:t>5.484A</w:t>
      </w:r>
      <w:r>
        <w:t xml:space="preserve"> </w:t>
      </w:r>
      <w:r>
        <w:tab/>
        <w:t>L'utilisation des bandes 10,95</w:t>
      </w:r>
      <w:r>
        <w:rPr>
          <w:b/>
          <w:bCs/>
        </w:rPr>
        <w:t>-</w:t>
      </w:r>
      <w:r>
        <w:t>11,2 GHz (espace vers Terre), 11,45-11,7 GHz (espace vers Terre), 11,7</w:t>
      </w:r>
      <w:r>
        <w:rPr>
          <w:b/>
          <w:bCs/>
        </w:rPr>
        <w:noBreakHyphen/>
      </w:r>
      <w:r>
        <w:t>12,2 GHz (espace vers Terre) en Région 2, 12,2</w:t>
      </w:r>
      <w:r>
        <w:rPr>
          <w:b/>
          <w:bCs/>
        </w:rPr>
        <w:noBreakHyphen/>
      </w:r>
      <w:r>
        <w:t>12,75 GHz (espace vers Terre) en Région 3, 12,5</w:t>
      </w:r>
      <w:r>
        <w:rPr>
          <w:b/>
          <w:bCs/>
        </w:rPr>
        <w:t>-</w:t>
      </w:r>
      <w:r>
        <w:t>12,75 GHz (espace vers Terre) en Région 1, 13,75</w:t>
      </w:r>
      <w:r>
        <w:rPr>
          <w:b/>
          <w:bCs/>
        </w:rPr>
        <w:noBreakHyphen/>
      </w:r>
      <w:r>
        <w:t>14,5 GHz (Terre vers espace), 17,8</w:t>
      </w:r>
      <w:r>
        <w:rPr>
          <w:b/>
          <w:bCs/>
        </w:rPr>
        <w:noBreakHyphen/>
      </w:r>
      <w:r>
        <w:t>18,6 GHz (espace vers Terre), 19,7</w:t>
      </w:r>
      <w:r>
        <w:rPr>
          <w:b/>
          <w:bCs/>
        </w:rPr>
        <w:noBreakHyphen/>
      </w:r>
      <w:r>
        <w:t>20,2 GHz (espace vers Terre), 27,5</w:t>
      </w:r>
      <w:r>
        <w:rPr>
          <w:b/>
          <w:bCs/>
        </w:rPr>
        <w:noBreakHyphen/>
      </w:r>
      <w:r>
        <w:t>28,6 GHz (Terre vers espace), 29,5</w:t>
      </w:r>
      <w:r>
        <w:rPr>
          <w:b/>
          <w:bCs/>
        </w:rPr>
        <w:noBreakHyphen/>
      </w:r>
      <w:r>
        <w:t xml:space="preserve">30 GHz (Terre vers espace) par un système à satellites non géostationnaires du service fixe par satellite est assujettie à l'application des dispositions du numéro </w:t>
      </w:r>
      <w:r w:rsidRPr="008C4C53">
        <w:rPr>
          <w:b/>
          <w:bCs/>
        </w:rPr>
        <w:t>9.12</w:t>
      </w:r>
      <w:r>
        <w:t xml:space="preserve"> pour la coordination avec d'autres systèmes à satellites non géostationnaires du service fixe par satellite. Les systèmes à satellites non géostationnaires du service fixe par satellite ne doivent pas demander à être protégés vis-à-vis des réseaux à satellite géostationnaire du service fixe par satellite fonctionnant conformément au Règlement des radiocommunications, quelles que soient les dates de réception, par le Bureau, des renseignements complets de coordination ou de notification, selon le cas, pour les systèmes à satellites non géostationnaires du service fixe par satellite et des renseignements complets de coordination ou de notification, selon le cas, pour les réseaux à satellite géostationnaire. Les dispositions du numéro </w:t>
      </w:r>
      <w:r w:rsidRPr="008C4C53">
        <w:rPr>
          <w:b/>
          <w:bCs/>
        </w:rPr>
        <w:t>5.43A</w:t>
      </w:r>
      <w:r>
        <w:t xml:space="preserve"> ne sont pas applicables.</w:t>
      </w:r>
      <w:r>
        <w:rPr>
          <w:bCs/>
        </w:rPr>
        <w:t xml:space="preserve"> Les systèmes à satellites non géostationnaires du service fixe par satellite dans les bandes ci-dessus doivent être exploités de manière telle que tout brouillage inacceptable susceptible de se produire pendant leur fonctionnement soit éliminé rapidement.</w:t>
      </w:r>
      <w:r w:rsidRPr="00BA5CEB">
        <w:rPr>
          <w:sz w:val="16"/>
          <w:szCs w:val="16"/>
        </w:rPr>
        <w:t>     (CMR</w:t>
      </w:r>
      <w:r w:rsidRPr="00BA5CEB">
        <w:rPr>
          <w:sz w:val="16"/>
          <w:szCs w:val="16"/>
        </w:rPr>
        <w:noBreakHyphen/>
        <w:t>2000)</w:t>
      </w:r>
    </w:p>
    <w:p w14:paraId="760146B9" w14:textId="559F106A" w:rsidR="00FB3F8E" w:rsidRDefault="005B3E51" w:rsidP="00492B79">
      <w:pPr>
        <w:pStyle w:val="Reasons"/>
      </w:pPr>
      <w:r>
        <w:rPr>
          <w:b/>
        </w:rPr>
        <w:t>Motifs:</w:t>
      </w:r>
      <w:r>
        <w:tab/>
      </w:r>
      <w:r w:rsidR="007949C7" w:rsidRPr="007949C7">
        <w:t>Chinois uniquement</w:t>
      </w:r>
      <w:r w:rsidR="007949C7">
        <w:t>.</w:t>
      </w:r>
    </w:p>
    <w:p w14:paraId="2A031FC5" w14:textId="77777777" w:rsidR="00FB3F8E" w:rsidRDefault="005B3E51" w:rsidP="00492B79">
      <w:pPr>
        <w:pStyle w:val="Proposal"/>
      </w:pPr>
      <w:r>
        <w:lastRenderedPageBreak/>
        <w:t>(MOD)</w:t>
      </w:r>
      <w:r>
        <w:tab/>
        <w:t>CHN/209/3</w:t>
      </w:r>
    </w:p>
    <w:p w14:paraId="54E68615" w14:textId="77777777" w:rsidR="00EB19FF" w:rsidRDefault="005B3E51" w:rsidP="00492B79">
      <w:pPr>
        <w:pStyle w:val="Tabletitle"/>
        <w:spacing w:before="120"/>
        <w:rPr>
          <w:color w:val="000000"/>
        </w:rPr>
      </w:pPr>
      <w:r w:rsidRPr="00381B50">
        <w:rPr>
          <w:color w:val="000000"/>
          <w:lang w:val="fr-CH"/>
        </w:rPr>
        <w:t>66-81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F3F42" w14:paraId="24707DDD" w14:textId="77777777" w:rsidTr="00381B5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AB2B257" w14:textId="77777777" w:rsidR="007F3F42" w:rsidRDefault="005B3E51" w:rsidP="00492B79">
            <w:pPr>
              <w:pStyle w:val="Tablehead"/>
              <w:spacing w:before="60" w:after="60"/>
              <w:rPr>
                <w:color w:val="000000"/>
              </w:rPr>
            </w:pPr>
            <w:r>
              <w:rPr>
                <w:color w:val="000000"/>
              </w:rPr>
              <w:t>Attribution aux services</w:t>
            </w:r>
          </w:p>
        </w:tc>
      </w:tr>
      <w:tr w:rsidR="007F3F42" w14:paraId="5DB1AA04" w14:textId="77777777" w:rsidTr="00381B50">
        <w:trPr>
          <w:cantSplit/>
          <w:jc w:val="center"/>
        </w:trPr>
        <w:tc>
          <w:tcPr>
            <w:tcW w:w="3101" w:type="dxa"/>
            <w:tcBorders>
              <w:top w:val="single" w:sz="6" w:space="0" w:color="auto"/>
              <w:left w:val="single" w:sz="6" w:space="0" w:color="auto"/>
              <w:bottom w:val="single" w:sz="6" w:space="0" w:color="auto"/>
              <w:right w:val="single" w:sz="6" w:space="0" w:color="auto"/>
            </w:tcBorders>
          </w:tcPr>
          <w:p w14:paraId="0A993AFD" w14:textId="77777777" w:rsidR="007F3F42" w:rsidRDefault="005B3E51" w:rsidP="00492B79">
            <w:pPr>
              <w:pStyle w:val="Tablehead"/>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3378BC20" w14:textId="77777777" w:rsidR="007F3F42" w:rsidRDefault="005B3E51" w:rsidP="00492B79">
            <w:pPr>
              <w:pStyle w:val="Tablehead"/>
              <w:spacing w:before="60" w:after="60"/>
              <w:rPr>
                <w:color w:val="000000"/>
              </w:rPr>
            </w:pPr>
            <w:r>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39D5E4A7" w14:textId="77777777" w:rsidR="007F3F42" w:rsidRDefault="005B3E51" w:rsidP="00492B79">
            <w:pPr>
              <w:pStyle w:val="Tablehead"/>
              <w:spacing w:before="60" w:after="60"/>
              <w:rPr>
                <w:color w:val="000000"/>
              </w:rPr>
            </w:pPr>
            <w:r>
              <w:rPr>
                <w:color w:val="000000"/>
              </w:rPr>
              <w:t>Région 3</w:t>
            </w:r>
          </w:p>
        </w:tc>
      </w:tr>
      <w:tr w:rsidR="007F3F42" w14:paraId="05DF76FE" w14:textId="77777777" w:rsidTr="00381B50">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03D44302" w14:textId="77777777" w:rsidR="007F3F42" w:rsidRDefault="005B3E51" w:rsidP="00492B79">
            <w:pPr>
              <w:pStyle w:val="TableTextS5"/>
              <w:spacing w:after="20"/>
              <w:rPr>
                <w:color w:val="000000"/>
              </w:rPr>
            </w:pPr>
            <w:r w:rsidRPr="0046453D">
              <w:rPr>
                <w:rStyle w:val="Tablefreq"/>
              </w:rPr>
              <w:t>66-71</w:t>
            </w:r>
            <w:r>
              <w:rPr>
                <w:color w:val="000000"/>
              </w:rPr>
              <w:tab/>
            </w:r>
            <w:r>
              <w:rPr>
                <w:color w:val="000000"/>
              </w:rPr>
              <w:tab/>
            </w:r>
            <w:r>
              <w:rPr>
                <w:color w:val="000000"/>
              </w:rPr>
              <w:tab/>
              <w:t>INTER-SATELLITES</w:t>
            </w:r>
          </w:p>
          <w:p w14:paraId="011B5841" w14:textId="77777777" w:rsidR="007F3F42" w:rsidRDefault="005B3E51" w:rsidP="00492B79">
            <w:pPr>
              <w:pStyle w:val="TableTextS5"/>
              <w:spacing w:before="0" w:after="20"/>
              <w:rPr>
                <w:color w:val="000000"/>
              </w:rPr>
            </w:pPr>
            <w:r>
              <w:rPr>
                <w:color w:val="000000"/>
              </w:rPr>
              <w:tab/>
            </w:r>
            <w:r>
              <w:rPr>
                <w:color w:val="000000"/>
              </w:rPr>
              <w:tab/>
            </w:r>
            <w:r>
              <w:rPr>
                <w:color w:val="000000"/>
              </w:rPr>
              <w:tab/>
            </w:r>
            <w:r>
              <w:rPr>
                <w:color w:val="000000"/>
              </w:rPr>
              <w:tab/>
              <w:t xml:space="preserve">MOBILE  </w:t>
            </w:r>
            <w:r>
              <w:rPr>
                <w:rStyle w:val="Artref"/>
                <w:color w:val="000000"/>
              </w:rPr>
              <w:t>5.553</w:t>
            </w:r>
            <w:r>
              <w:rPr>
                <w:color w:val="000000"/>
              </w:rPr>
              <w:t xml:space="preserve">  </w:t>
            </w:r>
            <w:r>
              <w:rPr>
                <w:rStyle w:val="Artref"/>
                <w:color w:val="000000"/>
              </w:rPr>
              <w:t>5.558</w:t>
            </w:r>
          </w:p>
          <w:p w14:paraId="111575C1" w14:textId="77777777" w:rsidR="007F3F42" w:rsidRDefault="005B3E51" w:rsidP="00492B79">
            <w:pPr>
              <w:pStyle w:val="TableTextS5"/>
              <w:spacing w:before="0" w:after="20"/>
              <w:rPr>
                <w:color w:val="000000"/>
              </w:rPr>
            </w:pPr>
            <w:r>
              <w:rPr>
                <w:color w:val="000000"/>
              </w:rPr>
              <w:tab/>
            </w:r>
            <w:r>
              <w:rPr>
                <w:color w:val="000000"/>
              </w:rPr>
              <w:tab/>
            </w:r>
            <w:r>
              <w:rPr>
                <w:color w:val="000000"/>
              </w:rPr>
              <w:tab/>
            </w:r>
            <w:r>
              <w:rPr>
                <w:color w:val="000000"/>
              </w:rPr>
              <w:tab/>
              <w:t>MOBILE PAR SATELLITE</w:t>
            </w:r>
          </w:p>
          <w:p w14:paraId="7F53332B" w14:textId="77777777" w:rsidR="007F3F42" w:rsidRDefault="005B3E51" w:rsidP="00492B79">
            <w:pPr>
              <w:pStyle w:val="TableTextS5"/>
              <w:spacing w:before="0" w:after="20"/>
              <w:rPr>
                <w:color w:val="000000"/>
              </w:rPr>
            </w:pPr>
            <w:r>
              <w:rPr>
                <w:color w:val="000000"/>
              </w:rPr>
              <w:tab/>
            </w:r>
            <w:r>
              <w:rPr>
                <w:color w:val="000000"/>
              </w:rPr>
              <w:tab/>
            </w:r>
            <w:r>
              <w:rPr>
                <w:color w:val="000000"/>
              </w:rPr>
              <w:tab/>
            </w:r>
            <w:r>
              <w:rPr>
                <w:color w:val="000000"/>
              </w:rPr>
              <w:tab/>
              <w:t>RADIONAVIGATION</w:t>
            </w:r>
          </w:p>
          <w:p w14:paraId="35DEFDF5" w14:textId="77777777" w:rsidR="007F3F42" w:rsidRDefault="005B3E51" w:rsidP="00492B79">
            <w:pPr>
              <w:pStyle w:val="TableTextS5"/>
              <w:spacing w:before="0" w:after="20"/>
              <w:rPr>
                <w:color w:val="000000"/>
              </w:rPr>
            </w:pPr>
            <w:r>
              <w:rPr>
                <w:color w:val="000000"/>
              </w:rPr>
              <w:tab/>
            </w:r>
            <w:r>
              <w:rPr>
                <w:color w:val="000000"/>
              </w:rPr>
              <w:tab/>
            </w:r>
            <w:r>
              <w:rPr>
                <w:color w:val="000000"/>
              </w:rPr>
              <w:tab/>
            </w:r>
            <w:r>
              <w:rPr>
                <w:color w:val="000000"/>
              </w:rPr>
              <w:tab/>
              <w:t>RADIONAVIGATION PAR SATELLITE</w:t>
            </w:r>
          </w:p>
          <w:p w14:paraId="46C16F81" w14:textId="77777777" w:rsidR="007F3F42" w:rsidRDefault="005B3E51" w:rsidP="00492B79">
            <w:pPr>
              <w:pStyle w:val="TableTextS5"/>
              <w:spacing w:before="0"/>
              <w:rPr>
                <w:color w:val="000000"/>
              </w:rPr>
            </w:pPr>
            <w:r>
              <w:rPr>
                <w:color w:val="000000"/>
              </w:rPr>
              <w:tab/>
            </w:r>
            <w:r>
              <w:rPr>
                <w:color w:val="000000"/>
              </w:rPr>
              <w:tab/>
            </w:r>
            <w:r>
              <w:rPr>
                <w:color w:val="000000"/>
              </w:rPr>
              <w:tab/>
            </w:r>
            <w:r>
              <w:rPr>
                <w:color w:val="000000"/>
              </w:rPr>
              <w:tab/>
            </w:r>
            <w:r>
              <w:rPr>
                <w:rStyle w:val="Artref"/>
                <w:color w:val="000000"/>
              </w:rPr>
              <w:t>5.554</w:t>
            </w:r>
          </w:p>
        </w:tc>
      </w:tr>
      <w:tr w:rsidR="007F3F42" w14:paraId="5BBFD906" w14:textId="77777777" w:rsidTr="00381B50">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8E49A8E" w14:textId="77777777" w:rsidR="007F3F42" w:rsidRDefault="005B3E51" w:rsidP="00492B79">
            <w:pPr>
              <w:pStyle w:val="TableTextS5"/>
              <w:spacing w:after="20"/>
              <w:rPr>
                <w:color w:val="000000"/>
                <w:lang w:val="fr-CH"/>
              </w:rPr>
            </w:pPr>
            <w:r w:rsidRPr="0046453D">
              <w:rPr>
                <w:rStyle w:val="Tablefreq"/>
              </w:rPr>
              <w:t>71-74</w:t>
            </w:r>
            <w:r>
              <w:rPr>
                <w:color w:val="000000"/>
                <w:lang w:val="fr-CH"/>
              </w:rPr>
              <w:tab/>
            </w:r>
            <w:r>
              <w:rPr>
                <w:color w:val="000000"/>
                <w:lang w:val="fr-CH"/>
              </w:rPr>
              <w:tab/>
            </w:r>
            <w:r>
              <w:rPr>
                <w:color w:val="000000"/>
                <w:lang w:val="fr-CH"/>
              </w:rPr>
              <w:tab/>
            </w:r>
            <w:r>
              <w:rPr>
                <w:color w:val="000000"/>
              </w:rPr>
              <w:t>FIXE</w:t>
            </w:r>
          </w:p>
          <w:p w14:paraId="250A20D7" w14:textId="77777777" w:rsidR="007F3F42" w:rsidRDefault="005B3E51" w:rsidP="00492B7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FIXE PAR SATELLITE (espace vers Terre)</w:t>
            </w:r>
          </w:p>
          <w:p w14:paraId="109A9720" w14:textId="77777777" w:rsidR="007F3F42" w:rsidRDefault="005B3E51" w:rsidP="00492B7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MOBILE</w:t>
            </w:r>
          </w:p>
          <w:p w14:paraId="15A450E3" w14:textId="77777777" w:rsidR="007F3F42" w:rsidRDefault="005B3E51" w:rsidP="00492B79">
            <w:pPr>
              <w:pStyle w:val="TableTextS5"/>
              <w:spacing w:before="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MOBILE PAR SATELLITE (espace vers Terre)</w:t>
            </w:r>
          </w:p>
        </w:tc>
      </w:tr>
      <w:tr w:rsidR="007F3F42" w14:paraId="5A2CD52C" w14:textId="77777777" w:rsidTr="00381B50">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9F59CBC" w14:textId="77777777" w:rsidR="007F3F42" w:rsidRDefault="005B3E51" w:rsidP="00492B79">
            <w:pPr>
              <w:pStyle w:val="TableTextS5"/>
              <w:spacing w:after="20"/>
              <w:rPr>
                <w:color w:val="000000"/>
                <w:lang w:val="fr-CH"/>
              </w:rPr>
            </w:pPr>
            <w:r w:rsidRPr="0017609F">
              <w:rPr>
                <w:rStyle w:val="Tablefreq"/>
              </w:rPr>
              <w:t>74-76</w:t>
            </w:r>
            <w:r w:rsidRPr="0017609F">
              <w:rPr>
                <w:rStyle w:val="Tablefreq"/>
              </w:rPr>
              <w:tab/>
            </w:r>
            <w:r>
              <w:rPr>
                <w:color w:val="000000"/>
                <w:lang w:val="fr-CH"/>
              </w:rPr>
              <w:tab/>
            </w:r>
            <w:r>
              <w:rPr>
                <w:color w:val="000000"/>
                <w:lang w:val="fr-CH"/>
              </w:rPr>
              <w:tab/>
            </w:r>
            <w:r>
              <w:rPr>
                <w:color w:val="000000"/>
              </w:rPr>
              <w:t>FIXE</w:t>
            </w:r>
          </w:p>
          <w:p w14:paraId="0E8AC52C" w14:textId="77777777" w:rsidR="007F3F42" w:rsidRDefault="005B3E51" w:rsidP="00492B7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FIXE PAR SATELLITE (espace vers Terre)</w:t>
            </w:r>
          </w:p>
          <w:p w14:paraId="7CBAD989" w14:textId="77777777" w:rsidR="007F3F42" w:rsidRDefault="005B3E51" w:rsidP="00492B7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MOBILE</w:t>
            </w:r>
          </w:p>
          <w:p w14:paraId="27385196" w14:textId="77777777" w:rsidR="007F3F42" w:rsidRDefault="005B3E51" w:rsidP="00492B7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RADIODIFFUSION</w:t>
            </w:r>
          </w:p>
          <w:p w14:paraId="369EA1DD" w14:textId="77777777" w:rsidR="007F3F42" w:rsidRDefault="005B3E51" w:rsidP="00492B7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RADIODIFFUSION PAR SATELLITE</w:t>
            </w:r>
          </w:p>
          <w:p w14:paraId="7EB461DD" w14:textId="77777777" w:rsidR="007F3F42" w:rsidRDefault="005B3E51" w:rsidP="00492B7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Recherche spatiale (espace vers Terre)</w:t>
            </w:r>
          </w:p>
          <w:p w14:paraId="691B5F88" w14:textId="77777777" w:rsidR="007F3F42" w:rsidRDefault="005B3E51" w:rsidP="00492B79">
            <w:pPr>
              <w:pStyle w:val="TableTextS5"/>
              <w:spacing w:before="0"/>
              <w:rPr>
                <w:rStyle w:val="Artref"/>
                <w:color w:val="000000"/>
              </w:rPr>
            </w:pPr>
            <w:r>
              <w:rPr>
                <w:color w:val="000000"/>
                <w:lang w:val="fr-CH"/>
              </w:rPr>
              <w:tab/>
            </w:r>
            <w:r>
              <w:rPr>
                <w:color w:val="000000"/>
                <w:lang w:val="fr-CH"/>
              </w:rPr>
              <w:tab/>
            </w:r>
            <w:r>
              <w:rPr>
                <w:color w:val="000000"/>
                <w:lang w:val="fr-CH"/>
              </w:rPr>
              <w:tab/>
            </w:r>
            <w:r>
              <w:rPr>
                <w:color w:val="000000"/>
                <w:lang w:val="fr-CH"/>
              </w:rPr>
              <w:tab/>
            </w:r>
            <w:r>
              <w:rPr>
                <w:rStyle w:val="Artref"/>
                <w:color w:val="000000"/>
              </w:rPr>
              <w:t>5.561</w:t>
            </w:r>
          </w:p>
        </w:tc>
      </w:tr>
      <w:tr w:rsidR="007F3F42" w14:paraId="7D8DEC0A" w14:textId="77777777" w:rsidTr="00381B50">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04FAE0FD" w14:textId="77777777" w:rsidR="007F3F42" w:rsidRDefault="005B3E51" w:rsidP="00492B79">
            <w:pPr>
              <w:pStyle w:val="TableTextS5"/>
              <w:tabs>
                <w:tab w:val="clear" w:pos="737"/>
              </w:tabs>
              <w:spacing w:after="20"/>
              <w:rPr>
                <w:color w:val="000000"/>
                <w:lang w:val="fr-CH"/>
              </w:rPr>
            </w:pPr>
            <w:r w:rsidRPr="0046453D">
              <w:rPr>
                <w:rStyle w:val="Tablefreq"/>
              </w:rPr>
              <w:t>76-77,5</w:t>
            </w:r>
            <w:r>
              <w:rPr>
                <w:color w:val="000000"/>
                <w:lang w:val="fr-CH"/>
              </w:rPr>
              <w:tab/>
            </w:r>
            <w:r>
              <w:rPr>
                <w:color w:val="000000"/>
              </w:rPr>
              <w:t>RADIOASTRONOMIE</w:t>
            </w:r>
          </w:p>
          <w:p w14:paraId="279601E2" w14:textId="77777777" w:rsidR="007F3F42" w:rsidRDefault="005B3E51" w:rsidP="00492B7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RADIOLOCALISATION</w:t>
            </w:r>
          </w:p>
          <w:p w14:paraId="40D308E1" w14:textId="77777777" w:rsidR="007F3F42" w:rsidRDefault="005B3E51" w:rsidP="00492B7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Amateur</w:t>
            </w:r>
          </w:p>
          <w:p w14:paraId="7B08680A" w14:textId="77777777" w:rsidR="007F3F42" w:rsidRDefault="005B3E51" w:rsidP="00492B7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Amateur par satellite</w:t>
            </w:r>
          </w:p>
          <w:p w14:paraId="0C8C52B4" w14:textId="77777777" w:rsidR="007F3F42" w:rsidRDefault="005B3E51" w:rsidP="00492B7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Recherche spatiale (espace vers Terre)</w:t>
            </w:r>
          </w:p>
          <w:p w14:paraId="7E4D7BA9" w14:textId="77777777" w:rsidR="007F3F42" w:rsidRDefault="005B3E51" w:rsidP="00492B79">
            <w:pPr>
              <w:pStyle w:val="TableTextS5"/>
              <w:spacing w:before="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5.149</w:t>
            </w:r>
          </w:p>
        </w:tc>
      </w:tr>
      <w:tr w:rsidR="007F3F42" w14:paraId="44050C65" w14:textId="77777777" w:rsidTr="00381B50">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48A54055" w14:textId="77777777" w:rsidR="007F3F42" w:rsidRDefault="005B3E51" w:rsidP="00492B79">
            <w:pPr>
              <w:pStyle w:val="TableTextS5"/>
              <w:tabs>
                <w:tab w:val="clear" w:pos="737"/>
              </w:tabs>
              <w:spacing w:after="20"/>
              <w:rPr>
                <w:color w:val="000000"/>
                <w:lang w:val="fr-CH"/>
              </w:rPr>
            </w:pPr>
            <w:r w:rsidRPr="0017609F">
              <w:rPr>
                <w:rStyle w:val="Tablefreq"/>
              </w:rPr>
              <w:t>77,5-78</w:t>
            </w:r>
            <w:r>
              <w:rPr>
                <w:color w:val="000000"/>
                <w:lang w:val="fr-CH"/>
              </w:rPr>
              <w:tab/>
            </w:r>
            <w:r>
              <w:rPr>
                <w:color w:val="000000"/>
              </w:rPr>
              <w:t>AMATEUR</w:t>
            </w:r>
          </w:p>
          <w:p w14:paraId="06A1CABC" w14:textId="77777777" w:rsidR="007F3F42" w:rsidRDefault="005B3E51" w:rsidP="00492B79">
            <w:pPr>
              <w:pStyle w:val="TableTextS5"/>
              <w:spacing w:before="0" w:after="20"/>
              <w:rPr>
                <w:color w:val="000000"/>
              </w:rPr>
            </w:pPr>
            <w:r>
              <w:rPr>
                <w:color w:val="000000"/>
                <w:lang w:val="fr-CH"/>
              </w:rPr>
              <w:tab/>
            </w:r>
            <w:r>
              <w:rPr>
                <w:color w:val="000000"/>
                <w:lang w:val="fr-CH"/>
              </w:rPr>
              <w:tab/>
            </w:r>
            <w:r>
              <w:rPr>
                <w:color w:val="000000"/>
                <w:lang w:val="fr-CH"/>
              </w:rPr>
              <w:tab/>
            </w:r>
            <w:r>
              <w:rPr>
                <w:color w:val="000000"/>
                <w:lang w:val="fr-CH"/>
              </w:rPr>
              <w:tab/>
            </w:r>
            <w:r>
              <w:rPr>
                <w:color w:val="000000"/>
              </w:rPr>
              <w:t>AMATEUR PAR SATELLITE</w:t>
            </w:r>
          </w:p>
          <w:p w14:paraId="07EB3736" w14:textId="77777777" w:rsidR="00B355A6" w:rsidRDefault="005B3E51" w:rsidP="00492B79">
            <w:pPr>
              <w:pStyle w:val="TableTextS5"/>
              <w:spacing w:before="0" w:after="20"/>
              <w:rPr>
                <w:color w:val="000000"/>
                <w:lang w:val="fr-CH"/>
              </w:rPr>
            </w:pPr>
            <w:r>
              <w:rPr>
                <w:color w:val="000000"/>
              </w:rPr>
              <w:tab/>
            </w:r>
            <w:r>
              <w:rPr>
                <w:color w:val="000000"/>
              </w:rPr>
              <w:tab/>
            </w:r>
            <w:r>
              <w:rPr>
                <w:color w:val="000000"/>
              </w:rPr>
              <w:tab/>
            </w:r>
            <w:r>
              <w:rPr>
                <w:color w:val="000000"/>
              </w:rPr>
              <w:tab/>
              <w:t>RADIOLOCALISATION  5.559B</w:t>
            </w:r>
          </w:p>
          <w:p w14:paraId="65B1CCD6" w14:textId="77777777" w:rsidR="007F3F42" w:rsidRDefault="005B3E51" w:rsidP="00492B7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Radioastronomie</w:t>
            </w:r>
          </w:p>
          <w:p w14:paraId="710C0CC0" w14:textId="77777777" w:rsidR="007F3F42" w:rsidRDefault="005B3E51" w:rsidP="00492B79">
            <w:pPr>
              <w:pStyle w:val="TableTextS5"/>
              <w:spacing w:before="0" w:after="20"/>
              <w:rPr>
                <w:color w:val="000000"/>
                <w:lang w:val="fr-CH"/>
              </w:rPr>
            </w:pPr>
            <w:r>
              <w:rPr>
                <w:color w:val="000000"/>
                <w:lang w:val="fr-CH"/>
              </w:rPr>
              <w:tab/>
            </w:r>
            <w:r>
              <w:rPr>
                <w:color w:val="000000"/>
                <w:lang w:val="fr-CH"/>
              </w:rPr>
              <w:tab/>
            </w:r>
            <w:r>
              <w:rPr>
                <w:color w:val="000000"/>
                <w:lang w:val="fr-CH"/>
              </w:rPr>
              <w:tab/>
            </w:r>
            <w:r>
              <w:rPr>
                <w:color w:val="000000"/>
                <w:lang w:val="fr-CH"/>
              </w:rPr>
              <w:tab/>
            </w:r>
            <w:r>
              <w:rPr>
                <w:color w:val="000000"/>
              </w:rPr>
              <w:t>Recherche spatiale (espace vers Terre)</w:t>
            </w:r>
          </w:p>
          <w:p w14:paraId="765207E0" w14:textId="77777777" w:rsidR="007F3F42" w:rsidRDefault="005B3E51" w:rsidP="00492B79">
            <w:pPr>
              <w:pStyle w:val="TableTextS5"/>
              <w:spacing w:before="0"/>
              <w:rPr>
                <w:color w:val="000000"/>
                <w:lang w:val="fr-CH"/>
              </w:rPr>
            </w:pPr>
            <w:r>
              <w:rPr>
                <w:color w:val="000000"/>
                <w:lang w:val="fr-CH"/>
              </w:rPr>
              <w:tab/>
            </w:r>
            <w:r>
              <w:rPr>
                <w:color w:val="000000"/>
                <w:lang w:val="fr-CH"/>
              </w:rPr>
              <w:tab/>
            </w:r>
            <w:r>
              <w:rPr>
                <w:color w:val="000000"/>
                <w:lang w:val="fr-CH"/>
              </w:rPr>
              <w:tab/>
            </w:r>
            <w:r>
              <w:rPr>
                <w:color w:val="000000"/>
                <w:lang w:val="fr-CH"/>
              </w:rPr>
              <w:tab/>
            </w:r>
            <w:r>
              <w:rPr>
                <w:rStyle w:val="Artref"/>
                <w:color w:val="000000"/>
                <w:lang w:val="fr-CH"/>
              </w:rPr>
              <w:t>5.149</w:t>
            </w:r>
          </w:p>
        </w:tc>
      </w:tr>
      <w:tr w:rsidR="007F3F42" w14:paraId="26080A50" w14:textId="77777777" w:rsidTr="00381B50">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0B94773" w14:textId="77777777" w:rsidR="007F3F42" w:rsidRDefault="005B3E51" w:rsidP="00492B79">
            <w:pPr>
              <w:pStyle w:val="TableTextS5"/>
              <w:spacing w:after="20"/>
              <w:rPr>
                <w:color w:val="000000"/>
                <w:lang w:val="fr-CH"/>
              </w:rPr>
            </w:pPr>
            <w:r w:rsidRPr="0017609F">
              <w:rPr>
                <w:rStyle w:val="Tablefreq"/>
              </w:rPr>
              <w:t>78-79</w:t>
            </w:r>
            <w:r w:rsidRPr="0017609F">
              <w:rPr>
                <w:rStyle w:val="Tablefreq"/>
              </w:rPr>
              <w:tab/>
            </w:r>
            <w:r>
              <w:rPr>
                <w:color w:val="000000"/>
              </w:rPr>
              <w:tab/>
            </w:r>
            <w:r>
              <w:rPr>
                <w:color w:val="000000"/>
              </w:rPr>
              <w:tab/>
              <w:t>RADIOLOCALISATION</w:t>
            </w:r>
          </w:p>
          <w:p w14:paraId="2EF6C891" w14:textId="77777777" w:rsidR="007F3F42" w:rsidRDefault="005B3E51" w:rsidP="00492B79">
            <w:pPr>
              <w:pStyle w:val="TableTextS5"/>
              <w:spacing w:before="0" w:after="20"/>
              <w:rPr>
                <w:color w:val="000000"/>
                <w:lang w:val="fr-CH"/>
              </w:rPr>
            </w:pPr>
            <w:r>
              <w:rPr>
                <w:color w:val="000000"/>
              </w:rPr>
              <w:tab/>
            </w:r>
            <w:r>
              <w:rPr>
                <w:color w:val="000000"/>
              </w:rPr>
              <w:tab/>
            </w:r>
            <w:r>
              <w:rPr>
                <w:color w:val="000000"/>
              </w:rPr>
              <w:tab/>
            </w:r>
            <w:r>
              <w:rPr>
                <w:color w:val="000000"/>
              </w:rPr>
              <w:tab/>
              <w:t>Amateur</w:t>
            </w:r>
          </w:p>
          <w:p w14:paraId="4C792895" w14:textId="77777777" w:rsidR="007F3F42" w:rsidRDefault="005B3E51" w:rsidP="00492B79">
            <w:pPr>
              <w:pStyle w:val="TableTextS5"/>
              <w:spacing w:before="0" w:after="20"/>
              <w:rPr>
                <w:color w:val="000000"/>
                <w:lang w:val="fr-CH"/>
              </w:rPr>
            </w:pPr>
            <w:r>
              <w:rPr>
                <w:color w:val="000000"/>
              </w:rPr>
              <w:tab/>
            </w:r>
            <w:r>
              <w:rPr>
                <w:color w:val="000000"/>
              </w:rPr>
              <w:tab/>
            </w:r>
            <w:r>
              <w:rPr>
                <w:color w:val="000000"/>
              </w:rPr>
              <w:tab/>
            </w:r>
            <w:r>
              <w:rPr>
                <w:color w:val="000000"/>
              </w:rPr>
              <w:tab/>
              <w:t>Amateur par satellite</w:t>
            </w:r>
          </w:p>
          <w:p w14:paraId="5F16C806" w14:textId="77777777" w:rsidR="007F3F42" w:rsidRDefault="005B3E51" w:rsidP="00492B79">
            <w:pPr>
              <w:pStyle w:val="TableTextS5"/>
              <w:spacing w:before="0" w:after="20"/>
              <w:rPr>
                <w:color w:val="000000"/>
                <w:lang w:val="fr-CH"/>
              </w:rPr>
            </w:pPr>
            <w:r>
              <w:rPr>
                <w:color w:val="000000"/>
              </w:rPr>
              <w:tab/>
            </w:r>
            <w:r>
              <w:rPr>
                <w:color w:val="000000"/>
              </w:rPr>
              <w:tab/>
            </w:r>
            <w:r>
              <w:rPr>
                <w:color w:val="000000"/>
              </w:rPr>
              <w:tab/>
            </w:r>
            <w:r>
              <w:rPr>
                <w:color w:val="000000"/>
              </w:rPr>
              <w:tab/>
              <w:t>Radioastronomie</w:t>
            </w:r>
          </w:p>
          <w:p w14:paraId="08047D9A" w14:textId="77777777" w:rsidR="007F3F42" w:rsidRDefault="005B3E51" w:rsidP="00492B79">
            <w:pPr>
              <w:pStyle w:val="TableTextS5"/>
              <w:spacing w:before="0" w:after="20"/>
              <w:rPr>
                <w:color w:val="000000"/>
                <w:lang w:val="fr-CH"/>
              </w:rPr>
            </w:pPr>
            <w:r>
              <w:rPr>
                <w:color w:val="000000"/>
              </w:rPr>
              <w:tab/>
            </w:r>
            <w:r>
              <w:rPr>
                <w:color w:val="000000"/>
              </w:rPr>
              <w:tab/>
            </w:r>
            <w:r>
              <w:rPr>
                <w:color w:val="000000"/>
              </w:rPr>
              <w:tab/>
            </w:r>
            <w:r>
              <w:rPr>
                <w:color w:val="000000"/>
              </w:rPr>
              <w:tab/>
              <w:t>Recherche spatiale (espace vers Terre)</w:t>
            </w:r>
          </w:p>
          <w:p w14:paraId="2F53343E" w14:textId="77777777" w:rsidR="007F3F42" w:rsidRDefault="005B3E51" w:rsidP="00492B79">
            <w:pPr>
              <w:pStyle w:val="TableTextS5"/>
              <w:spacing w:before="0"/>
              <w:rPr>
                <w:rStyle w:val="Artref"/>
                <w:color w:val="000000"/>
              </w:rPr>
            </w:pPr>
            <w:r>
              <w:rPr>
                <w:color w:val="000000"/>
              </w:rPr>
              <w:tab/>
            </w:r>
            <w:r>
              <w:rPr>
                <w:color w:val="000000"/>
              </w:rPr>
              <w:tab/>
            </w:r>
            <w:r>
              <w:rPr>
                <w:color w:val="000000"/>
              </w:rPr>
              <w:tab/>
            </w:r>
            <w:r>
              <w:rPr>
                <w:color w:val="000000"/>
              </w:rPr>
              <w:tab/>
            </w:r>
            <w:r>
              <w:rPr>
                <w:rStyle w:val="Artref"/>
                <w:color w:val="000000"/>
              </w:rPr>
              <w:t>5.149</w:t>
            </w:r>
            <w:r>
              <w:rPr>
                <w:color w:val="000000"/>
              </w:rPr>
              <w:t xml:space="preserve">  </w:t>
            </w:r>
            <w:r>
              <w:rPr>
                <w:rStyle w:val="Artref"/>
                <w:color w:val="000000"/>
              </w:rPr>
              <w:t>5.560</w:t>
            </w:r>
          </w:p>
        </w:tc>
      </w:tr>
      <w:tr w:rsidR="007F3F42" w14:paraId="148B89EE" w14:textId="77777777" w:rsidTr="00381B5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D806619" w14:textId="77777777" w:rsidR="007F3F42" w:rsidRDefault="005B3E51" w:rsidP="00492B79">
            <w:pPr>
              <w:pStyle w:val="TableTextS5"/>
              <w:spacing w:after="20"/>
              <w:rPr>
                <w:color w:val="000000"/>
                <w:lang w:val="fr-CH"/>
              </w:rPr>
            </w:pPr>
            <w:r w:rsidRPr="0017609F">
              <w:rPr>
                <w:rStyle w:val="Tablefreq"/>
              </w:rPr>
              <w:t>79-81</w:t>
            </w:r>
            <w:r w:rsidRPr="0017609F">
              <w:rPr>
                <w:rStyle w:val="Tablefreq"/>
              </w:rPr>
              <w:tab/>
            </w:r>
            <w:r w:rsidRPr="0017609F">
              <w:rPr>
                <w:rStyle w:val="Tablefreq"/>
              </w:rPr>
              <w:tab/>
            </w:r>
            <w:r>
              <w:rPr>
                <w:color w:val="000000"/>
              </w:rPr>
              <w:tab/>
              <w:t>RADIOASTRONOMIE</w:t>
            </w:r>
          </w:p>
          <w:p w14:paraId="61D9880D" w14:textId="77777777" w:rsidR="007F3F42" w:rsidRDefault="005B3E51" w:rsidP="00492B79">
            <w:pPr>
              <w:pStyle w:val="TableTextS5"/>
              <w:spacing w:before="0" w:after="20"/>
              <w:rPr>
                <w:color w:val="000000"/>
                <w:lang w:val="fr-CH"/>
              </w:rPr>
            </w:pPr>
            <w:r>
              <w:rPr>
                <w:color w:val="000000"/>
              </w:rPr>
              <w:tab/>
            </w:r>
            <w:r>
              <w:rPr>
                <w:color w:val="000000"/>
              </w:rPr>
              <w:tab/>
            </w:r>
            <w:r>
              <w:rPr>
                <w:color w:val="000000"/>
              </w:rPr>
              <w:tab/>
            </w:r>
            <w:r>
              <w:rPr>
                <w:color w:val="000000"/>
              </w:rPr>
              <w:tab/>
              <w:t>RADIOLOCALISATION</w:t>
            </w:r>
          </w:p>
          <w:p w14:paraId="714532B0" w14:textId="77777777" w:rsidR="007F3F42" w:rsidRDefault="005B3E51" w:rsidP="00492B79">
            <w:pPr>
              <w:pStyle w:val="TableTextS5"/>
              <w:spacing w:before="0" w:after="20"/>
              <w:rPr>
                <w:color w:val="000000"/>
                <w:lang w:val="fr-CH"/>
              </w:rPr>
            </w:pPr>
            <w:r>
              <w:rPr>
                <w:color w:val="000000"/>
              </w:rPr>
              <w:tab/>
            </w:r>
            <w:r>
              <w:rPr>
                <w:color w:val="000000"/>
              </w:rPr>
              <w:tab/>
            </w:r>
            <w:r>
              <w:rPr>
                <w:color w:val="000000"/>
              </w:rPr>
              <w:tab/>
            </w:r>
            <w:r>
              <w:rPr>
                <w:color w:val="000000"/>
              </w:rPr>
              <w:tab/>
              <w:t>Amateur</w:t>
            </w:r>
          </w:p>
          <w:p w14:paraId="06B66D39" w14:textId="77777777" w:rsidR="007F3F42" w:rsidRDefault="005B3E51" w:rsidP="00492B79">
            <w:pPr>
              <w:pStyle w:val="TableTextS5"/>
              <w:spacing w:before="0" w:after="20"/>
              <w:rPr>
                <w:color w:val="000000"/>
                <w:lang w:val="fr-CH"/>
              </w:rPr>
            </w:pPr>
            <w:r>
              <w:rPr>
                <w:color w:val="000000"/>
              </w:rPr>
              <w:tab/>
            </w:r>
            <w:r>
              <w:rPr>
                <w:color w:val="000000"/>
              </w:rPr>
              <w:tab/>
            </w:r>
            <w:r>
              <w:rPr>
                <w:color w:val="000000"/>
              </w:rPr>
              <w:tab/>
            </w:r>
            <w:r>
              <w:rPr>
                <w:color w:val="000000"/>
              </w:rPr>
              <w:tab/>
              <w:t>Amateur par satellite</w:t>
            </w:r>
          </w:p>
          <w:p w14:paraId="1F88CABF" w14:textId="77777777" w:rsidR="007F3F42" w:rsidRDefault="005B3E51" w:rsidP="00492B79">
            <w:pPr>
              <w:pStyle w:val="TableTextS5"/>
              <w:spacing w:before="0" w:after="20"/>
              <w:rPr>
                <w:color w:val="000000"/>
                <w:lang w:val="fr-CH"/>
              </w:rPr>
            </w:pPr>
            <w:r>
              <w:rPr>
                <w:color w:val="000000"/>
              </w:rPr>
              <w:tab/>
            </w:r>
            <w:r>
              <w:rPr>
                <w:color w:val="000000"/>
              </w:rPr>
              <w:tab/>
            </w:r>
            <w:r>
              <w:rPr>
                <w:color w:val="000000"/>
              </w:rPr>
              <w:tab/>
            </w:r>
            <w:r>
              <w:rPr>
                <w:color w:val="000000"/>
              </w:rPr>
              <w:tab/>
              <w:t>Recherche spatiale (espace vers Terre)</w:t>
            </w:r>
          </w:p>
          <w:p w14:paraId="5DD6CD36" w14:textId="77777777" w:rsidR="007F3F42" w:rsidRDefault="005B3E51" w:rsidP="00492B79">
            <w:pPr>
              <w:pStyle w:val="TableTextS5"/>
              <w:spacing w:before="0"/>
              <w:rPr>
                <w:rStyle w:val="Artref"/>
                <w:color w:val="000000"/>
              </w:rPr>
            </w:pPr>
            <w:r>
              <w:rPr>
                <w:color w:val="000000"/>
              </w:rPr>
              <w:tab/>
            </w:r>
            <w:r>
              <w:rPr>
                <w:color w:val="000000"/>
              </w:rPr>
              <w:tab/>
            </w:r>
            <w:r>
              <w:rPr>
                <w:color w:val="000000"/>
              </w:rPr>
              <w:tab/>
            </w:r>
            <w:r>
              <w:rPr>
                <w:color w:val="000000"/>
              </w:rPr>
              <w:tab/>
            </w:r>
            <w:r>
              <w:rPr>
                <w:rStyle w:val="Artref"/>
                <w:color w:val="000000"/>
              </w:rPr>
              <w:t>5.149</w:t>
            </w:r>
          </w:p>
        </w:tc>
      </w:tr>
    </w:tbl>
    <w:p w14:paraId="483725DC" w14:textId="53148780" w:rsidR="00FB3F8E" w:rsidRDefault="005B3E51" w:rsidP="00492B79">
      <w:pPr>
        <w:pStyle w:val="Reasons"/>
      </w:pPr>
      <w:r>
        <w:rPr>
          <w:b/>
        </w:rPr>
        <w:t>Motifs:</w:t>
      </w:r>
      <w:r>
        <w:tab/>
      </w:r>
      <w:r w:rsidR="007949C7" w:rsidRPr="007949C7">
        <w:t>Chinois uniquement</w:t>
      </w:r>
      <w:r w:rsidR="007949C7">
        <w:t>.</w:t>
      </w:r>
    </w:p>
    <w:p w14:paraId="06B43DD2" w14:textId="77777777" w:rsidR="00FB3F8E" w:rsidRDefault="005B3E51" w:rsidP="00492B79">
      <w:pPr>
        <w:pStyle w:val="Proposal"/>
      </w:pPr>
      <w:r>
        <w:t>(MOD)</w:t>
      </w:r>
      <w:r>
        <w:tab/>
        <w:t>CHN/209/4</w:t>
      </w:r>
    </w:p>
    <w:p w14:paraId="4BB44D0C" w14:textId="77777777" w:rsidR="007F3F42" w:rsidRDefault="005B3E51" w:rsidP="00492B79">
      <w:pPr>
        <w:pStyle w:val="Note"/>
        <w:rPr>
          <w:sz w:val="16"/>
          <w:lang w:val="fr-CH"/>
        </w:rPr>
      </w:pPr>
      <w:r w:rsidRPr="00323C40">
        <w:rPr>
          <w:rStyle w:val="Artdef"/>
        </w:rPr>
        <w:t>5.562B</w:t>
      </w:r>
      <w:r>
        <w:rPr>
          <w:b/>
          <w:bCs/>
          <w:lang w:val="fr-CH"/>
        </w:rPr>
        <w:tab/>
      </w:r>
      <w:r>
        <w:rPr>
          <w:lang w:val="fr-CH"/>
        </w:rPr>
        <w:t>Dans les bandes 105-109,5 GHz, 111,8-114,25 GHz, 155,5-158,5 GHz et 217</w:t>
      </w:r>
      <w:r>
        <w:rPr>
          <w:lang w:val="fr-CH"/>
        </w:rPr>
        <w:noBreakHyphen/>
        <w:t>226 GHz, l'utilisation de cette attribution est limitée aux missions spatiales de radioastronomie.</w:t>
      </w:r>
      <w:r>
        <w:rPr>
          <w:sz w:val="16"/>
          <w:lang w:val="fr-CH"/>
        </w:rPr>
        <w:t>     (CMR</w:t>
      </w:r>
      <w:r>
        <w:rPr>
          <w:sz w:val="16"/>
          <w:lang w:val="fr-CH"/>
        </w:rPr>
        <w:noBreakHyphen/>
        <w:t>2000)</w:t>
      </w:r>
    </w:p>
    <w:p w14:paraId="5EFCA232" w14:textId="5CF5D8D8" w:rsidR="00FB3F8E" w:rsidRDefault="005B3E51" w:rsidP="00492B79">
      <w:pPr>
        <w:pStyle w:val="Reasons"/>
      </w:pPr>
      <w:r>
        <w:rPr>
          <w:b/>
        </w:rPr>
        <w:lastRenderedPageBreak/>
        <w:t>Motifs:</w:t>
      </w:r>
      <w:r>
        <w:tab/>
      </w:r>
      <w:r w:rsidR="007949C7" w:rsidRPr="007949C7">
        <w:t>Chinois uniquement</w:t>
      </w:r>
      <w:r w:rsidR="007949C7">
        <w:t>.</w:t>
      </w:r>
    </w:p>
    <w:p w14:paraId="1CE73407" w14:textId="77777777" w:rsidR="007F3F42" w:rsidRDefault="005B3E51" w:rsidP="00492B79">
      <w:pPr>
        <w:pStyle w:val="ArtNo"/>
        <w:spacing w:before="0"/>
      </w:pPr>
      <w:bookmarkStart w:id="11" w:name="_Toc455752955"/>
      <w:bookmarkStart w:id="12" w:name="_Toc455756194"/>
      <w:r>
        <w:t xml:space="preserve">ARTICLE </w:t>
      </w:r>
      <w:r>
        <w:rPr>
          <w:rStyle w:val="href"/>
          <w:color w:val="000000"/>
        </w:rPr>
        <w:t>22</w:t>
      </w:r>
      <w:bookmarkEnd w:id="11"/>
      <w:bookmarkEnd w:id="12"/>
    </w:p>
    <w:p w14:paraId="6CC3BE8A" w14:textId="77777777" w:rsidR="007F3F42" w:rsidRDefault="005B3E51" w:rsidP="00492B79">
      <w:pPr>
        <w:pStyle w:val="Arttitle"/>
      </w:pPr>
      <w:bookmarkStart w:id="13" w:name="_Toc455752956"/>
      <w:bookmarkStart w:id="14" w:name="_Toc455756195"/>
      <w:r w:rsidRPr="005A41A5">
        <w:t>Services spatiaux</w:t>
      </w:r>
      <w:r w:rsidRPr="00BC7027">
        <w:rPr>
          <w:rStyle w:val="FootnoteReference"/>
          <w:b w:val="0"/>
          <w:bCs/>
        </w:rPr>
        <w:t>1</w:t>
      </w:r>
      <w:bookmarkEnd w:id="13"/>
      <w:bookmarkEnd w:id="14"/>
    </w:p>
    <w:p w14:paraId="2C71B7B5" w14:textId="77777777" w:rsidR="007F3F42" w:rsidRDefault="005B3E51" w:rsidP="00492B79">
      <w:pPr>
        <w:pStyle w:val="Section1"/>
        <w:spacing w:before="240"/>
      </w:pPr>
      <w:r w:rsidRPr="00375EEA">
        <w:t>Section II – Contrôle des brouillages causés aux systèmes à satellites géostationnaires</w:t>
      </w:r>
    </w:p>
    <w:p w14:paraId="21A17319" w14:textId="77777777" w:rsidR="00FB3F8E" w:rsidRDefault="005B3E51" w:rsidP="00492B79">
      <w:pPr>
        <w:pStyle w:val="Proposal"/>
      </w:pPr>
      <w:r>
        <w:t>(MOD)</w:t>
      </w:r>
      <w:r>
        <w:tab/>
        <w:t>CHN/209/5</w:t>
      </w:r>
    </w:p>
    <w:p w14:paraId="49C93F7A" w14:textId="77777777" w:rsidR="007F3F42" w:rsidRPr="0061407F" w:rsidRDefault="005B3E51" w:rsidP="00492B79">
      <w:pPr>
        <w:pStyle w:val="Normalaftertitle"/>
      </w:pPr>
      <w:r w:rsidRPr="00C940AC">
        <w:rPr>
          <w:rStyle w:val="Artdef"/>
        </w:rPr>
        <w:t>22.2</w:t>
      </w:r>
      <w:r>
        <w:tab/>
        <w:t>§ 2</w:t>
      </w:r>
      <w:r>
        <w:tab/>
        <w:t>1)</w:t>
      </w:r>
      <w:r>
        <w:tab/>
        <w:t xml:space="preserve">Les systèmes à satellites non géostationnaires ne doivent pas causer de brouillages inacceptables aux réseaux à satellite géostationnaire du service fixe par satellite et du service de radiodiffusion par satellite fonctionnant conformément aux dispositions du présent Règlement et, sauf disposition contraire dans le présent Règlement, ne doivent pas demander à bénéficier d'une protection vis-à-vis de ces réseaux. Le numéro </w:t>
      </w:r>
      <w:r>
        <w:rPr>
          <w:b/>
          <w:bCs/>
        </w:rPr>
        <w:t>5.43A</w:t>
      </w:r>
      <w:r>
        <w:t xml:space="preserve"> ne s'applique pas en pareil cas.</w:t>
      </w:r>
      <w:r w:rsidRPr="0098385B">
        <w:rPr>
          <w:sz w:val="16"/>
          <w:szCs w:val="16"/>
        </w:rPr>
        <w:t>     (CMR-07)</w:t>
      </w:r>
    </w:p>
    <w:p w14:paraId="48950A67" w14:textId="1C5DF75E" w:rsidR="00FB3F8E" w:rsidRDefault="005B3E51" w:rsidP="00492B79">
      <w:pPr>
        <w:pStyle w:val="Reasons"/>
      </w:pPr>
      <w:r>
        <w:rPr>
          <w:b/>
        </w:rPr>
        <w:t>Motifs:</w:t>
      </w:r>
      <w:r>
        <w:tab/>
      </w:r>
      <w:r w:rsidR="007949C7" w:rsidRPr="007949C7">
        <w:t>Chinois uniquement</w:t>
      </w:r>
      <w:r w:rsidR="007949C7">
        <w:t>.</w:t>
      </w:r>
    </w:p>
    <w:p w14:paraId="18BCFE84" w14:textId="77777777" w:rsidR="004A4B52" w:rsidRPr="00AD7E49" w:rsidRDefault="005B3E51" w:rsidP="00492B79">
      <w:pPr>
        <w:pStyle w:val="ResNo"/>
        <w:rPr>
          <w:lang w:val="fr-CH"/>
        </w:rPr>
      </w:pPr>
      <w:r w:rsidRPr="00AD7E49">
        <w:rPr>
          <w:lang w:val="fr-CH"/>
        </w:rPr>
        <w:t xml:space="preserve">RÉSOLUTION </w:t>
      </w:r>
      <w:r w:rsidRPr="00AD7E49">
        <w:rPr>
          <w:rStyle w:val="href"/>
          <w:lang w:val="fr-CH"/>
        </w:rPr>
        <w:t xml:space="preserve">34 </w:t>
      </w:r>
      <w:r w:rsidRPr="00AD7E49">
        <w:rPr>
          <w:lang w:val="fr-CH"/>
        </w:rPr>
        <w:t>(RÉV.CMR-15)</w:t>
      </w:r>
    </w:p>
    <w:p w14:paraId="257CD36A" w14:textId="77777777" w:rsidR="004A4B52" w:rsidRPr="00AD7E49" w:rsidRDefault="005B3E51" w:rsidP="00492B79">
      <w:pPr>
        <w:pStyle w:val="Restitle"/>
        <w:rPr>
          <w:lang w:val="fr-CH"/>
        </w:rPr>
      </w:pPr>
      <w:bookmarkStart w:id="15" w:name="_Toc450208562"/>
      <w:r w:rsidRPr="00AD7E49">
        <w:rPr>
          <w:lang w:val="fr-CH"/>
        </w:rPr>
        <w:t xml:space="preserve">Etablissement du service de radiodiffusion par satellite dans la bande </w:t>
      </w:r>
      <w:r>
        <w:rPr>
          <w:lang w:val="fr-CH"/>
        </w:rPr>
        <w:t xml:space="preserve">de fréquences </w:t>
      </w:r>
      <w:r w:rsidRPr="00AD7E49">
        <w:rPr>
          <w:lang w:val="fr-CH"/>
        </w:rPr>
        <w:t xml:space="preserve">12,5-12,75 GHz dans la Région 3 et partage avec les </w:t>
      </w:r>
      <w:r w:rsidRPr="00AD7E49">
        <w:rPr>
          <w:lang w:val="fr-CH"/>
        </w:rPr>
        <w:br/>
        <w:t>services spatiaux et de Terre dans les Régions 1, 2 et 3</w:t>
      </w:r>
      <w:bookmarkEnd w:id="15"/>
    </w:p>
    <w:p w14:paraId="40C74B98" w14:textId="77777777" w:rsidR="00FB3F8E" w:rsidRDefault="005B3E51" w:rsidP="00492B79">
      <w:pPr>
        <w:pStyle w:val="Proposal"/>
      </w:pPr>
      <w:r>
        <w:t>(MOD)</w:t>
      </w:r>
      <w:r>
        <w:tab/>
        <w:t>CHN/209/6</w:t>
      </w:r>
    </w:p>
    <w:p w14:paraId="38ABE800" w14:textId="77777777" w:rsidR="004A4B52" w:rsidRPr="00AD7E49" w:rsidRDefault="005B3E51" w:rsidP="00492B79">
      <w:pPr>
        <w:pStyle w:val="Call"/>
        <w:rPr>
          <w:lang w:val="fr-CH"/>
        </w:rPr>
      </w:pPr>
      <w:r w:rsidRPr="00AD7E49">
        <w:rPr>
          <w:lang w:val="fr-CH"/>
        </w:rPr>
        <w:t>décide</w:t>
      </w:r>
    </w:p>
    <w:p w14:paraId="35F0236A" w14:textId="77777777" w:rsidR="004A4B52" w:rsidRPr="00AD7E49" w:rsidRDefault="005B3E51" w:rsidP="00492B79">
      <w:pPr>
        <w:rPr>
          <w:lang w:val="fr-CH"/>
        </w:rPr>
      </w:pPr>
      <w:r w:rsidRPr="00AD7E49">
        <w:rPr>
          <w:lang w:val="fr-CH"/>
        </w:rPr>
        <w:t>1</w:t>
      </w:r>
      <w:r w:rsidRPr="00AD7E49">
        <w:rPr>
          <w:lang w:val="fr-CH"/>
        </w:rPr>
        <w:tab/>
        <w:t>que, jusqu'à ce qu'un plan soit établi pour le service de radiodiffusion par satellite dans la bande</w:t>
      </w:r>
      <w:r w:rsidRPr="0010009B">
        <w:rPr>
          <w:lang w:val="fr-CH"/>
        </w:rPr>
        <w:t xml:space="preserve"> </w:t>
      </w:r>
      <w:r>
        <w:rPr>
          <w:lang w:val="fr-CH"/>
        </w:rPr>
        <w:t>de fréquences</w:t>
      </w:r>
      <w:r w:rsidRPr="00AD7E49">
        <w:rPr>
          <w:lang w:val="fr-CH"/>
        </w:rPr>
        <w:t xml:space="preserve"> 12,5-12,75 GHz dans la Région 3, les dispositions pertinentes des Sections A et B de la Résolution </w:t>
      </w:r>
      <w:r w:rsidRPr="00AD7E49">
        <w:rPr>
          <w:b/>
          <w:bCs/>
          <w:lang w:val="fr-CH"/>
        </w:rPr>
        <w:t>33</w:t>
      </w:r>
      <w:r w:rsidRPr="00AD7E49">
        <w:rPr>
          <w:lang w:val="fr-CH"/>
        </w:rPr>
        <w:t> </w:t>
      </w:r>
      <w:r w:rsidRPr="00AD7E49">
        <w:rPr>
          <w:b/>
          <w:bCs/>
          <w:lang w:val="fr-CH"/>
        </w:rPr>
        <w:t>(Rév.CMR</w:t>
      </w:r>
      <w:r w:rsidRPr="00AD7E49">
        <w:rPr>
          <w:b/>
          <w:bCs/>
          <w:lang w:val="fr-CH"/>
        </w:rPr>
        <w:noBreakHyphen/>
        <w:t>15)</w:t>
      </w:r>
      <w:r w:rsidRPr="00AD7E49">
        <w:rPr>
          <w:lang w:val="fr-CH"/>
        </w:rPr>
        <w:t xml:space="preserve"> ou de l'Article </w:t>
      </w:r>
      <w:r w:rsidRPr="00AD7E49">
        <w:rPr>
          <w:rStyle w:val="ArtrefBold"/>
          <w:lang w:val="fr-CH"/>
        </w:rPr>
        <w:t>9</w:t>
      </w:r>
      <w:r w:rsidRPr="00AD7E49">
        <w:rPr>
          <w:rStyle w:val="Artref"/>
          <w:lang w:val="fr-CH"/>
        </w:rPr>
        <w:t>, selon le cas (voir la Résolution </w:t>
      </w:r>
      <w:r w:rsidRPr="00AD7E49">
        <w:rPr>
          <w:b/>
          <w:bCs/>
          <w:lang w:val="fr-CH"/>
        </w:rPr>
        <w:t>33</w:t>
      </w:r>
      <w:r w:rsidRPr="00AD7E49">
        <w:rPr>
          <w:rStyle w:val="ArtrefBold"/>
          <w:lang w:val="fr-CH"/>
        </w:rPr>
        <w:t xml:space="preserve"> (Rév.CMR</w:t>
      </w:r>
      <w:r w:rsidRPr="00AD7E49">
        <w:rPr>
          <w:rStyle w:val="ArtrefBold"/>
          <w:lang w:val="fr-CH"/>
        </w:rPr>
        <w:noBreakHyphen/>
        <w:t>15)</w:t>
      </w:r>
      <w:r w:rsidRPr="00AD7E49">
        <w:rPr>
          <w:rStyle w:val="Artref"/>
          <w:lang w:val="fr-CH"/>
        </w:rPr>
        <w:t>),</w:t>
      </w:r>
      <w:r w:rsidRPr="00AD7E49">
        <w:rPr>
          <w:lang w:val="fr-CH"/>
        </w:rPr>
        <w:t xml:space="preserve"> continueront à s'appliquer à la coordination entre les stations du service de radiodiffusion par satellite dans la Région 3 et:</w:t>
      </w:r>
    </w:p>
    <w:p w14:paraId="588B640F" w14:textId="77777777" w:rsidR="004A4B52" w:rsidRPr="00AD7E49" w:rsidRDefault="005B3E51" w:rsidP="00492B79">
      <w:pPr>
        <w:pStyle w:val="enumlev1"/>
        <w:rPr>
          <w:lang w:val="fr-CH"/>
        </w:rPr>
      </w:pPr>
      <w:r w:rsidRPr="00AD7E49">
        <w:rPr>
          <w:i/>
          <w:iCs/>
          <w:lang w:val="fr-CH"/>
        </w:rPr>
        <w:t>a)</w:t>
      </w:r>
      <w:r w:rsidRPr="00AD7E49">
        <w:rPr>
          <w:lang w:val="fr-CH"/>
        </w:rPr>
        <w:tab/>
        <w:t>les stations spatiales du service de radiodiffusion par satellite et du service fixe par satellite dans les Régions 1, 2 et 3;</w:t>
      </w:r>
    </w:p>
    <w:p w14:paraId="768A8962" w14:textId="77777777" w:rsidR="004A4B52" w:rsidRPr="00AD7E49" w:rsidRDefault="005B3E51" w:rsidP="00492B79">
      <w:pPr>
        <w:pStyle w:val="enumlev1"/>
        <w:rPr>
          <w:lang w:val="fr-CH"/>
        </w:rPr>
      </w:pPr>
      <w:r w:rsidRPr="00AD7E49">
        <w:rPr>
          <w:i/>
          <w:iCs/>
          <w:lang w:val="fr-CH"/>
        </w:rPr>
        <w:t>b)</w:t>
      </w:r>
      <w:r w:rsidRPr="00AD7E49">
        <w:rPr>
          <w:lang w:val="fr-CH"/>
        </w:rPr>
        <w:tab/>
        <w:t>les stations de Terre dans les Régions 1, 2 et 3;</w:t>
      </w:r>
    </w:p>
    <w:p w14:paraId="3BC5710F" w14:textId="77777777" w:rsidR="004A4B52" w:rsidRPr="00AD7E49" w:rsidRDefault="005B3E51" w:rsidP="00492B79">
      <w:pPr>
        <w:rPr>
          <w:lang w:val="fr-CH"/>
        </w:rPr>
      </w:pPr>
      <w:r w:rsidRPr="00AD7E49">
        <w:rPr>
          <w:lang w:val="fr-CH"/>
        </w:rPr>
        <w:t>2</w:t>
      </w:r>
      <w:r w:rsidRPr="00AD7E49">
        <w:rPr>
          <w:lang w:val="fr-CH"/>
        </w:rPr>
        <w:tab/>
        <w:t>qu'il convient que l'UIT-R étudie d'urgence les dispositions techniques qui pourront être appropriées pour le partage entre les stations du service de radiodiffusion par satellite dans la Région 3 et:</w:t>
      </w:r>
    </w:p>
    <w:p w14:paraId="208F1B0D" w14:textId="77777777" w:rsidR="004A4B52" w:rsidRPr="00AD7E49" w:rsidRDefault="005B3E51" w:rsidP="00492B79">
      <w:pPr>
        <w:pStyle w:val="enumlev1"/>
        <w:rPr>
          <w:lang w:val="fr-CH"/>
        </w:rPr>
      </w:pPr>
      <w:r w:rsidRPr="00AD7E49">
        <w:rPr>
          <w:i/>
          <w:iCs/>
          <w:lang w:val="fr-CH"/>
        </w:rPr>
        <w:t>a)</w:t>
      </w:r>
      <w:r w:rsidRPr="00AD7E49">
        <w:rPr>
          <w:lang w:val="fr-CH"/>
        </w:rPr>
        <w:tab/>
        <w:t>les stations spatiales du service de radiodiffusion par satellite et du service fixe par satellite dans les Régions 1 et 2;</w:t>
      </w:r>
    </w:p>
    <w:p w14:paraId="2D0D89F4" w14:textId="77777777" w:rsidR="004A4B52" w:rsidRPr="00AD7E49" w:rsidRDefault="005B3E51" w:rsidP="00492B79">
      <w:pPr>
        <w:pStyle w:val="enumlev1"/>
        <w:rPr>
          <w:lang w:val="fr-CH"/>
        </w:rPr>
      </w:pPr>
      <w:r w:rsidRPr="00AD7E49">
        <w:rPr>
          <w:i/>
          <w:iCs/>
          <w:lang w:val="fr-CH"/>
        </w:rPr>
        <w:t>b)</w:t>
      </w:r>
      <w:r w:rsidRPr="00AD7E49">
        <w:rPr>
          <w:lang w:val="fr-CH"/>
        </w:rPr>
        <w:tab/>
        <w:t>les stations de Terre dans les Régions 1 et 2;</w:t>
      </w:r>
    </w:p>
    <w:p w14:paraId="7B72335F" w14:textId="77777777" w:rsidR="004A4B52" w:rsidRPr="00AD7E49" w:rsidRDefault="005B3E51" w:rsidP="00492B79">
      <w:pPr>
        <w:rPr>
          <w:lang w:val="fr-CH"/>
        </w:rPr>
      </w:pPr>
      <w:r w:rsidRPr="00AD7E49">
        <w:rPr>
          <w:lang w:val="fr-CH"/>
        </w:rPr>
        <w:t>3</w:t>
      </w:r>
      <w:r w:rsidRPr="00AD7E49">
        <w:rPr>
          <w:lang w:val="fr-CH"/>
        </w:rPr>
        <w:tab/>
        <w:t xml:space="preserve">que, en attendant que des dispositions techniques soient élaborées par l'UIT-R et acceptées par les administrations concernées aux termes de la Résolution </w:t>
      </w:r>
      <w:r w:rsidRPr="00AD7E49">
        <w:rPr>
          <w:b/>
          <w:bCs/>
          <w:lang w:val="fr-CH"/>
        </w:rPr>
        <w:t>703</w:t>
      </w:r>
      <w:r w:rsidRPr="00AD7E49">
        <w:rPr>
          <w:lang w:val="fr-CH"/>
        </w:rPr>
        <w:t xml:space="preserve"> </w:t>
      </w:r>
      <w:r w:rsidRPr="00AD7E49">
        <w:rPr>
          <w:b/>
          <w:bCs/>
          <w:lang w:val="fr-CH"/>
        </w:rPr>
        <w:t>(Rév.CMR-07)</w:t>
      </w:r>
      <w:r w:rsidRPr="00AD7E49">
        <w:rPr>
          <w:lang w:val="fr-CH"/>
        </w:rPr>
        <w:t>, le partage entre les stations spatiales du service de radiodiffusion par satellite dans la Région 3 et les services de Terre dans les Régions 1, 2 et 3 sera fondé sur les critères suivants:</w:t>
      </w:r>
    </w:p>
    <w:p w14:paraId="6729CCA1" w14:textId="77777777" w:rsidR="004A4B52" w:rsidRPr="00AD7E49" w:rsidRDefault="005B3E51" w:rsidP="00492B79">
      <w:pPr>
        <w:pStyle w:val="enumlev1"/>
        <w:rPr>
          <w:lang w:val="fr-CH"/>
        </w:rPr>
      </w:pPr>
      <w:r w:rsidRPr="00AD7E49">
        <w:rPr>
          <w:i/>
          <w:iCs/>
          <w:lang w:val="fr-CH"/>
        </w:rPr>
        <w:t>a)</w:t>
      </w:r>
      <w:r w:rsidRPr="00AD7E49">
        <w:rPr>
          <w:lang w:val="fr-CH"/>
        </w:rPr>
        <w:tab/>
        <w:t xml:space="preserve">la puissance surfacique rayonnée à la surface de la Terre par les émissions d'une station spatiale du service de radiodiffusion par satellite dans la Région 3, quelles que soient les </w:t>
      </w:r>
      <w:r w:rsidRPr="00AD7E49">
        <w:rPr>
          <w:lang w:val="fr-CH"/>
        </w:rPr>
        <w:lastRenderedPageBreak/>
        <w:t xml:space="preserve">conditions et les méthodes de modulation, ne doit pas dépasser les limites indiquées à l'Annexe 5 de l'Appendice </w:t>
      </w:r>
      <w:r w:rsidRPr="005F5EBA">
        <w:rPr>
          <w:rStyle w:val="ApprefBold"/>
          <w:lang w:val="fr-CH"/>
        </w:rPr>
        <w:t>30</w:t>
      </w:r>
      <w:r w:rsidRPr="00AD7E49">
        <w:rPr>
          <w:lang w:val="fr-CH"/>
        </w:rPr>
        <w:t>;</w:t>
      </w:r>
    </w:p>
    <w:p w14:paraId="499C25EA" w14:textId="77777777" w:rsidR="004A4B52" w:rsidRPr="00AD7E49" w:rsidRDefault="005B3E51" w:rsidP="00492B79">
      <w:pPr>
        <w:pStyle w:val="enumlev1"/>
        <w:rPr>
          <w:lang w:val="fr-CH"/>
        </w:rPr>
      </w:pPr>
      <w:r w:rsidRPr="00AD7E49">
        <w:rPr>
          <w:i/>
          <w:iCs/>
          <w:lang w:val="fr-CH"/>
        </w:rPr>
        <w:t>b)</w:t>
      </w:r>
      <w:r w:rsidRPr="00AD7E49">
        <w:rPr>
          <w:lang w:val="fr-CH"/>
        </w:rPr>
        <w:tab/>
        <w:t xml:space="preserve">en plus du critère du </w:t>
      </w:r>
      <w:r w:rsidRPr="00AD7E49">
        <w:rPr>
          <w:i/>
          <w:iCs/>
          <w:lang w:val="fr-CH"/>
        </w:rPr>
        <w:t>décide</w:t>
      </w:r>
      <w:r w:rsidRPr="00AD7E49">
        <w:rPr>
          <w:lang w:val="fr-CH"/>
        </w:rPr>
        <w:t xml:space="preserve"> 3 </w:t>
      </w:r>
      <w:r w:rsidRPr="00AD7E49">
        <w:rPr>
          <w:i/>
          <w:iCs/>
          <w:lang w:val="fr-CH"/>
        </w:rPr>
        <w:t>a)</w:t>
      </w:r>
      <w:r w:rsidRPr="00AD7E49">
        <w:rPr>
          <w:lang w:val="fr-CH"/>
        </w:rPr>
        <w:t>, les dispositions de l'Article </w:t>
      </w:r>
      <w:r w:rsidRPr="00AD7E49">
        <w:rPr>
          <w:rStyle w:val="ArtrefBold"/>
          <w:lang w:val="fr-CH"/>
        </w:rPr>
        <w:t>21</w:t>
      </w:r>
      <w:r w:rsidRPr="00AD7E49">
        <w:rPr>
          <w:lang w:val="fr-CH"/>
        </w:rPr>
        <w:t xml:space="preserve"> (Tableau </w:t>
      </w:r>
      <w:r w:rsidRPr="00AD7E49">
        <w:rPr>
          <w:b/>
          <w:bCs/>
          <w:lang w:val="fr-CH"/>
        </w:rPr>
        <w:t>21-4</w:t>
      </w:r>
      <w:r w:rsidRPr="00AD7E49">
        <w:rPr>
          <w:lang w:val="fr-CH"/>
        </w:rPr>
        <w:t xml:space="preserve">) doivent s'appliquer aux pays mentionnés aux numéros </w:t>
      </w:r>
      <w:r w:rsidRPr="00AD7E49">
        <w:rPr>
          <w:rStyle w:val="ArtrefBold"/>
          <w:lang w:val="fr-CH"/>
        </w:rPr>
        <w:t>5.494</w:t>
      </w:r>
      <w:r w:rsidRPr="00AD7E49">
        <w:rPr>
          <w:lang w:val="fr-CH"/>
        </w:rPr>
        <w:t xml:space="preserve"> et </w:t>
      </w:r>
      <w:r w:rsidRPr="00AD7E49">
        <w:rPr>
          <w:rStyle w:val="ArtrefBold"/>
          <w:lang w:val="fr-CH"/>
        </w:rPr>
        <w:t>5.496</w:t>
      </w:r>
      <w:r w:rsidRPr="00AD7E49">
        <w:rPr>
          <w:lang w:val="fr-CH"/>
        </w:rPr>
        <w:t>;</w:t>
      </w:r>
    </w:p>
    <w:p w14:paraId="06674B4B" w14:textId="77777777" w:rsidR="004A4B52" w:rsidRPr="00AD7E49" w:rsidRDefault="005B3E51" w:rsidP="00492B79">
      <w:pPr>
        <w:pStyle w:val="enumlev1"/>
        <w:rPr>
          <w:lang w:val="fr-CH"/>
        </w:rPr>
      </w:pPr>
      <w:r w:rsidRPr="00AD7E49">
        <w:rPr>
          <w:i/>
          <w:iCs/>
          <w:lang w:val="fr-CH"/>
        </w:rPr>
        <w:t>c)</w:t>
      </w:r>
      <w:r w:rsidRPr="00AD7E49">
        <w:rPr>
          <w:lang w:val="fr-CH"/>
        </w:rPr>
        <w:tab/>
        <w:t xml:space="preserve">les limites indiquées aux </w:t>
      </w:r>
      <w:r w:rsidRPr="00AD7E49">
        <w:rPr>
          <w:i/>
          <w:iCs/>
          <w:lang w:val="fr-CH"/>
        </w:rPr>
        <w:t>décide</w:t>
      </w:r>
      <w:r w:rsidRPr="00AD7E49">
        <w:rPr>
          <w:lang w:val="fr-CH"/>
        </w:rPr>
        <w:t xml:space="preserve"> 3 </w:t>
      </w:r>
      <w:r w:rsidRPr="00AD7E49">
        <w:rPr>
          <w:i/>
          <w:iCs/>
          <w:lang w:val="fr-CH"/>
        </w:rPr>
        <w:t xml:space="preserve">a) </w:t>
      </w:r>
      <w:r w:rsidRPr="00AD7E49">
        <w:rPr>
          <w:lang w:val="fr-CH"/>
        </w:rPr>
        <w:t xml:space="preserve">et </w:t>
      </w:r>
      <w:r w:rsidRPr="00AD7E49">
        <w:rPr>
          <w:i/>
          <w:iCs/>
          <w:lang w:val="fr-CH"/>
        </w:rPr>
        <w:t>b)</w:t>
      </w:r>
      <w:r w:rsidRPr="00AD7E49">
        <w:rPr>
          <w:lang w:val="fr-CH"/>
        </w:rPr>
        <w:t xml:space="preserve"> peuvent être dépassées sur le territoire d'un pays, à condition que l'administration de ce pays en soit d'accord.</w:t>
      </w:r>
    </w:p>
    <w:p w14:paraId="43C02216" w14:textId="198A242E" w:rsidR="00FB3F8E" w:rsidRDefault="005B3E51" w:rsidP="00492B79">
      <w:pPr>
        <w:pStyle w:val="Reasons"/>
      </w:pPr>
      <w:r>
        <w:rPr>
          <w:b/>
        </w:rPr>
        <w:t>Motifs:</w:t>
      </w:r>
      <w:r>
        <w:tab/>
      </w:r>
      <w:r w:rsidR="007949C7" w:rsidRPr="007949C7">
        <w:t>Chinois uniquement</w:t>
      </w:r>
      <w:r w:rsidR="007949C7">
        <w:t>.</w:t>
      </w:r>
    </w:p>
    <w:p w14:paraId="3CE8756B" w14:textId="77777777" w:rsidR="004A4B52" w:rsidRPr="00134885" w:rsidRDefault="005B3E51" w:rsidP="00492B79">
      <w:pPr>
        <w:pStyle w:val="ResNo"/>
        <w:rPr>
          <w:lang w:val="fr-CH"/>
        </w:rPr>
      </w:pPr>
      <w:r w:rsidRPr="00134885">
        <w:rPr>
          <w:lang w:val="fr-CH"/>
        </w:rPr>
        <w:t xml:space="preserve">RÉSOLUTION </w:t>
      </w:r>
      <w:r w:rsidRPr="00134885">
        <w:rPr>
          <w:rStyle w:val="href"/>
          <w:lang w:val="fr-CH"/>
        </w:rPr>
        <w:t>212</w:t>
      </w:r>
      <w:r w:rsidRPr="00134885">
        <w:rPr>
          <w:lang w:val="fr-CH"/>
        </w:rPr>
        <w:t xml:space="preserve"> (RÉV.CMR-15)</w:t>
      </w:r>
    </w:p>
    <w:p w14:paraId="3CED5207" w14:textId="77777777" w:rsidR="004A4B52" w:rsidRPr="00134885" w:rsidRDefault="005B3E51" w:rsidP="00492B79">
      <w:pPr>
        <w:pStyle w:val="Restitle"/>
        <w:rPr>
          <w:lang w:val="fr-CH"/>
        </w:rPr>
      </w:pPr>
      <w:bookmarkStart w:id="16" w:name="_Toc450208643"/>
      <w:r w:rsidRPr="00134885">
        <w:rPr>
          <w:lang w:val="fr-CH"/>
        </w:rPr>
        <w:t>Mise en œuvre des Télécommunications mobiles internationales</w:t>
      </w:r>
      <w:r>
        <w:rPr>
          <w:lang w:val="fr-CH"/>
        </w:rPr>
        <w:t xml:space="preserve"> </w:t>
      </w:r>
      <w:r w:rsidRPr="00134885">
        <w:rPr>
          <w:lang w:val="fr-CH"/>
        </w:rPr>
        <w:t>dans les bandes</w:t>
      </w:r>
      <w:r>
        <w:rPr>
          <w:lang w:val="fr-CH"/>
        </w:rPr>
        <w:t xml:space="preserve"> de fréquences</w:t>
      </w:r>
      <w:r w:rsidRPr="00134885">
        <w:rPr>
          <w:lang w:val="fr-CH"/>
        </w:rPr>
        <w:t xml:space="preserve"> 1 885</w:t>
      </w:r>
      <w:r w:rsidRPr="00134885">
        <w:rPr>
          <w:lang w:val="fr-CH"/>
        </w:rPr>
        <w:noBreakHyphen/>
        <w:t>2 025 MHz et 2 110</w:t>
      </w:r>
      <w:r w:rsidRPr="00134885">
        <w:rPr>
          <w:lang w:val="fr-CH"/>
        </w:rPr>
        <w:noBreakHyphen/>
        <w:t>2 200 MHz</w:t>
      </w:r>
      <w:bookmarkEnd w:id="16"/>
    </w:p>
    <w:p w14:paraId="7770AD4F" w14:textId="77777777" w:rsidR="00FB3F8E" w:rsidRDefault="005B3E51" w:rsidP="00492B79">
      <w:pPr>
        <w:pStyle w:val="Proposal"/>
      </w:pPr>
      <w:r>
        <w:t>(MOD)</w:t>
      </w:r>
      <w:r>
        <w:tab/>
        <w:t>CHN/209/7</w:t>
      </w:r>
    </w:p>
    <w:p w14:paraId="38B59694" w14:textId="77777777" w:rsidR="004A4B52" w:rsidRPr="00134885" w:rsidRDefault="005B3E51" w:rsidP="00492B79">
      <w:pPr>
        <w:pStyle w:val="Call"/>
        <w:rPr>
          <w:lang w:val="fr-CH"/>
        </w:rPr>
      </w:pPr>
      <w:r w:rsidRPr="00134885">
        <w:rPr>
          <w:lang w:val="fr-CH"/>
        </w:rPr>
        <w:t>considérant</w:t>
      </w:r>
    </w:p>
    <w:p w14:paraId="295E6E61" w14:textId="77777777" w:rsidR="004A4B52" w:rsidRPr="00134885" w:rsidRDefault="005B3E51" w:rsidP="00492B79">
      <w:pPr>
        <w:rPr>
          <w:lang w:val="fr-CH"/>
        </w:rPr>
      </w:pPr>
      <w:r w:rsidRPr="00134885">
        <w:rPr>
          <w:i/>
          <w:iCs/>
          <w:lang w:val="fr-CH"/>
        </w:rPr>
        <w:t>a)</w:t>
      </w:r>
      <w:r w:rsidRPr="00134885">
        <w:rPr>
          <w:lang w:val="fr-CH"/>
        </w:rPr>
        <w:tab/>
        <w:t>que la Résolution UIT</w:t>
      </w:r>
      <w:r w:rsidRPr="00134885">
        <w:rPr>
          <w:lang w:val="fr-CH"/>
        </w:rPr>
        <w:noBreakHyphen/>
        <w:t>R 56 dé</w:t>
      </w:r>
      <w:r>
        <w:rPr>
          <w:lang w:val="fr-CH"/>
        </w:rPr>
        <w:t xml:space="preserve">finit les appellations pour les </w:t>
      </w:r>
      <w:r w:rsidRPr="00134885">
        <w:rPr>
          <w:lang w:val="fr-CH"/>
        </w:rPr>
        <w:t>Télécommunications mobiles internationales (IMT);</w:t>
      </w:r>
    </w:p>
    <w:p w14:paraId="26BD4513" w14:textId="77777777" w:rsidR="004A4B52" w:rsidRPr="00134885" w:rsidRDefault="005B3E51" w:rsidP="00492B79">
      <w:pPr>
        <w:rPr>
          <w:lang w:val="fr-CH"/>
        </w:rPr>
      </w:pPr>
      <w:r w:rsidRPr="00134885">
        <w:rPr>
          <w:i/>
          <w:iCs/>
          <w:lang w:val="fr-CH"/>
        </w:rPr>
        <w:t>b)</w:t>
      </w:r>
      <w:r w:rsidRPr="00134885">
        <w:rPr>
          <w:lang w:val="fr-CH"/>
        </w:rPr>
        <w:tab/>
        <w:t>que</w:t>
      </w:r>
      <w:r>
        <w:rPr>
          <w:lang w:val="fr-CH"/>
        </w:rPr>
        <w:t xml:space="preserve"> le Secteur des radiocommunications de</w:t>
      </w:r>
      <w:r w:rsidRPr="00134885">
        <w:rPr>
          <w:lang w:val="fr-CH"/>
        </w:rPr>
        <w:t xml:space="preserve"> l'UIT</w:t>
      </w:r>
      <w:r>
        <w:rPr>
          <w:lang w:val="fr-CH"/>
        </w:rPr>
        <w:t xml:space="preserve"> (UIT</w:t>
      </w:r>
      <w:r w:rsidRPr="00134885">
        <w:rPr>
          <w:lang w:val="fr-CH"/>
        </w:rPr>
        <w:t>-R</w:t>
      </w:r>
      <w:r>
        <w:rPr>
          <w:lang w:val="fr-CH"/>
        </w:rPr>
        <w:t>), en vue de la CMR</w:t>
      </w:r>
      <w:r>
        <w:rPr>
          <w:lang w:val="fr-CH"/>
        </w:rPr>
        <w:noBreakHyphen/>
        <w:t>97, a </w:t>
      </w:r>
      <w:r w:rsidRPr="00134885">
        <w:rPr>
          <w:lang w:val="fr-CH"/>
        </w:rPr>
        <w:t>recommandé l'utilisation d'environ 230 MHz par la composante de Terre et la composante satellite des IMT;</w:t>
      </w:r>
    </w:p>
    <w:p w14:paraId="460FA878" w14:textId="77777777" w:rsidR="004A4B52" w:rsidRPr="00134885" w:rsidRDefault="005B3E51" w:rsidP="00492B79">
      <w:pPr>
        <w:rPr>
          <w:lang w:val="fr-CH"/>
        </w:rPr>
      </w:pPr>
      <w:r w:rsidRPr="00134885">
        <w:rPr>
          <w:i/>
          <w:iCs/>
          <w:lang w:val="fr-CH"/>
        </w:rPr>
        <w:t>c)</w:t>
      </w:r>
      <w:r w:rsidRPr="00134885">
        <w:rPr>
          <w:i/>
          <w:iCs/>
          <w:lang w:val="fr-CH"/>
        </w:rPr>
        <w:tab/>
      </w:r>
      <w:r w:rsidRPr="00134885">
        <w:rPr>
          <w:lang w:val="fr-CH"/>
        </w:rPr>
        <w:t>que, selon des études de l'UIT</w:t>
      </w:r>
      <w:r w:rsidRPr="00134885">
        <w:rPr>
          <w:lang w:val="fr-CH"/>
        </w:rPr>
        <w:noBreakHyphen/>
        <w:t>R, des bandes de fréquences additionnelles seront peut</w:t>
      </w:r>
      <w:r w:rsidRPr="00134885">
        <w:rPr>
          <w:lang w:val="fr-CH"/>
        </w:rPr>
        <w:noBreakHyphen/>
        <w:t>être nécessaires pour prendre en charge les services futurs des IMT, répondre aux besoins futurs des utilisateurs et pour permettre le déploiement de réseaux;</w:t>
      </w:r>
    </w:p>
    <w:p w14:paraId="61BED0C5" w14:textId="77777777" w:rsidR="004A4B52" w:rsidRPr="00134885" w:rsidRDefault="005B3E51" w:rsidP="00492B79">
      <w:pPr>
        <w:rPr>
          <w:lang w:val="fr-CH"/>
        </w:rPr>
      </w:pPr>
      <w:r w:rsidRPr="00134885">
        <w:rPr>
          <w:i/>
          <w:iCs/>
          <w:lang w:val="fr-CH"/>
        </w:rPr>
        <w:t>d)</w:t>
      </w:r>
      <w:r w:rsidRPr="00134885">
        <w:rPr>
          <w:lang w:val="fr-CH"/>
        </w:rPr>
        <w:tab/>
        <w:t>que l'UIT-R a reconnu que les techniques spatiales font partie intégrante des IMT;</w:t>
      </w:r>
    </w:p>
    <w:p w14:paraId="705BF2D9" w14:textId="77777777" w:rsidR="004A4B52" w:rsidRPr="00134885" w:rsidRDefault="005B3E51" w:rsidP="00492B79">
      <w:pPr>
        <w:rPr>
          <w:lang w:val="fr-CH"/>
        </w:rPr>
      </w:pPr>
      <w:r w:rsidRPr="00134885">
        <w:rPr>
          <w:i/>
          <w:iCs/>
          <w:lang w:val="fr-CH"/>
        </w:rPr>
        <w:t>e)</w:t>
      </w:r>
      <w:r w:rsidRPr="00134885">
        <w:rPr>
          <w:lang w:val="fr-CH"/>
        </w:rPr>
        <w:tab/>
        <w:t>que la CAMR</w:t>
      </w:r>
      <w:r w:rsidRPr="00134885">
        <w:rPr>
          <w:lang w:val="fr-CH"/>
        </w:rPr>
        <w:noBreakHyphen/>
        <w:t xml:space="preserve">92 a identifié, au numéro </w:t>
      </w:r>
      <w:r w:rsidRPr="00134885">
        <w:rPr>
          <w:b/>
          <w:bCs/>
          <w:lang w:val="fr-CH"/>
        </w:rPr>
        <w:t>5.388</w:t>
      </w:r>
      <w:r w:rsidRPr="00134885">
        <w:rPr>
          <w:lang w:val="fr-CH"/>
        </w:rPr>
        <w:t>, des bandes de fréquences pour prendre en charge certains services mobiles, aujourd'hui appelés IMT,</w:t>
      </w:r>
    </w:p>
    <w:p w14:paraId="12807482" w14:textId="6FB1B2FD" w:rsidR="00FB3F8E" w:rsidRDefault="005B3E51" w:rsidP="00492B79">
      <w:pPr>
        <w:pStyle w:val="Reasons"/>
      </w:pPr>
      <w:r>
        <w:rPr>
          <w:b/>
        </w:rPr>
        <w:t>Motifs:</w:t>
      </w:r>
      <w:r>
        <w:tab/>
      </w:r>
      <w:r w:rsidR="007949C7" w:rsidRPr="007949C7">
        <w:t>Chinois uniquement</w:t>
      </w:r>
      <w:r w:rsidR="007949C7">
        <w:t>.</w:t>
      </w:r>
    </w:p>
    <w:p w14:paraId="65025480" w14:textId="77777777" w:rsidR="004A4B52" w:rsidRPr="00FA7AE9" w:rsidRDefault="005B3E51" w:rsidP="00492B79">
      <w:pPr>
        <w:pStyle w:val="ResNo"/>
      </w:pPr>
      <w:r w:rsidRPr="00FA7AE9">
        <w:t xml:space="preserve">RÉSOLUTION </w:t>
      </w:r>
      <w:r w:rsidRPr="00FA7AE9">
        <w:rPr>
          <w:rStyle w:val="href"/>
        </w:rPr>
        <w:t>750</w:t>
      </w:r>
      <w:r w:rsidRPr="00FA7AE9">
        <w:t xml:space="preserve"> (RÉV.CMR-</w:t>
      </w:r>
      <w:r>
        <w:t>15</w:t>
      </w:r>
      <w:r w:rsidRPr="00FA7AE9">
        <w:t>)</w:t>
      </w:r>
    </w:p>
    <w:p w14:paraId="257091F6" w14:textId="77777777" w:rsidR="004A4B52" w:rsidRPr="009C7CEE" w:rsidRDefault="005B3E51" w:rsidP="00492B79">
      <w:pPr>
        <w:pStyle w:val="Restitle"/>
      </w:pPr>
      <w:bookmarkStart w:id="17" w:name="_Toc450208801"/>
      <w:r w:rsidRPr="00FA7AE9">
        <w:t xml:space="preserve">Compatibilité entre le service d'exploration de la Terre </w:t>
      </w:r>
      <w:r w:rsidRPr="00FA7AE9">
        <w:br/>
      </w:r>
      <w:r w:rsidRPr="00DD4258">
        <w:rPr>
          <w:lang w:val="fr-CH"/>
        </w:rPr>
        <w:t>par</w:t>
      </w:r>
      <w:r w:rsidRPr="00FA7AE9">
        <w:t xml:space="preserve"> satellite (passive) et les services actifs concernés</w:t>
      </w:r>
      <w:bookmarkEnd w:id="17"/>
    </w:p>
    <w:p w14:paraId="6A9C4D93" w14:textId="77777777" w:rsidR="00FB3F8E" w:rsidRDefault="005B3E51" w:rsidP="00492B79">
      <w:pPr>
        <w:pStyle w:val="Proposal"/>
      </w:pPr>
      <w:r>
        <w:t>(MOD)</w:t>
      </w:r>
      <w:r>
        <w:tab/>
        <w:t>CHN/209/8</w:t>
      </w:r>
    </w:p>
    <w:p w14:paraId="0958FDFC" w14:textId="77777777" w:rsidR="004A4B52" w:rsidRPr="00F95D3F" w:rsidRDefault="005B3E51" w:rsidP="00492B79">
      <w:pPr>
        <w:pStyle w:val="Call"/>
      </w:pPr>
      <w:r w:rsidRPr="00F95D3F">
        <w:t>décide</w:t>
      </w:r>
    </w:p>
    <w:p w14:paraId="36147082" w14:textId="77777777" w:rsidR="004A4B52" w:rsidRPr="00F95D3F" w:rsidRDefault="005B3E51" w:rsidP="00492B79">
      <w:r w:rsidRPr="00F95D3F">
        <w:t>1</w:t>
      </w:r>
      <w:r w:rsidRPr="00F95D3F">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14:paraId="492CFB66" w14:textId="77777777" w:rsidR="004A4B52" w:rsidRPr="00F95D3F" w:rsidRDefault="005B3E51" w:rsidP="00492B79">
      <w:r w:rsidRPr="00F95D3F">
        <w:t>2</w:t>
      </w:r>
      <w:r w:rsidRPr="00F95D3F">
        <w:tab/>
        <w:t xml:space="preserve">de prier instamment les administrations de prendre toutes les mesures raisonnables pour faire en sorte que les rayonnements non désirés produits par des stations des services actifs dans les bandes et pour les services énumérés dans le Tableau 1-2 ci-dessous ne dépassent pas les niveaux maximaux recommandés indiqués dans ce Tableau, sachant que les détecteurs du SETS (passive) </w:t>
      </w:r>
      <w:r w:rsidRPr="00F95D3F">
        <w:lastRenderedPageBreak/>
        <w:t>fournissent des mesures à l'échelle mondiale qui sont utiles à tous les pays, même si ces détecteurs ne sont pas exploités par leur pays;</w:t>
      </w:r>
    </w:p>
    <w:p w14:paraId="5DB55F87" w14:textId="77777777" w:rsidR="004A4B52" w:rsidRDefault="005B3E51" w:rsidP="00492B79">
      <w:r w:rsidRPr="00F95D3F">
        <w:t>3</w:t>
      </w:r>
      <w:r w:rsidRPr="00F95D3F">
        <w:tab/>
        <w:t>que le Bureau des radiocommunications ne doit procéder à aucun examen ni formuler aucune conclusion du point de vue de la conformité à la présente Résolution au titre de l'Article </w:t>
      </w:r>
      <w:r w:rsidRPr="008C0EDF">
        <w:rPr>
          <w:b/>
          <w:bCs/>
        </w:rPr>
        <w:t>9</w:t>
      </w:r>
      <w:r w:rsidRPr="00F95D3F">
        <w:t xml:space="preserve"> ou de l'Article </w:t>
      </w:r>
      <w:r w:rsidRPr="008C0EDF">
        <w:rPr>
          <w:b/>
          <w:bCs/>
        </w:rPr>
        <w:t>11</w:t>
      </w:r>
      <w:r w:rsidRPr="00F95D3F">
        <w:t>.</w:t>
      </w:r>
    </w:p>
    <w:p w14:paraId="121EB854" w14:textId="77777777" w:rsidR="004A4B52" w:rsidRPr="00F95D3F" w:rsidRDefault="005B3E51" w:rsidP="00492B79">
      <w:pPr>
        <w:pStyle w:val="TableNo"/>
      </w:pPr>
      <w:r w:rsidRPr="004E42F2">
        <w:t>TABLEAU</w:t>
      </w:r>
      <w:r w:rsidRPr="00F95D3F">
        <w:t xml:space="preserve"> 1-1</w:t>
      </w:r>
    </w:p>
    <w:tbl>
      <w:tblPr>
        <w:tblW w:w="9639" w:type="dxa"/>
        <w:jc w:val="center"/>
        <w:tblLayout w:type="fixed"/>
        <w:tblLook w:val="01E0" w:firstRow="1" w:lastRow="1" w:firstColumn="1" w:lastColumn="1" w:noHBand="0" w:noVBand="0"/>
      </w:tblPr>
      <w:tblGrid>
        <w:gridCol w:w="1418"/>
        <w:gridCol w:w="1559"/>
        <w:gridCol w:w="1701"/>
        <w:gridCol w:w="4961"/>
      </w:tblGrid>
      <w:tr w:rsidR="004A4B52" w:rsidRPr="00F95D3F" w14:paraId="2DCBB3B9"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tcPr>
          <w:p w14:paraId="3F9232C7" w14:textId="77777777" w:rsidR="004A4B52" w:rsidRPr="00F95D3F" w:rsidRDefault="005B3E51" w:rsidP="00492B79">
            <w:pPr>
              <w:pStyle w:val="Tablehead"/>
              <w:keepNext w:val="0"/>
            </w:pPr>
            <w:r w:rsidRPr="00F95D3F">
              <w:t>Bande attribuée au SETS (passive)</w:t>
            </w:r>
          </w:p>
        </w:tc>
        <w:tc>
          <w:tcPr>
            <w:tcW w:w="1559" w:type="dxa"/>
            <w:tcBorders>
              <w:top w:val="single" w:sz="4" w:space="0" w:color="auto"/>
              <w:left w:val="single" w:sz="4" w:space="0" w:color="auto"/>
              <w:bottom w:val="single" w:sz="4" w:space="0" w:color="auto"/>
              <w:right w:val="single" w:sz="4" w:space="0" w:color="auto"/>
            </w:tcBorders>
          </w:tcPr>
          <w:p w14:paraId="66B2C1F9" w14:textId="77777777" w:rsidR="004A4B52" w:rsidRPr="00F95D3F" w:rsidRDefault="005B3E51" w:rsidP="00492B79">
            <w:pPr>
              <w:pStyle w:val="Tablehead"/>
              <w:keepLines/>
            </w:pPr>
            <w:r w:rsidRPr="00F95D3F">
              <w:t>Bande attribuée aux services actifs</w:t>
            </w:r>
          </w:p>
        </w:tc>
        <w:tc>
          <w:tcPr>
            <w:tcW w:w="1701" w:type="dxa"/>
            <w:tcBorders>
              <w:top w:val="single" w:sz="4" w:space="0" w:color="auto"/>
              <w:left w:val="single" w:sz="4" w:space="0" w:color="auto"/>
              <w:bottom w:val="single" w:sz="4" w:space="0" w:color="auto"/>
              <w:right w:val="single" w:sz="4" w:space="0" w:color="auto"/>
            </w:tcBorders>
          </w:tcPr>
          <w:p w14:paraId="72C86ACF" w14:textId="77777777" w:rsidR="004A4B52" w:rsidRPr="00F95D3F" w:rsidRDefault="005B3E51" w:rsidP="00492B79">
            <w:pPr>
              <w:pStyle w:val="Tablehead"/>
              <w:keepLines/>
            </w:pPr>
            <w:r w:rsidRPr="00F95D3F">
              <w:t>Service actif</w:t>
            </w:r>
          </w:p>
        </w:tc>
        <w:tc>
          <w:tcPr>
            <w:tcW w:w="4961" w:type="dxa"/>
            <w:tcBorders>
              <w:top w:val="single" w:sz="4" w:space="0" w:color="auto"/>
              <w:left w:val="single" w:sz="4" w:space="0" w:color="auto"/>
              <w:bottom w:val="single" w:sz="4" w:space="0" w:color="auto"/>
              <w:right w:val="single" w:sz="4" w:space="0" w:color="auto"/>
            </w:tcBorders>
          </w:tcPr>
          <w:p w14:paraId="0DB682FC" w14:textId="77777777" w:rsidR="004A4B52" w:rsidRPr="00F95D3F" w:rsidRDefault="005B3E51" w:rsidP="00492B79">
            <w:pPr>
              <w:pStyle w:val="Tablehead"/>
              <w:keepLines/>
            </w:pPr>
            <w:r w:rsidRPr="00F95D3F">
              <w:t>Limites de puissance des rayonnements non désirés produits par les stations des services actifs</w:t>
            </w:r>
            <w:r w:rsidRPr="00F95D3F">
              <w:br/>
              <w:t>dans une largeur spécifiée de la bande</w:t>
            </w:r>
            <w:r w:rsidRPr="00F95D3F">
              <w:br/>
              <w:t>attribuée au SETS (passive)</w:t>
            </w:r>
            <w:r w:rsidRPr="00F95D3F">
              <w:rPr>
                <w:vertAlign w:val="superscript"/>
              </w:rPr>
              <w:t>1</w:t>
            </w:r>
          </w:p>
        </w:tc>
      </w:tr>
      <w:tr w:rsidR="004A4B52" w:rsidRPr="00F95D3F" w14:paraId="36E18798"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7ABA8031" w14:textId="77777777" w:rsidR="004A4B52" w:rsidRPr="00F95D3F" w:rsidRDefault="005B3E51" w:rsidP="00492B79">
            <w:pPr>
              <w:pStyle w:val="Tabletext"/>
              <w:jc w:val="center"/>
            </w:pPr>
            <w:r>
              <w:t>1 400-</w:t>
            </w:r>
            <w:r>
              <w:br/>
              <w:t>1 427 MHz</w:t>
            </w:r>
          </w:p>
        </w:tc>
        <w:tc>
          <w:tcPr>
            <w:tcW w:w="1559" w:type="dxa"/>
            <w:tcBorders>
              <w:top w:val="single" w:sz="4" w:space="0" w:color="auto"/>
              <w:left w:val="single" w:sz="4" w:space="0" w:color="auto"/>
              <w:bottom w:val="single" w:sz="4" w:space="0" w:color="auto"/>
              <w:right w:val="single" w:sz="4" w:space="0" w:color="auto"/>
            </w:tcBorders>
            <w:vAlign w:val="center"/>
          </w:tcPr>
          <w:p w14:paraId="5FD4DCA6" w14:textId="77777777" w:rsidR="004A4B52" w:rsidRPr="00F95D3F" w:rsidRDefault="005B3E51" w:rsidP="00492B79">
            <w:pPr>
              <w:pStyle w:val="Tabletext"/>
              <w:keepNext/>
              <w:keepLines/>
              <w:jc w:val="center"/>
            </w:pPr>
            <w:r>
              <w:t>1 427-</w:t>
            </w:r>
            <w:r>
              <w:br/>
              <w:t>1 452 MHz</w:t>
            </w:r>
          </w:p>
        </w:tc>
        <w:tc>
          <w:tcPr>
            <w:tcW w:w="1701" w:type="dxa"/>
            <w:tcBorders>
              <w:top w:val="single" w:sz="4" w:space="0" w:color="auto"/>
              <w:left w:val="single" w:sz="4" w:space="0" w:color="auto"/>
              <w:bottom w:val="single" w:sz="4" w:space="0" w:color="auto"/>
              <w:right w:val="single" w:sz="4" w:space="0" w:color="auto"/>
            </w:tcBorders>
            <w:vAlign w:val="center"/>
          </w:tcPr>
          <w:p w14:paraId="0421A819" w14:textId="77777777" w:rsidR="004A4B52" w:rsidRPr="00F95D3F" w:rsidRDefault="005B3E51" w:rsidP="00492B79">
            <w:pPr>
              <w:pStyle w:val="Tabletext"/>
              <w:keepNext/>
              <w:keepLines/>
              <w:jc w:val="center"/>
            </w:pPr>
            <w:r>
              <w:t>Mobile</w:t>
            </w:r>
          </w:p>
        </w:tc>
        <w:tc>
          <w:tcPr>
            <w:tcW w:w="4961" w:type="dxa"/>
            <w:tcBorders>
              <w:top w:val="single" w:sz="4" w:space="0" w:color="auto"/>
              <w:left w:val="single" w:sz="4" w:space="0" w:color="auto"/>
              <w:bottom w:val="single" w:sz="4" w:space="0" w:color="auto"/>
              <w:right w:val="single" w:sz="4" w:space="0" w:color="auto"/>
            </w:tcBorders>
          </w:tcPr>
          <w:p w14:paraId="1A3A67C1" w14:textId="77777777" w:rsidR="004A4B52" w:rsidRDefault="005B3E51" w:rsidP="00492B79">
            <w:pPr>
              <w:pStyle w:val="Tabletext"/>
              <w:keepNext/>
              <w:keepLines/>
            </w:pPr>
            <w:r w:rsidRPr="00244FDE">
              <w:t>−72 dBW dans les 27 MHz de la bande attribuée au SETS (passive) pour les stations de base IMT</w:t>
            </w:r>
          </w:p>
          <w:p w14:paraId="4DAB1215" w14:textId="77777777" w:rsidR="004A4B52" w:rsidRPr="00F95D3F" w:rsidRDefault="005B3E51" w:rsidP="00492B79">
            <w:pPr>
              <w:pStyle w:val="Tabletext"/>
              <w:keepNext/>
              <w:keepLines/>
            </w:pPr>
            <w:r>
              <w:t>−62</w:t>
            </w:r>
            <w:r w:rsidRPr="00244FDE">
              <w:t xml:space="preserve"> dBW dans les 27 MHz de la bande attribuée au SETS (passive) pour les stations </w:t>
            </w:r>
            <w:r>
              <w:t>mobiles</w:t>
            </w:r>
            <w:r w:rsidRPr="00244FDE">
              <w:t xml:space="preserve"> IMT</w:t>
            </w:r>
            <w:r w:rsidRPr="00134885">
              <w:rPr>
                <w:vertAlign w:val="superscript"/>
              </w:rPr>
              <w:t>2, 3</w:t>
            </w:r>
          </w:p>
        </w:tc>
      </w:tr>
      <w:tr w:rsidR="004A4B52" w:rsidRPr="00F95D3F" w14:paraId="22AFD071"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051BB581" w14:textId="77777777" w:rsidR="004A4B52" w:rsidRPr="00F95D3F" w:rsidRDefault="005B3E51" w:rsidP="00492B79">
            <w:pPr>
              <w:pStyle w:val="Tabletext"/>
              <w:jc w:val="center"/>
            </w:pPr>
            <w:r w:rsidRPr="00F95D3F">
              <w:t>23,6</w:t>
            </w:r>
            <w:r>
              <w:t>-</w:t>
            </w:r>
            <w:r w:rsidRPr="00F95D3F">
              <w:t>24,0 GHz</w:t>
            </w:r>
          </w:p>
        </w:tc>
        <w:tc>
          <w:tcPr>
            <w:tcW w:w="1559" w:type="dxa"/>
            <w:tcBorders>
              <w:top w:val="single" w:sz="4" w:space="0" w:color="auto"/>
              <w:left w:val="single" w:sz="4" w:space="0" w:color="auto"/>
              <w:bottom w:val="single" w:sz="4" w:space="0" w:color="auto"/>
              <w:right w:val="single" w:sz="4" w:space="0" w:color="auto"/>
            </w:tcBorders>
            <w:vAlign w:val="center"/>
          </w:tcPr>
          <w:p w14:paraId="130EBCD4" w14:textId="77777777" w:rsidR="004A4B52" w:rsidRPr="00F95D3F" w:rsidRDefault="005B3E51" w:rsidP="00492B79">
            <w:pPr>
              <w:pStyle w:val="Tabletext"/>
              <w:keepNext/>
              <w:keepLines/>
              <w:ind w:left="-57" w:right="-57"/>
              <w:jc w:val="center"/>
            </w:pPr>
            <w:r w:rsidRPr="00F95D3F">
              <w:t>22,55</w:t>
            </w:r>
            <w:r>
              <w:t>-</w:t>
            </w:r>
            <w:r w:rsidRPr="00F95D3F">
              <w:t>23,55 GHz</w:t>
            </w:r>
          </w:p>
        </w:tc>
        <w:tc>
          <w:tcPr>
            <w:tcW w:w="1701" w:type="dxa"/>
            <w:tcBorders>
              <w:top w:val="single" w:sz="4" w:space="0" w:color="auto"/>
              <w:left w:val="single" w:sz="4" w:space="0" w:color="auto"/>
              <w:bottom w:val="single" w:sz="4" w:space="0" w:color="auto"/>
              <w:right w:val="single" w:sz="4" w:space="0" w:color="auto"/>
            </w:tcBorders>
            <w:vAlign w:val="center"/>
          </w:tcPr>
          <w:p w14:paraId="376ED5E0" w14:textId="77777777" w:rsidR="004A4B52" w:rsidRPr="00F95D3F" w:rsidRDefault="005B3E51" w:rsidP="00492B79">
            <w:pPr>
              <w:pStyle w:val="Tabletext"/>
              <w:keepNext/>
              <w:keepLines/>
              <w:jc w:val="center"/>
            </w:pPr>
            <w:r w:rsidRPr="00F95D3F">
              <w:t>Inter-satellites</w:t>
            </w:r>
          </w:p>
        </w:tc>
        <w:tc>
          <w:tcPr>
            <w:tcW w:w="4961" w:type="dxa"/>
            <w:tcBorders>
              <w:top w:val="single" w:sz="4" w:space="0" w:color="auto"/>
              <w:left w:val="single" w:sz="4" w:space="0" w:color="auto"/>
              <w:bottom w:val="single" w:sz="4" w:space="0" w:color="auto"/>
              <w:right w:val="single" w:sz="4" w:space="0" w:color="auto"/>
            </w:tcBorders>
          </w:tcPr>
          <w:p w14:paraId="320FC971" w14:textId="77777777" w:rsidR="004A4B52" w:rsidRPr="00F95D3F" w:rsidRDefault="005B3E51" w:rsidP="00492B79">
            <w:pPr>
              <w:pStyle w:val="Tabletext"/>
              <w:keepNext/>
              <w:keepLines/>
            </w:pPr>
            <w:r w:rsidRPr="00F95D3F">
              <w:t>–36 dBW dans toute portion de 200 MHz de la bande attribuée au SETS (passive) pour les systèmes non géostationnaires (non OSG) du service inter-satellites (SIS) pour lesquels les renseignements complets pour la publication anticipée sont reçus par le Bureau avant le 1</w:t>
            </w:r>
            <w:r w:rsidRPr="00461964">
              <w:t>er</w:t>
            </w:r>
            <w:r w:rsidRPr="00F95D3F">
              <w:t> janvier 2020, et –46 dBW dans toute portion de 200 MHz de la bande attribuée au SETS (passive) pour les systèmes non OSG du SIS pour lesquels les renseignements complets pour la publication anticipée sont reçus par le Bureau le 1</w:t>
            </w:r>
            <w:r w:rsidRPr="00461964">
              <w:t>er</w:t>
            </w:r>
            <w:r w:rsidRPr="00F95D3F">
              <w:t xml:space="preserve"> janvier 2020 ou après cette date</w:t>
            </w:r>
          </w:p>
        </w:tc>
      </w:tr>
      <w:tr w:rsidR="004A4B52" w:rsidRPr="00F95D3F" w14:paraId="07DDE3E8" w14:textId="77777777" w:rsidTr="00BB1E7C">
        <w:trPr>
          <w:trHeight w:val="545"/>
          <w:jc w:val="center"/>
        </w:trPr>
        <w:tc>
          <w:tcPr>
            <w:tcW w:w="1418" w:type="dxa"/>
            <w:tcBorders>
              <w:top w:val="single" w:sz="4" w:space="0" w:color="auto"/>
              <w:left w:val="single" w:sz="4" w:space="0" w:color="auto"/>
              <w:bottom w:val="single" w:sz="4" w:space="0" w:color="auto"/>
              <w:right w:val="single" w:sz="4" w:space="0" w:color="auto"/>
            </w:tcBorders>
            <w:vAlign w:val="center"/>
          </w:tcPr>
          <w:p w14:paraId="4DDC311A" w14:textId="77777777" w:rsidR="004A4B52" w:rsidRPr="00F95D3F" w:rsidRDefault="005B3E51" w:rsidP="00492B79">
            <w:pPr>
              <w:pStyle w:val="Tabletext"/>
              <w:jc w:val="center"/>
            </w:pPr>
            <w:r w:rsidRPr="00F95D3F">
              <w:t>31,3</w:t>
            </w:r>
            <w:r>
              <w:t>-</w:t>
            </w:r>
            <w:r w:rsidRPr="00F95D3F">
              <w:t>31,5 GHz</w:t>
            </w:r>
          </w:p>
        </w:tc>
        <w:tc>
          <w:tcPr>
            <w:tcW w:w="1559" w:type="dxa"/>
            <w:tcBorders>
              <w:top w:val="single" w:sz="4" w:space="0" w:color="auto"/>
              <w:left w:val="single" w:sz="4" w:space="0" w:color="auto"/>
              <w:bottom w:val="single" w:sz="4" w:space="0" w:color="auto"/>
              <w:right w:val="single" w:sz="4" w:space="0" w:color="auto"/>
            </w:tcBorders>
            <w:vAlign w:val="center"/>
          </w:tcPr>
          <w:p w14:paraId="1354992D" w14:textId="77777777" w:rsidR="004A4B52" w:rsidRPr="00F95D3F" w:rsidRDefault="005B3E51" w:rsidP="00492B79">
            <w:pPr>
              <w:pStyle w:val="Tabletext"/>
              <w:keepNext/>
              <w:keepLines/>
              <w:jc w:val="center"/>
            </w:pPr>
            <w:r w:rsidRPr="00F95D3F">
              <w:t>31</w:t>
            </w:r>
            <w:r>
              <w:t>-</w:t>
            </w:r>
            <w:r w:rsidRPr="00F95D3F">
              <w:t>31,3 GHz</w:t>
            </w:r>
          </w:p>
        </w:tc>
        <w:tc>
          <w:tcPr>
            <w:tcW w:w="1701" w:type="dxa"/>
            <w:tcBorders>
              <w:top w:val="single" w:sz="4" w:space="0" w:color="auto"/>
              <w:left w:val="single" w:sz="4" w:space="0" w:color="auto"/>
              <w:bottom w:val="single" w:sz="4" w:space="0" w:color="auto"/>
              <w:right w:val="single" w:sz="4" w:space="0" w:color="auto"/>
            </w:tcBorders>
            <w:vAlign w:val="center"/>
          </w:tcPr>
          <w:p w14:paraId="2F8507F3" w14:textId="77777777" w:rsidR="004A4B52" w:rsidRPr="00F95D3F" w:rsidRDefault="005B3E51" w:rsidP="00492B79">
            <w:pPr>
              <w:pStyle w:val="Tabletext"/>
              <w:keepNext/>
              <w:keepLines/>
              <w:jc w:val="center"/>
            </w:pPr>
            <w:r w:rsidRPr="00F95D3F">
              <w:t xml:space="preserve">Fixe (sauf </w:t>
            </w:r>
            <w:r>
              <w:br/>
            </w:r>
            <w:r w:rsidRPr="00F95D3F">
              <w:t>stations HAPS)</w:t>
            </w:r>
          </w:p>
        </w:tc>
        <w:tc>
          <w:tcPr>
            <w:tcW w:w="4961" w:type="dxa"/>
            <w:tcBorders>
              <w:top w:val="single" w:sz="4" w:space="0" w:color="auto"/>
              <w:left w:val="single" w:sz="4" w:space="0" w:color="auto"/>
              <w:bottom w:val="single" w:sz="4" w:space="0" w:color="auto"/>
              <w:right w:val="single" w:sz="4" w:space="0" w:color="auto"/>
            </w:tcBorders>
          </w:tcPr>
          <w:p w14:paraId="1D8EBC63" w14:textId="77777777" w:rsidR="004A4B52" w:rsidRPr="00F95D3F" w:rsidRDefault="005B3E51" w:rsidP="00492B79">
            <w:pPr>
              <w:pStyle w:val="Tabletext"/>
              <w:keepNext/>
              <w:keepLines/>
              <w:framePr w:hSpace="181" w:wrap="around" w:vAnchor="text" w:hAnchor="margin" w:xAlign="center" w:y="1"/>
            </w:pPr>
            <w:r w:rsidRPr="00F95D3F">
              <w:t>Pour les stations mises en service après le 1</w:t>
            </w:r>
            <w:r w:rsidRPr="00461964">
              <w:t>er</w:t>
            </w:r>
            <w:r>
              <w:t> </w:t>
            </w:r>
            <w:r w:rsidRPr="00F95D3F">
              <w:t>janvier</w:t>
            </w:r>
            <w:r>
              <w:t> </w:t>
            </w:r>
            <w:r w:rsidRPr="00F95D3F">
              <w:t xml:space="preserve">2012: </w:t>
            </w:r>
            <w:r w:rsidRPr="00F95D3F">
              <w:br/>
              <w:t>–38 dBW dans toute portion de 100 MHz de la bande attribuée au SETS (passive). Cette limite ne s'applique pas aux stations qui ont été autorisées avant le 1</w:t>
            </w:r>
            <w:r w:rsidRPr="00461964">
              <w:t>er</w:t>
            </w:r>
            <w:r w:rsidRPr="00F95D3F">
              <w:t xml:space="preserve"> janvier 2012</w:t>
            </w:r>
          </w:p>
        </w:tc>
      </w:tr>
      <w:tr w:rsidR="004A4B52" w:rsidRPr="00F95D3F" w14:paraId="5E09B90C"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667CE8C3" w14:textId="77777777" w:rsidR="004A4B52" w:rsidRPr="00F95D3F" w:rsidRDefault="005B3E51" w:rsidP="00492B79">
            <w:pPr>
              <w:pStyle w:val="Tabletext"/>
              <w:jc w:val="center"/>
            </w:pPr>
            <w:r w:rsidRPr="00F95D3F">
              <w:t>50,2</w:t>
            </w:r>
            <w:r>
              <w:t>-</w:t>
            </w:r>
            <w:r w:rsidRPr="00F95D3F">
              <w:t>50,4 GHz</w:t>
            </w:r>
          </w:p>
        </w:tc>
        <w:tc>
          <w:tcPr>
            <w:tcW w:w="1559" w:type="dxa"/>
            <w:tcBorders>
              <w:top w:val="single" w:sz="4" w:space="0" w:color="auto"/>
              <w:left w:val="single" w:sz="4" w:space="0" w:color="auto"/>
              <w:bottom w:val="single" w:sz="4" w:space="0" w:color="auto"/>
              <w:right w:val="single" w:sz="4" w:space="0" w:color="auto"/>
            </w:tcBorders>
            <w:vAlign w:val="center"/>
          </w:tcPr>
          <w:p w14:paraId="60FA647E" w14:textId="77777777" w:rsidR="004A4B52" w:rsidRPr="00F95D3F" w:rsidRDefault="005B3E51" w:rsidP="00492B79">
            <w:pPr>
              <w:pStyle w:val="Tabletext"/>
              <w:keepNext/>
              <w:keepLines/>
              <w:jc w:val="center"/>
            </w:pPr>
            <w:r w:rsidRPr="00F95D3F">
              <w:t>49,7</w:t>
            </w:r>
            <w:r>
              <w:t>-</w:t>
            </w:r>
            <w:r w:rsidRPr="00F95D3F">
              <w:t>50,2 GHz</w:t>
            </w:r>
          </w:p>
        </w:tc>
        <w:tc>
          <w:tcPr>
            <w:tcW w:w="1701" w:type="dxa"/>
            <w:tcBorders>
              <w:top w:val="single" w:sz="4" w:space="0" w:color="auto"/>
              <w:left w:val="single" w:sz="4" w:space="0" w:color="auto"/>
              <w:bottom w:val="single" w:sz="4" w:space="0" w:color="auto"/>
              <w:right w:val="single" w:sz="4" w:space="0" w:color="auto"/>
            </w:tcBorders>
            <w:vAlign w:val="center"/>
          </w:tcPr>
          <w:p w14:paraId="00EE25F2" w14:textId="77777777" w:rsidR="004A4B52" w:rsidRPr="00F95D3F" w:rsidRDefault="005B3E51" w:rsidP="00492B79">
            <w:pPr>
              <w:pStyle w:val="Tabletext"/>
              <w:keepNext/>
              <w:keepLines/>
              <w:jc w:val="center"/>
            </w:pPr>
            <w:r w:rsidRPr="00F95D3F">
              <w:t>Fixe par satellite (Terre vers espace)</w:t>
            </w:r>
            <w:r>
              <w:rPr>
                <w:vertAlign w:val="superscript"/>
              </w:rPr>
              <w:t>4</w:t>
            </w:r>
          </w:p>
        </w:tc>
        <w:tc>
          <w:tcPr>
            <w:tcW w:w="4961" w:type="dxa"/>
            <w:tcBorders>
              <w:top w:val="single" w:sz="4" w:space="0" w:color="auto"/>
              <w:left w:val="single" w:sz="4" w:space="0" w:color="auto"/>
              <w:bottom w:val="single" w:sz="4" w:space="0" w:color="auto"/>
              <w:right w:val="single" w:sz="4" w:space="0" w:color="auto"/>
            </w:tcBorders>
          </w:tcPr>
          <w:p w14:paraId="4B32652B" w14:textId="77777777" w:rsidR="004A4B52" w:rsidRPr="00F95D3F" w:rsidRDefault="005B3E51" w:rsidP="00492B79">
            <w:pPr>
              <w:pStyle w:val="Tabletext"/>
              <w:keepNext/>
              <w:keepLines/>
              <w:framePr w:hSpace="181" w:wrap="around" w:vAnchor="text" w:hAnchor="margin" w:xAlign="center" w:y="1"/>
            </w:pPr>
            <w:r w:rsidRPr="00F95D3F">
              <w:t>Pour les stations mises en service après la date d'entrée en vigueur des Actes finals de la CMR-07:</w:t>
            </w:r>
          </w:p>
          <w:p w14:paraId="675FFB8F" w14:textId="77777777" w:rsidR="004A4B52" w:rsidRPr="00F95D3F" w:rsidRDefault="005B3E51" w:rsidP="00492B79">
            <w:pPr>
              <w:pStyle w:val="Tabletext"/>
              <w:keepNext/>
              <w:keepLines/>
              <w:framePr w:hSpace="181" w:wrap="around" w:vAnchor="text" w:hAnchor="margin" w:xAlign="center" w:y="1"/>
            </w:pPr>
            <w:r w:rsidRPr="00F95D3F">
              <w:t>–10 dBW</w:t>
            </w:r>
            <w:r w:rsidRPr="00F95D3F" w:rsidDel="008F017D">
              <w:t xml:space="preserve"> </w:t>
            </w:r>
            <w:r w:rsidRPr="00F95D3F">
              <w:t>dans les 200 MHz de la bande attribuée au SETS (passive) pour une station terrienne dont le gain d'antenne est supérieur ou égal à 57 dBi</w:t>
            </w:r>
          </w:p>
          <w:p w14:paraId="6842998E" w14:textId="77777777" w:rsidR="004A4B52" w:rsidRPr="00F95D3F" w:rsidRDefault="005B3E51" w:rsidP="00492B79">
            <w:pPr>
              <w:pStyle w:val="Tabletext"/>
              <w:keepNext/>
              <w:keepLines/>
              <w:framePr w:hSpace="181" w:wrap="around" w:vAnchor="text" w:hAnchor="margin" w:xAlign="center" w:y="1"/>
            </w:pPr>
            <w:r w:rsidRPr="00F95D3F">
              <w:t>–20 dBW</w:t>
            </w:r>
            <w:r w:rsidRPr="00F95D3F" w:rsidDel="008F017D">
              <w:t xml:space="preserve"> </w:t>
            </w:r>
            <w:r w:rsidRPr="00F95D3F">
              <w:t>dans les 200 MHz de la bande attribuée au SETS (passive) pour une station terrienne dont le gain d'antenne est inférieur à 57 dBi</w:t>
            </w:r>
          </w:p>
        </w:tc>
      </w:tr>
      <w:tr w:rsidR="004A4B52" w:rsidRPr="00F95D3F" w14:paraId="7EAF4B86"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360CE0BE" w14:textId="77777777" w:rsidR="004A4B52" w:rsidRPr="00F95D3F" w:rsidRDefault="005B3E51" w:rsidP="00492B79">
            <w:pPr>
              <w:pStyle w:val="Tabletext"/>
              <w:jc w:val="center"/>
            </w:pPr>
            <w:r w:rsidRPr="00F95D3F">
              <w:t>50,2</w:t>
            </w:r>
            <w:r>
              <w:t>-</w:t>
            </w:r>
            <w:r w:rsidRPr="00F95D3F">
              <w:t>50,4 GHz</w:t>
            </w:r>
          </w:p>
        </w:tc>
        <w:tc>
          <w:tcPr>
            <w:tcW w:w="1559" w:type="dxa"/>
            <w:tcBorders>
              <w:top w:val="single" w:sz="4" w:space="0" w:color="auto"/>
              <w:left w:val="single" w:sz="4" w:space="0" w:color="auto"/>
              <w:bottom w:val="single" w:sz="4" w:space="0" w:color="auto"/>
              <w:right w:val="single" w:sz="4" w:space="0" w:color="auto"/>
            </w:tcBorders>
            <w:vAlign w:val="center"/>
          </w:tcPr>
          <w:p w14:paraId="2716BBA2" w14:textId="77777777" w:rsidR="004A4B52" w:rsidRPr="00F95D3F" w:rsidRDefault="005B3E51" w:rsidP="00492B79">
            <w:pPr>
              <w:pStyle w:val="Tabletext"/>
              <w:keepNext/>
              <w:keepLines/>
              <w:framePr w:hSpace="181" w:wrap="around" w:vAnchor="text" w:hAnchor="margin" w:xAlign="center" w:y="1"/>
              <w:ind w:left="-57" w:right="-57"/>
              <w:jc w:val="center"/>
            </w:pPr>
            <w:r w:rsidRPr="00F95D3F">
              <w:t>50,4</w:t>
            </w:r>
            <w:r>
              <w:t>-</w:t>
            </w:r>
            <w:r w:rsidRPr="00F95D3F">
              <w:t>50,9 GHz</w:t>
            </w:r>
          </w:p>
        </w:tc>
        <w:tc>
          <w:tcPr>
            <w:tcW w:w="1701" w:type="dxa"/>
            <w:tcBorders>
              <w:top w:val="single" w:sz="4" w:space="0" w:color="auto"/>
              <w:left w:val="single" w:sz="4" w:space="0" w:color="auto"/>
              <w:bottom w:val="single" w:sz="4" w:space="0" w:color="auto"/>
              <w:right w:val="single" w:sz="4" w:space="0" w:color="auto"/>
            </w:tcBorders>
            <w:vAlign w:val="center"/>
          </w:tcPr>
          <w:p w14:paraId="2E28EAD4" w14:textId="77777777" w:rsidR="004A4B52" w:rsidRPr="00F95D3F" w:rsidRDefault="005B3E51" w:rsidP="00492B79">
            <w:pPr>
              <w:pStyle w:val="Tabletext"/>
              <w:keepNext/>
              <w:keepLines/>
              <w:jc w:val="center"/>
            </w:pPr>
            <w:r w:rsidRPr="00F95D3F">
              <w:t>Fixe par satellite (Terre vers espace)</w:t>
            </w:r>
            <w:r>
              <w:rPr>
                <w:vertAlign w:val="superscript"/>
              </w:rPr>
              <w:t>4</w:t>
            </w:r>
          </w:p>
        </w:tc>
        <w:tc>
          <w:tcPr>
            <w:tcW w:w="4961" w:type="dxa"/>
            <w:tcBorders>
              <w:top w:val="single" w:sz="4" w:space="0" w:color="auto"/>
              <w:left w:val="single" w:sz="4" w:space="0" w:color="auto"/>
              <w:bottom w:val="single" w:sz="4" w:space="0" w:color="auto"/>
              <w:right w:val="single" w:sz="4" w:space="0" w:color="auto"/>
            </w:tcBorders>
          </w:tcPr>
          <w:p w14:paraId="72C58A99" w14:textId="77777777" w:rsidR="004A4B52" w:rsidRPr="00F95D3F" w:rsidRDefault="005B3E51" w:rsidP="00492B79">
            <w:pPr>
              <w:pStyle w:val="Tabletext"/>
              <w:keepNext/>
              <w:keepLines/>
              <w:framePr w:hSpace="181" w:wrap="around" w:vAnchor="text" w:hAnchor="margin" w:xAlign="center" w:y="1"/>
            </w:pPr>
            <w:r w:rsidRPr="00F95D3F">
              <w:t>Pour les stations mises en service après la date d'entrée en vigueur des Actes finals de la CMR-07:</w:t>
            </w:r>
          </w:p>
          <w:p w14:paraId="1F6309A4" w14:textId="77777777" w:rsidR="004A4B52" w:rsidRPr="00F95D3F" w:rsidRDefault="005B3E51" w:rsidP="00492B79">
            <w:pPr>
              <w:pStyle w:val="Tabletext"/>
              <w:keepNext/>
              <w:keepLines/>
              <w:framePr w:hSpace="181" w:wrap="around" w:vAnchor="text" w:hAnchor="margin" w:xAlign="center" w:y="1"/>
            </w:pPr>
            <w:r w:rsidRPr="00F95D3F">
              <w:t>–10 dBW</w:t>
            </w:r>
            <w:r w:rsidRPr="00F95D3F" w:rsidDel="008F017D">
              <w:t xml:space="preserve"> </w:t>
            </w:r>
            <w:r w:rsidRPr="00F95D3F">
              <w:t>dans les 200 MHz de la bande attribuée au SETS (passive) pour une station terrienne dont le gain d'antenne est supérieur ou égal à 57 dBi</w:t>
            </w:r>
          </w:p>
          <w:p w14:paraId="3575AE5F" w14:textId="77777777" w:rsidR="004A4B52" w:rsidRPr="00F95D3F" w:rsidRDefault="005B3E51" w:rsidP="00492B79">
            <w:pPr>
              <w:pStyle w:val="Tabletext"/>
              <w:keepNext/>
              <w:keepLines/>
              <w:framePr w:hSpace="181" w:wrap="around" w:vAnchor="text" w:hAnchor="margin" w:xAlign="center" w:y="1"/>
            </w:pPr>
            <w:r w:rsidRPr="00F95D3F">
              <w:t>–20 dBW</w:t>
            </w:r>
            <w:r w:rsidRPr="00F95D3F" w:rsidDel="008F017D">
              <w:t xml:space="preserve"> </w:t>
            </w:r>
            <w:r w:rsidRPr="00F95D3F">
              <w:t>dans les 200 MHz de la bande attribuée au SETS (passive) pour une station terrienne dont le gain d'antenne est inférieur à 57 dBi</w:t>
            </w:r>
          </w:p>
        </w:tc>
      </w:tr>
      <w:tr w:rsidR="004A4B52" w:rsidRPr="00F95D3F" w14:paraId="187932B5" w14:textId="77777777" w:rsidTr="00BB1E7C">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25F14BCB" w14:textId="77777777" w:rsidR="004A4B52" w:rsidRPr="00F95D3F" w:rsidRDefault="005B3E51" w:rsidP="00492B79">
            <w:pPr>
              <w:pStyle w:val="Tabletext"/>
              <w:ind w:left="-57" w:right="-57"/>
              <w:jc w:val="center"/>
            </w:pPr>
            <w:r w:rsidRPr="00F95D3F">
              <w:t>52,6</w:t>
            </w:r>
            <w:r>
              <w:t>-</w:t>
            </w:r>
            <w:r w:rsidRPr="00F95D3F">
              <w:t>54,25 GHz</w:t>
            </w:r>
          </w:p>
        </w:tc>
        <w:tc>
          <w:tcPr>
            <w:tcW w:w="1559" w:type="dxa"/>
            <w:tcBorders>
              <w:top w:val="single" w:sz="4" w:space="0" w:color="auto"/>
              <w:left w:val="single" w:sz="4" w:space="0" w:color="auto"/>
              <w:bottom w:val="single" w:sz="4" w:space="0" w:color="auto"/>
              <w:right w:val="single" w:sz="4" w:space="0" w:color="auto"/>
            </w:tcBorders>
            <w:vAlign w:val="center"/>
          </w:tcPr>
          <w:p w14:paraId="34F564D1" w14:textId="77777777" w:rsidR="004A4B52" w:rsidRPr="00F95D3F" w:rsidRDefault="005B3E51" w:rsidP="00492B79">
            <w:pPr>
              <w:pStyle w:val="Tabletext"/>
              <w:keepNext/>
              <w:keepLines/>
              <w:ind w:left="-57" w:right="-57"/>
              <w:jc w:val="center"/>
            </w:pPr>
            <w:r w:rsidRPr="00F95D3F">
              <w:t>51,4</w:t>
            </w:r>
            <w:r>
              <w:t>-</w:t>
            </w:r>
            <w:r w:rsidRPr="00F95D3F">
              <w:t>52,6 GHz</w:t>
            </w:r>
          </w:p>
        </w:tc>
        <w:tc>
          <w:tcPr>
            <w:tcW w:w="1701" w:type="dxa"/>
            <w:tcBorders>
              <w:top w:val="single" w:sz="4" w:space="0" w:color="auto"/>
              <w:left w:val="single" w:sz="4" w:space="0" w:color="auto"/>
              <w:bottom w:val="single" w:sz="4" w:space="0" w:color="auto"/>
              <w:right w:val="single" w:sz="4" w:space="0" w:color="auto"/>
            </w:tcBorders>
            <w:vAlign w:val="center"/>
          </w:tcPr>
          <w:p w14:paraId="45297700" w14:textId="77777777" w:rsidR="004A4B52" w:rsidRPr="00F95D3F" w:rsidRDefault="005B3E51" w:rsidP="00492B79">
            <w:pPr>
              <w:pStyle w:val="Tabletext"/>
              <w:keepNext/>
              <w:keepLines/>
              <w:jc w:val="center"/>
            </w:pPr>
            <w:r w:rsidRPr="00F95D3F">
              <w:t>Fixe</w:t>
            </w:r>
          </w:p>
        </w:tc>
        <w:tc>
          <w:tcPr>
            <w:tcW w:w="4961" w:type="dxa"/>
            <w:tcBorders>
              <w:top w:val="single" w:sz="4" w:space="0" w:color="auto"/>
              <w:left w:val="single" w:sz="4" w:space="0" w:color="auto"/>
              <w:bottom w:val="single" w:sz="4" w:space="0" w:color="auto"/>
              <w:right w:val="single" w:sz="4" w:space="0" w:color="auto"/>
            </w:tcBorders>
          </w:tcPr>
          <w:p w14:paraId="62C70301" w14:textId="77777777" w:rsidR="004A4B52" w:rsidRPr="00F95D3F" w:rsidRDefault="005B3E51" w:rsidP="00492B79">
            <w:pPr>
              <w:pStyle w:val="Tabletext"/>
              <w:keepNext/>
              <w:keepLines/>
            </w:pPr>
            <w:r w:rsidRPr="00F95D3F">
              <w:t xml:space="preserve">pour les stations mises en service après la date d'entrée en vigueur des Actes finals de la CMR-07: </w:t>
            </w:r>
          </w:p>
          <w:p w14:paraId="07CB2C90" w14:textId="77777777" w:rsidR="004A4B52" w:rsidRPr="00F95D3F" w:rsidRDefault="005B3E51" w:rsidP="00492B79">
            <w:pPr>
              <w:pStyle w:val="Tabletext"/>
              <w:keepNext/>
              <w:keepLines/>
            </w:pPr>
            <w:r w:rsidRPr="00F95D3F">
              <w:t>–33 dBW dans toute portion de 100 MHz de la bande attribuée au SETS (passive)</w:t>
            </w:r>
          </w:p>
        </w:tc>
      </w:tr>
      <w:tr w:rsidR="004A4B52" w:rsidRPr="00F95D3F" w14:paraId="63E6E23C" w14:textId="77777777" w:rsidTr="00BB1E7C">
        <w:trPr>
          <w:jc w:val="center"/>
        </w:trPr>
        <w:tc>
          <w:tcPr>
            <w:tcW w:w="9639" w:type="dxa"/>
            <w:gridSpan w:val="4"/>
            <w:tcBorders>
              <w:top w:val="single" w:sz="4" w:space="0" w:color="auto"/>
            </w:tcBorders>
            <w:vAlign w:val="center"/>
          </w:tcPr>
          <w:p w14:paraId="7C9B0B8A" w14:textId="77777777" w:rsidR="004A4B52" w:rsidRDefault="005B3E51" w:rsidP="00492B79">
            <w:pPr>
              <w:pStyle w:val="Tablelegend"/>
            </w:pPr>
            <w:r w:rsidRPr="00F95D3F">
              <w:rPr>
                <w:vertAlign w:val="superscript"/>
              </w:rPr>
              <w:t>1</w:t>
            </w:r>
            <w:r w:rsidRPr="00F95D3F">
              <w:tab/>
              <w:t>Le niveau de puissance des rayonnements non désirés désigne ici le niveau mesuré aux bornes de l'antenne.</w:t>
            </w:r>
          </w:p>
          <w:p w14:paraId="63169967" w14:textId="77777777" w:rsidR="004A4B52" w:rsidRDefault="005B3E51" w:rsidP="00492B79">
            <w:pPr>
              <w:pStyle w:val="Tablelegend"/>
            </w:pPr>
            <w:r>
              <w:rPr>
                <w:vertAlign w:val="superscript"/>
              </w:rPr>
              <w:lastRenderedPageBreak/>
              <w:t>2</w:t>
            </w:r>
            <w:r w:rsidRPr="00F95D3F">
              <w:tab/>
            </w:r>
            <w:r>
              <w:t xml:space="preserve">Cette limite ne s'applique pas aux stations mobiles des systèmes IMT pour lesquels les renseignements de notification ont été reçus par le Bureau des radiocommunications avant le 28 novembre 2015. Pour ces systèmes, la valeur recommandée applicable est de </w:t>
            </w:r>
            <w:r w:rsidRPr="00244FDE">
              <w:t>−6</w:t>
            </w:r>
            <w:r>
              <w:t>0</w:t>
            </w:r>
            <w:r w:rsidRPr="00244FDE">
              <w:t xml:space="preserve"> dBW</w:t>
            </w:r>
            <w:r>
              <w:t>/27 MHz.</w:t>
            </w:r>
          </w:p>
          <w:p w14:paraId="7507F063" w14:textId="77777777" w:rsidR="004A4B52" w:rsidRPr="00F95D3F" w:rsidRDefault="005B3E51" w:rsidP="00492B79">
            <w:pPr>
              <w:pStyle w:val="Tablelegend"/>
            </w:pPr>
            <w:r>
              <w:rPr>
                <w:vertAlign w:val="superscript"/>
              </w:rPr>
              <w:t>3</w:t>
            </w:r>
            <w:r w:rsidRPr="00F95D3F">
              <w:tab/>
            </w:r>
            <w:r w:rsidRPr="00244FDE">
              <w:t>Le niveau de puissance des rayonnements non désirés désigne ici le niveau mesuré</w:t>
            </w:r>
            <w:r>
              <w:t xml:space="preserve"> </w:t>
            </w:r>
            <w:r w:rsidRPr="006A6BF0">
              <w:t>lorsque la station mobile émet avec une puissance moyenne en sortie de 15 dBm</w:t>
            </w:r>
            <w:r>
              <w:t>.</w:t>
            </w:r>
          </w:p>
          <w:p w14:paraId="4C9DFC5A" w14:textId="77777777" w:rsidR="004A4B52" w:rsidRPr="00F95D3F" w:rsidRDefault="005B3E51" w:rsidP="00492B79">
            <w:pPr>
              <w:pStyle w:val="Tablelegend"/>
            </w:pPr>
            <w:r>
              <w:rPr>
                <w:vertAlign w:val="superscript"/>
              </w:rPr>
              <w:t>4</w:t>
            </w:r>
            <w:r w:rsidRPr="00F95D3F">
              <w:rPr>
                <w:vertAlign w:val="superscript"/>
              </w:rPr>
              <w:tab/>
            </w:r>
            <w:r w:rsidRPr="00F95D3F">
              <w:t>Les limites s'appliquent par temps clair. Dans des conditions d'évanouissements, les stations terriennes peuvent dépasser ces limites lorsqu'elles utilisent une régulation de puissance sur la liaison montante.</w:t>
            </w:r>
          </w:p>
        </w:tc>
      </w:tr>
    </w:tbl>
    <w:p w14:paraId="2B81F3F6" w14:textId="77777777" w:rsidR="004A4B52" w:rsidRDefault="009D0EF5" w:rsidP="00492B79"/>
    <w:p w14:paraId="3378E7E1" w14:textId="77777777" w:rsidR="004A4B52" w:rsidRPr="00F95D3F" w:rsidRDefault="005B3E51" w:rsidP="00492B79">
      <w:pPr>
        <w:pStyle w:val="TableNo"/>
        <w:keepLines/>
      </w:pPr>
      <w:r w:rsidRPr="00F95D3F">
        <w:t>TABLEAU 1-2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531"/>
        <w:gridCol w:w="1701"/>
        <w:gridCol w:w="4876"/>
      </w:tblGrid>
      <w:tr w:rsidR="004A4B52" w:rsidRPr="00F95D3F" w14:paraId="550A55F3" w14:textId="77777777" w:rsidTr="00BB1E7C">
        <w:trPr>
          <w:jc w:val="center"/>
        </w:trPr>
        <w:tc>
          <w:tcPr>
            <w:tcW w:w="1531" w:type="dxa"/>
          </w:tcPr>
          <w:p w14:paraId="40646F77" w14:textId="77777777" w:rsidR="004A4B52" w:rsidRPr="00F95D3F" w:rsidRDefault="005B3E51" w:rsidP="00492B79">
            <w:pPr>
              <w:pStyle w:val="Tablehead"/>
              <w:keepNext w:val="0"/>
              <w:rPr>
                <w:sz w:val="19"/>
                <w:szCs w:val="19"/>
              </w:rPr>
            </w:pPr>
            <w:r w:rsidRPr="00F95D3F">
              <w:rPr>
                <w:sz w:val="19"/>
                <w:szCs w:val="19"/>
              </w:rPr>
              <w:t>Bande attribuée au SETS (passive)</w:t>
            </w:r>
          </w:p>
        </w:tc>
        <w:tc>
          <w:tcPr>
            <w:tcW w:w="1531" w:type="dxa"/>
          </w:tcPr>
          <w:p w14:paraId="68150211" w14:textId="77777777" w:rsidR="004A4B52" w:rsidRPr="00F95D3F" w:rsidRDefault="005B3E51" w:rsidP="00492B79">
            <w:pPr>
              <w:pStyle w:val="Tablehead"/>
              <w:keepLines/>
              <w:rPr>
                <w:sz w:val="19"/>
                <w:szCs w:val="19"/>
              </w:rPr>
            </w:pPr>
            <w:r w:rsidRPr="00F95D3F">
              <w:rPr>
                <w:sz w:val="19"/>
                <w:szCs w:val="19"/>
              </w:rPr>
              <w:t>Bande attribuée aux services actifs</w:t>
            </w:r>
          </w:p>
        </w:tc>
        <w:tc>
          <w:tcPr>
            <w:tcW w:w="1701" w:type="dxa"/>
          </w:tcPr>
          <w:p w14:paraId="08FD3E37" w14:textId="77777777" w:rsidR="004A4B52" w:rsidRPr="00F95D3F" w:rsidRDefault="005B3E51" w:rsidP="00492B79">
            <w:pPr>
              <w:pStyle w:val="Tablehead"/>
              <w:keepLines/>
              <w:rPr>
                <w:sz w:val="19"/>
                <w:szCs w:val="19"/>
              </w:rPr>
            </w:pPr>
            <w:r w:rsidRPr="00F95D3F">
              <w:rPr>
                <w:sz w:val="19"/>
                <w:szCs w:val="19"/>
              </w:rPr>
              <w:t>Service actif</w:t>
            </w:r>
          </w:p>
        </w:tc>
        <w:tc>
          <w:tcPr>
            <w:tcW w:w="4876" w:type="dxa"/>
          </w:tcPr>
          <w:p w14:paraId="76487701" w14:textId="77777777" w:rsidR="004A4B52" w:rsidRPr="00F95D3F" w:rsidRDefault="005B3E51" w:rsidP="00492B79">
            <w:pPr>
              <w:pStyle w:val="Tablehead"/>
              <w:keepLines/>
              <w:rPr>
                <w:sz w:val="19"/>
                <w:szCs w:val="19"/>
              </w:rPr>
            </w:pPr>
            <w:r w:rsidRPr="00F95D3F">
              <w:rPr>
                <w:sz w:val="19"/>
                <w:szCs w:val="19"/>
              </w:rPr>
              <w:t>Niveau maximal recommandé de puissance des rayonnements non désirés produits par les stations des services actifs dans une largeur spécifiée de la bande attribuée au SETS (passive)</w:t>
            </w:r>
            <w:r w:rsidRPr="00F95D3F">
              <w:rPr>
                <w:b w:val="0"/>
                <w:bCs/>
                <w:sz w:val="19"/>
                <w:szCs w:val="19"/>
                <w:vertAlign w:val="superscript"/>
              </w:rPr>
              <w:t>1</w:t>
            </w:r>
          </w:p>
        </w:tc>
      </w:tr>
      <w:tr w:rsidR="004A4B52" w:rsidRPr="00F95D3F" w14:paraId="034241C0" w14:textId="77777777" w:rsidTr="00BB1E7C">
        <w:trPr>
          <w:jc w:val="center"/>
        </w:trPr>
        <w:tc>
          <w:tcPr>
            <w:tcW w:w="1531" w:type="dxa"/>
            <w:vMerge w:val="restart"/>
            <w:vAlign w:val="center"/>
          </w:tcPr>
          <w:p w14:paraId="08903D66" w14:textId="77777777" w:rsidR="004A4B52" w:rsidRPr="00F95D3F" w:rsidRDefault="005B3E51" w:rsidP="00492B79">
            <w:pPr>
              <w:pStyle w:val="Tabletext"/>
              <w:keepNext/>
              <w:keepLines/>
              <w:ind w:left="-57" w:right="-57"/>
              <w:jc w:val="center"/>
              <w:rPr>
                <w:noProof/>
              </w:rPr>
            </w:pPr>
            <w:r w:rsidRPr="00F95D3F">
              <w:rPr>
                <w:noProof/>
              </w:rPr>
              <w:t>1 400</w:t>
            </w:r>
            <w:r>
              <w:rPr>
                <w:noProof/>
              </w:rPr>
              <w:t>-</w:t>
            </w:r>
            <w:r w:rsidRPr="00F95D3F">
              <w:rPr>
                <w:noProof/>
              </w:rPr>
              <w:t>1 427 MHz</w:t>
            </w:r>
          </w:p>
        </w:tc>
        <w:tc>
          <w:tcPr>
            <w:tcW w:w="1531" w:type="dxa"/>
            <w:vMerge w:val="restart"/>
            <w:vAlign w:val="center"/>
          </w:tcPr>
          <w:p w14:paraId="209017AC" w14:textId="77777777" w:rsidR="004A4B52" w:rsidRPr="00F95D3F" w:rsidRDefault="005B3E51" w:rsidP="00492B79">
            <w:pPr>
              <w:pStyle w:val="Tabletext"/>
              <w:keepNext/>
              <w:keepLines/>
              <w:ind w:left="-57" w:right="-57"/>
              <w:jc w:val="center"/>
              <w:rPr>
                <w:noProof/>
              </w:rPr>
            </w:pPr>
            <w:r w:rsidRPr="00F95D3F">
              <w:rPr>
                <w:noProof/>
              </w:rPr>
              <w:t>1 350</w:t>
            </w:r>
            <w:r>
              <w:rPr>
                <w:noProof/>
              </w:rPr>
              <w:t>-</w:t>
            </w:r>
            <w:r w:rsidRPr="00F95D3F">
              <w:rPr>
                <w:noProof/>
              </w:rPr>
              <w:t>1 400 MHz</w:t>
            </w:r>
          </w:p>
        </w:tc>
        <w:tc>
          <w:tcPr>
            <w:tcW w:w="1701" w:type="dxa"/>
            <w:vAlign w:val="center"/>
          </w:tcPr>
          <w:p w14:paraId="52E8DC01" w14:textId="77777777" w:rsidR="004A4B52" w:rsidRPr="00F95D3F" w:rsidRDefault="005B3E51" w:rsidP="00492B79">
            <w:pPr>
              <w:pStyle w:val="Tabletext"/>
              <w:keepNext/>
              <w:keepLines/>
              <w:jc w:val="center"/>
              <w:rPr>
                <w:noProof/>
              </w:rPr>
            </w:pPr>
            <w:r w:rsidRPr="00F95D3F">
              <w:rPr>
                <w:noProof/>
              </w:rPr>
              <w:t>Radiolocalisation</w:t>
            </w:r>
            <w:r w:rsidRPr="00F95D3F">
              <w:rPr>
                <w:noProof/>
                <w:vertAlign w:val="superscript"/>
              </w:rPr>
              <w:t>2</w:t>
            </w:r>
          </w:p>
        </w:tc>
        <w:tc>
          <w:tcPr>
            <w:tcW w:w="4876" w:type="dxa"/>
            <w:vAlign w:val="center"/>
          </w:tcPr>
          <w:p w14:paraId="4A4CE6E2" w14:textId="77777777" w:rsidR="004A4B52" w:rsidRPr="00F95D3F" w:rsidRDefault="005B3E51" w:rsidP="00492B79">
            <w:pPr>
              <w:pStyle w:val="Tabletext"/>
              <w:keepNext/>
              <w:keepLines/>
              <w:rPr>
                <w:noProof/>
              </w:rPr>
            </w:pPr>
            <w:r w:rsidRPr="00F95D3F">
              <w:rPr>
                <w:noProof/>
              </w:rPr>
              <w:t xml:space="preserve">–29 dBW </w:t>
            </w:r>
            <w:r w:rsidRPr="00F95D3F">
              <w:t>dans les 27 MHz de la bande attribuée au SETS (passive)</w:t>
            </w:r>
          </w:p>
        </w:tc>
      </w:tr>
      <w:tr w:rsidR="004A4B52" w:rsidRPr="00F95D3F" w14:paraId="2FF40ACB" w14:textId="77777777" w:rsidTr="00BB1E7C">
        <w:trPr>
          <w:jc w:val="center"/>
        </w:trPr>
        <w:tc>
          <w:tcPr>
            <w:tcW w:w="1531" w:type="dxa"/>
            <w:vMerge/>
            <w:vAlign w:val="center"/>
          </w:tcPr>
          <w:p w14:paraId="1FE10778" w14:textId="77777777" w:rsidR="004A4B52" w:rsidRPr="00F95D3F" w:rsidRDefault="009D0EF5" w:rsidP="00492B79">
            <w:pPr>
              <w:pStyle w:val="Tabletext"/>
              <w:keepNext/>
              <w:keepLines/>
              <w:ind w:left="-57" w:right="-57"/>
              <w:jc w:val="center"/>
              <w:rPr>
                <w:noProof/>
              </w:rPr>
            </w:pPr>
          </w:p>
        </w:tc>
        <w:tc>
          <w:tcPr>
            <w:tcW w:w="1531" w:type="dxa"/>
            <w:vMerge/>
            <w:vAlign w:val="center"/>
          </w:tcPr>
          <w:p w14:paraId="16E83A39" w14:textId="77777777" w:rsidR="004A4B52" w:rsidRPr="00F95D3F" w:rsidRDefault="009D0EF5" w:rsidP="00492B79">
            <w:pPr>
              <w:pStyle w:val="Tabletext"/>
              <w:keepNext/>
              <w:keepLines/>
              <w:ind w:left="-57" w:right="-57"/>
              <w:jc w:val="center"/>
              <w:rPr>
                <w:noProof/>
              </w:rPr>
            </w:pPr>
          </w:p>
        </w:tc>
        <w:tc>
          <w:tcPr>
            <w:tcW w:w="1701" w:type="dxa"/>
            <w:vAlign w:val="center"/>
          </w:tcPr>
          <w:p w14:paraId="660E6CF4" w14:textId="77777777" w:rsidR="004A4B52" w:rsidRPr="00F95D3F" w:rsidRDefault="005B3E51" w:rsidP="00492B79">
            <w:pPr>
              <w:pStyle w:val="Tabletext"/>
              <w:keepNext/>
              <w:keepLines/>
              <w:jc w:val="center"/>
              <w:rPr>
                <w:noProof/>
              </w:rPr>
            </w:pPr>
            <w:r w:rsidRPr="00F95D3F">
              <w:rPr>
                <w:noProof/>
              </w:rPr>
              <w:t>Fixe</w:t>
            </w:r>
          </w:p>
        </w:tc>
        <w:tc>
          <w:tcPr>
            <w:tcW w:w="4876" w:type="dxa"/>
            <w:vAlign w:val="center"/>
          </w:tcPr>
          <w:p w14:paraId="5276BB16" w14:textId="77777777" w:rsidR="004A4B52" w:rsidRPr="00F95D3F" w:rsidRDefault="005B3E51" w:rsidP="00492B79">
            <w:pPr>
              <w:pStyle w:val="Tabletext"/>
              <w:keepNext/>
              <w:keepLines/>
              <w:rPr>
                <w:noProof/>
              </w:rPr>
            </w:pPr>
            <w:r w:rsidRPr="00F95D3F">
              <w:rPr>
                <w:noProof/>
              </w:rPr>
              <w:t xml:space="preserve">–45 dBW </w:t>
            </w:r>
            <w:r w:rsidRPr="00F95D3F">
              <w:t xml:space="preserve">dans les 27 MHz de la bande attribuée au SETS (passive) </w:t>
            </w:r>
            <w:r w:rsidRPr="00F95D3F">
              <w:rPr>
                <w:noProof/>
              </w:rPr>
              <w:t xml:space="preserve">pour les systèmes point à point </w:t>
            </w:r>
          </w:p>
        </w:tc>
      </w:tr>
      <w:tr w:rsidR="004A4B52" w:rsidRPr="00F95D3F" w14:paraId="4D628C59" w14:textId="77777777" w:rsidTr="00BB1E7C">
        <w:trPr>
          <w:jc w:val="center"/>
        </w:trPr>
        <w:tc>
          <w:tcPr>
            <w:tcW w:w="1531" w:type="dxa"/>
            <w:vMerge/>
            <w:vAlign w:val="center"/>
          </w:tcPr>
          <w:p w14:paraId="404ED261" w14:textId="77777777" w:rsidR="004A4B52" w:rsidRPr="00F95D3F" w:rsidRDefault="009D0EF5" w:rsidP="00492B79">
            <w:pPr>
              <w:pStyle w:val="Tabletext"/>
              <w:keepNext/>
              <w:keepLines/>
              <w:ind w:left="-57" w:right="-57"/>
              <w:jc w:val="center"/>
              <w:rPr>
                <w:noProof/>
              </w:rPr>
            </w:pPr>
          </w:p>
        </w:tc>
        <w:tc>
          <w:tcPr>
            <w:tcW w:w="1531" w:type="dxa"/>
            <w:vMerge/>
            <w:vAlign w:val="center"/>
          </w:tcPr>
          <w:p w14:paraId="2AE9BBC4" w14:textId="77777777" w:rsidR="004A4B52" w:rsidRPr="00F95D3F" w:rsidRDefault="009D0EF5" w:rsidP="00492B79">
            <w:pPr>
              <w:pStyle w:val="Tabletext"/>
              <w:keepNext/>
              <w:keepLines/>
              <w:ind w:left="-57" w:right="-57"/>
              <w:jc w:val="center"/>
              <w:rPr>
                <w:noProof/>
              </w:rPr>
            </w:pPr>
          </w:p>
        </w:tc>
        <w:tc>
          <w:tcPr>
            <w:tcW w:w="1701" w:type="dxa"/>
            <w:vAlign w:val="center"/>
          </w:tcPr>
          <w:p w14:paraId="63D51096" w14:textId="77777777" w:rsidR="004A4B52" w:rsidRPr="00F95D3F" w:rsidRDefault="005B3E51" w:rsidP="00492B79">
            <w:pPr>
              <w:pStyle w:val="Tabletext"/>
              <w:keepNext/>
              <w:keepLines/>
              <w:jc w:val="center"/>
              <w:rPr>
                <w:noProof/>
              </w:rPr>
            </w:pPr>
            <w:r w:rsidRPr="00F95D3F">
              <w:rPr>
                <w:noProof/>
              </w:rPr>
              <w:t>Mobile</w:t>
            </w:r>
          </w:p>
        </w:tc>
        <w:tc>
          <w:tcPr>
            <w:tcW w:w="4876" w:type="dxa"/>
            <w:vAlign w:val="center"/>
          </w:tcPr>
          <w:p w14:paraId="7FEA4825" w14:textId="77777777" w:rsidR="004A4B52" w:rsidRPr="00F95D3F" w:rsidRDefault="005B3E51" w:rsidP="00492B79">
            <w:pPr>
              <w:pStyle w:val="Tabletext"/>
              <w:keepNext/>
              <w:keepLines/>
            </w:pPr>
            <w:r w:rsidRPr="00F95D3F">
              <w:t>–60 dBW dans les 27 MHz de la bande attribuée au SETS (passive) pour les stations du service mobile sauf les stations hertziennes transportables</w:t>
            </w:r>
          </w:p>
          <w:p w14:paraId="59DEA4BB" w14:textId="77777777" w:rsidR="004A4B52" w:rsidRPr="00F95D3F" w:rsidRDefault="005B3E51" w:rsidP="00492B79">
            <w:pPr>
              <w:pStyle w:val="Tabletext"/>
              <w:keepNext/>
              <w:keepLines/>
            </w:pPr>
            <w:r w:rsidRPr="00F95D3F">
              <w:t>–45 dBW dans les 27 MHz de la bande attribuée au SETS (passive) pour les stations hertziennes transportables</w:t>
            </w:r>
          </w:p>
        </w:tc>
      </w:tr>
      <w:tr w:rsidR="004A4B52" w:rsidRPr="00F95D3F" w14:paraId="082044A0" w14:textId="77777777" w:rsidTr="00BB1E7C">
        <w:trPr>
          <w:jc w:val="center"/>
        </w:trPr>
        <w:tc>
          <w:tcPr>
            <w:tcW w:w="1531" w:type="dxa"/>
            <w:vMerge/>
            <w:vAlign w:val="center"/>
          </w:tcPr>
          <w:p w14:paraId="58AF1A2E" w14:textId="77777777" w:rsidR="004A4B52" w:rsidRPr="00F95D3F" w:rsidRDefault="009D0EF5" w:rsidP="00492B79">
            <w:pPr>
              <w:pStyle w:val="Tabletext"/>
              <w:ind w:left="-57" w:right="-57"/>
              <w:jc w:val="center"/>
              <w:rPr>
                <w:noProof/>
              </w:rPr>
            </w:pPr>
          </w:p>
        </w:tc>
        <w:tc>
          <w:tcPr>
            <w:tcW w:w="1531" w:type="dxa"/>
            <w:vAlign w:val="center"/>
          </w:tcPr>
          <w:p w14:paraId="508C4D79" w14:textId="77777777" w:rsidR="004A4B52" w:rsidRPr="00F95D3F" w:rsidRDefault="005B3E51" w:rsidP="00492B79">
            <w:pPr>
              <w:pStyle w:val="Tabletext"/>
              <w:ind w:left="-57" w:right="-57"/>
              <w:jc w:val="center"/>
              <w:rPr>
                <w:noProof/>
              </w:rPr>
            </w:pPr>
            <w:r w:rsidRPr="00F95D3F">
              <w:rPr>
                <w:noProof/>
              </w:rPr>
              <w:t>1 427</w:t>
            </w:r>
            <w:r>
              <w:rPr>
                <w:noProof/>
              </w:rPr>
              <w:t>-</w:t>
            </w:r>
            <w:r w:rsidRPr="00F95D3F">
              <w:rPr>
                <w:noProof/>
              </w:rPr>
              <w:t>1 429 MHz</w:t>
            </w:r>
          </w:p>
        </w:tc>
        <w:tc>
          <w:tcPr>
            <w:tcW w:w="1701" w:type="dxa"/>
            <w:vAlign w:val="center"/>
          </w:tcPr>
          <w:p w14:paraId="3184F0FA" w14:textId="77777777" w:rsidR="004A4B52" w:rsidRPr="00F95D3F" w:rsidRDefault="005B3E51" w:rsidP="00492B79">
            <w:pPr>
              <w:pStyle w:val="Tabletext"/>
              <w:jc w:val="center"/>
              <w:rPr>
                <w:noProof/>
              </w:rPr>
            </w:pPr>
            <w:r w:rsidRPr="00F95D3F">
              <w:rPr>
                <w:noProof/>
              </w:rPr>
              <w:t xml:space="preserve">Exploitation spatiale </w:t>
            </w:r>
            <w:r w:rsidRPr="00F95D3F">
              <w:rPr>
                <w:noProof/>
              </w:rPr>
              <w:br/>
              <w:t>(Terre vers espace)</w:t>
            </w:r>
          </w:p>
        </w:tc>
        <w:tc>
          <w:tcPr>
            <w:tcW w:w="4876" w:type="dxa"/>
            <w:vAlign w:val="center"/>
          </w:tcPr>
          <w:p w14:paraId="541D6E60" w14:textId="77777777" w:rsidR="004A4B52" w:rsidRPr="00F95D3F" w:rsidRDefault="005B3E51" w:rsidP="00492B79">
            <w:pPr>
              <w:pStyle w:val="Tabletext"/>
              <w:rPr>
                <w:noProof/>
              </w:rPr>
            </w:pPr>
            <w:r w:rsidRPr="00F95D3F">
              <w:rPr>
                <w:noProof/>
              </w:rPr>
              <w:t xml:space="preserve">–36 dBW </w:t>
            </w:r>
            <w:r w:rsidRPr="00F95D3F">
              <w:t>dans les 27 MHz de la bande attribuée au SETS (passive)</w:t>
            </w:r>
          </w:p>
        </w:tc>
      </w:tr>
      <w:tr w:rsidR="004A4B52" w:rsidRPr="00F95D3F" w14:paraId="359F1108" w14:textId="77777777" w:rsidTr="00BB1E7C">
        <w:trPr>
          <w:jc w:val="center"/>
        </w:trPr>
        <w:tc>
          <w:tcPr>
            <w:tcW w:w="1531" w:type="dxa"/>
            <w:vMerge/>
            <w:vAlign w:val="center"/>
          </w:tcPr>
          <w:p w14:paraId="58F5693E" w14:textId="77777777" w:rsidR="004A4B52" w:rsidRPr="00F95D3F" w:rsidRDefault="009D0EF5" w:rsidP="00492B79">
            <w:pPr>
              <w:pStyle w:val="Tabletext"/>
              <w:ind w:left="-57" w:right="-57"/>
              <w:jc w:val="center"/>
              <w:rPr>
                <w:noProof/>
              </w:rPr>
            </w:pPr>
          </w:p>
        </w:tc>
        <w:tc>
          <w:tcPr>
            <w:tcW w:w="1531" w:type="dxa"/>
            <w:vMerge w:val="restart"/>
            <w:vAlign w:val="center"/>
          </w:tcPr>
          <w:p w14:paraId="59D3556D" w14:textId="77777777" w:rsidR="004A4B52" w:rsidRPr="00F95D3F" w:rsidRDefault="005B3E51" w:rsidP="00492B79">
            <w:pPr>
              <w:pStyle w:val="Tabletext"/>
              <w:ind w:left="-57" w:right="-57"/>
              <w:jc w:val="center"/>
              <w:rPr>
                <w:noProof/>
              </w:rPr>
            </w:pPr>
            <w:r w:rsidRPr="00F95D3F">
              <w:rPr>
                <w:noProof/>
              </w:rPr>
              <w:t>1 427</w:t>
            </w:r>
            <w:r>
              <w:rPr>
                <w:noProof/>
              </w:rPr>
              <w:t>-</w:t>
            </w:r>
            <w:r w:rsidRPr="00F95D3F">
              <w:rPr>
                <w:noProof/>
              </w:rPr>
              <w:t>1 429 MHz</w:t>
            </w:r>
          </w:p>
        </w:tc>
        <w:tc>
          <w:tcPr>
            <w:tcW w:w="1701" w:type="dxa"/>
            <w:vAlign w:val="center"/>
          </w:tcPr>
          <w:p w14:paraId="1B8111A3" w14:textId="77777777" w:rsidR="004A4B52" w:rsidRPr="00F95D3F" w:rsidRDefault="005B3E51" w:rsidP="00492B79">
            <w:pPr>
              <w:pStyle w:val="Tabletext"/>
              <w:jc w:val="center"/>
              <w:rPr>
                <w:noProof/>
              </w:rPr>
            </w:pPr>
            <w:r w:rsidRPr="00F95D3F">
              <w:rPr>
                <w:noProof/>
              </w:rPr>
              <w:t>Mobile sauf mobile aéronautique</w:t>
            </w:r>
          </w:p>
        </w:tc>
        <w:tc>
          <w:tcPr>
            <w:tcW w:w="4876" w:type="dxa"/>
            <w:vAlign w:val="center"/>
          </w:tcPr>
          <w:p w14:paraId="418E684A" w14:textId="77777777" w:rsidR="004A4B52" w:rsidRPr="00F95D3F" w:rsidRDefault="005B3E51" w:rsidP="00492B79">
            <w:pPr>
              <w:pStyle w:val="Tabletext"/>
            </w:pPr>
            <w:r w:rsidRPr="00F95D3F">
              <w:t xml:space="preserve">–60 dBW dans les 27 MHz de la bande attribuée au SETS pour les stations du service mobile sauf </w:t>
            </w:r>
            <w:r>
              <w:t xml:space="preserve">les stations IMT et </w:t>
            </w:r>
            <w:r w:rsidRPr="00F95D3F">
              <w:t>les stations hertziennes transportables</w:t>
            </w:r>
            <w:r w:rsidRPr="00F95D3F">
              <w:rPr>
                <w:vertAlign w:val="superscript"/>
              </w:rPr>
              <w:t>3</w:t>
            </w:r>
          </w:p>
          <w:p w14:paraId="0F43C311" w14:textId="77777777" w:rsidR="004A4B52" w:rsidRPr="00F95D3F" w:rsidRDefault="005B3E51" w:rsidP="00492B79">
            <w:pPr>
              <w:pStyle w:val="Tabletext"/>
            </w:pPr>
            <w:r w:rsidRPr="00F95D3F">
              <w:t>–45 dBW dans les 27 MHz de la bande attribuée au SETS (passive) pour les stations hertziennes transportables</w:t>
            </w:r>
          </w:p>
        </w:tc>
      </w:tr>
      <w:tr w:rsidR="004A4B52" w:rsidRPr="00F95D3F" w14:paraId="6CD2F7A0" w14:textId="77777777" w:rsidTr="00BB1E7C">
        <w:trPr>
          <w:jc w:val="center"/>
        </w:trPr>
        <w:tc>
          <w:tcPr>
            <w:tcW w:w="1531" w:type="dxa"/>
            <w:vMerge/>
            <w:vAlign w:val="center"/>
          </w:tcPr>
          <w:p w14:paraId="325D400A" w14:textId="77777777" w:rsidR="004A4B52" w:rsidRPr="00F95D3F" w:rsidRDefault="009D0EF5" w:rsidP="00492B79">
            <w:pPr>
              <w:pStyle w:val="Tabletext"/>
              <w:ind w:left="-57" w:right="-57"/>
              <w:jc w:val="center"/>
              <w:rPr>
                <w:noProof/>
              </w:rPr>
            </w:pPr>
          </w:p>
        </w:tc>
        <w:tc>
          <w:tcPr>
            <w:tcW w:w="1531" w:type="dxa"/>
            <w:vMerge/>
            <w:vAlign w:val="center"/>
          </w:tcPr>
          <w:p w14:paraId="3E6E9B32" w14:textId="77777777" w:rsidR="004A4B52" w:rsidRPr="00F95D3F" w:rsidRDefault="009D0EF5" w:rsidP="00492B79">
            <w:pPr>
              <w:pStyle w:val="Tabletext"/>
              <w:ind w:left="-57" w:right="-57"/>
              <w:jc w:val="center"/>
              <w:rPr>
                <w:noProof/>
              </w:rPr>
            </w:pPr>
          </w:p>
        </w:tc>
        <w:tc>
          <w:tcPr>
            <w:tcW w:w="1701" w:type="dxa"/>
            <w:vAlign w:val="center"/>
          </w:tcPr>
          <w:p w14:paraId="3444A5A8" w14:textId="77777777" w:rsidR="004A4B52" w:rsidRPr="00F95D3F" w:rsidRDefault="005B3E51" w:rsidP="00492B79">
            <w:pPr>
              <w:pStyle w:val="Tabletext"/>
              <w:jc w:val="center"/>
              <w:rPr>
                <w:noProof/>
              </w:rPr>
            </w:pPr>
            <w:r w:rsidRPr="00F95D3F">
              <w:rPr>
                <w:noProof/>
              </w:rPr>
              <w:t>Fixe</w:t>
            </w:r>
          </w:p>
        </w:tc>
        <w:tc>
          <w:tcPr>
            <w:tcW w:w="4876" w:type="dxa"/>
            <w:vAlign w:val="center"/>
          </w:tcPr>
          <w:p w14:paraId="4893E55D" w14:textId="77777777" w:rsidR="004A4B52" w:rsidRPr="00F95D3F" w:rsidRDefault="005B3E51" w:rsidP="00492B79">
            <w:pPr>
              <w:pStyle w:val="Tabletext"/>
              <w:rPr>
                <w:noProof/>
                <w:vertAlign w:val="superscript"/>
              </w:rPr>
            </w:pPr>
            <w:r w:rsidRPr="00F95D3F">
              <w:rPr>
                <w:noProof/>
              </w:rPr>
              <w:t xml:space="preserve">–45 dBW </w:t>
            </w:r>
            <w:r w:rsidRPr="00F95D3F">
              <w:t xml:space="preserve">dans les 27 MHz de la bande attribuée au SETS (passive) </w:t>
            </w:r>
            <w:r w:rsidRPr="00F95D3F">
              <w:rPr>
                <w:noProof/>
              </w:rPr>
              <w:t>pour les systèmes point à point</w:t>
            </w:r>
          </w:p>
        </w:tc>
      </w:tr>
      <w:tr w:rsidR="004A4B52" w:rsidRPr="00F95D3F" w14:paraId="32DCC4FE" w14:textId="77777777" w:rsidTr="00BB1E7C">
        <w:trPr>
          <w:jc w:val="center"/>
        </w:trPr>
        <w:tc>
          <w:tcPr>
            <w:tcW w:w="1531" w:type="dxa"/>
            <w:vMerge/>
            <w:vAlign w:val="center"/>
          </w:tcPr>
          <w:p w14:paraId="7472A2F8" w14:textId="77777777" w:rsidR="004A4B52" w:rsidRPr="00F95D3F" w:rsidRDefault="009D0EF5" w:rsidP="00492B79">
            <w:pPr>
              <w:pStyle w:val="Tabletext"/>
              <w:keepLines/>
              <w:ind w:left="-57" w:right="-57"/>
              <w:jc w:val="center"/>
              <w:rPr>
                <w:noProof/>
              </w:rPr>
            </w:pPr>
          </w:p>
        </w:tc>
        <w:tc>
          <w:tcPr>
            <w:tcW w:w="1531" w:type="dxa"/>
            <w:vMerge w:val="restart"/>
            <w:vAlign w:val="center"/>
          </w:tcPr>
          <w:p w14:paraId="6CE2E905" w14:textId="77777777" w:rsidR="004A4B52" w:rsidRPr="00F95D3F" w:rsidRDefault="005B3E51" w:rsidP="00492B79">
            <w:pPr>
              <w:pStyle w:val="Tabletext"/>
              <w:keepLines/>
              <w:ind w:left="-57" w:right="-57"/>
              <w:jc w:val="center"/>
              <w:rPr>
                <w:noProof/>
              </w:rPr>
            </w:pPr>
            <w:r w:rsidRPr="00F95D3F">
              <w:rPr>
                <w:noProof/>
              </w:rPr>
              <w:t>1 429</w:t>
            </w:r>
            <w:r>
              <w:rPr>
                <w:noProof/>
              </w:rPr>
              <w:t>-</w:t>
            </w:r>
            <w:r w:rsidRPr="00F95D3F">
              <w:rPr>
                <w:noProof/>
              </w:rPr>
              <w:t>1 452 MHz</w:t>
            </w:r>
          </w:p>
        </w:tc>
        <w:tc>
          <w:tcPr>
            <w:tcW w:w="1701" w:type="dxa"/>
            <w:vAlign w:val="center"/>
          </w:tcPr>
          <w:p w14:paraId="5812586E" w14:textId="77777777" w:rsidR="004A4B52" w:rsidRPr="00F95D3F" w:rsidRDefault="005B3E51" w:rsidP="00492B79">
            <w:pPr>
              <w:pStyle w:val="Tabletext"/>
              <w:keepLines/>
              <w:jc w:val="center"/>
              <w:rPr>
                <w:noProof/>
              </w:rPr>
            </w:pPr>
            <w:r w:rsidRPr="00F95D3F">
              <w:rPr>
                <w:noProof/>
              </w:rPr>
              <w:t>Mobile</w:t>
            </w:r>
          </w:p>
        </w:tc>
        <w:tc>
          <w:tcPr>
            <w:tcW w:w="4876" w:type="dxa"/>
          </w:tcPr>
          <w:p w14:paraId="52D7584A" w14:textId="77777777" w:rsidR="004A4B52" w:rsidRPr="00F95D3F" w:rsidRDefault="005B3E51" w:rsidP="00492B79">
            <w:pPr>
              <w:pStyle w:val="Tabletext"/>
            </w:pPr>
            <w:r w:rsidRPr="00F95D3F">
              <w:t xml:space="preserve">–60 dBW dans les 27 MHz de la bande attribuée au SETS (passive) pour les stations du service mobile sauf </w:t>
            </w:r>
            <w:r>
              <w:t xml:space="preserve">les stations IMT, </w:t>
            </w:r>
            <w:r w:rsidRPr="00F95D3F">
              <w:t>les stations hertziennes transportables</w:t>
            </w:r>
            <w:r>
              <w:t xml:space="preserve"> et les stations de télémesure aéronautique</w:t>
            </w:r>
          </w:p>
          <w:p w14:paraId="2A62F10A" w14:textId="77777777" w:rsidR="004A4B52" w:rsidRPr="00F95D3F" w:rsidRDefault="005B3E51" w:rsidP="00492B79">
            <w:pPr>
              <w:pStyle w:val="Tabletext"/>
            </w:pPr>
            <w:r w:rsidRPr="00F95D3F">
              <w:t>–45 dBW dans les 27 MHz de la bande attribuée au SETS (passive) pour les stations hertziennes transportables</w:t>
            </w:r>
            <w:r>
              <w:t xml:space="preserve"> </w:t>
            </w:r>
          </w:p>
          <w:p w14:paraId="30C5E486" w14:textId="77777777" w:rsidR="004A4B52" w:rsidRPr="00F95D3F" w:rsidRDefault="005B3E51" w:rsidP="00492B79">
            <w:pPr>
              <w:pStyle w:val="Tabletext"/>
            </w:pPr>
            <w:r w:rsidRPr="00F95D3F">
              <w:t>–28 dBW dans les 27 MHz de la bande attribuée au SETS (passive) pour les stations de télémesure aéronautique</w:t>
            </w:r>
            <w:r>
              <w:rPr>
                <w:vertAlign w:val="superscript"/>
              </w:rPr>
              <w:t>3</w:t>
            </w:r>
          </w:p>
        </w:tc>
      </w:tr>
      <w:tr w:rsidR="004A4B52" w:rsidRPr="00F95D3F" w14:paraId="632A560B" w14:textId="77777777" w:rsidTr="00BB1E7C">
        <w:trPr>
          <w:jc w:val="center"/>
        </w:trPr>
        <w:tc>
          <w:tcPr>
            <w:tcW w:w="1531" w:type="dxa"/>
            <w:vMerge/>
            <w:tcBorders>
              <w:bottom w:val="single" w:sz="4" w:space="0" w:color="auto"/>
            </w:tcBorders>
            <w:vAlign w:val="center"/>
          </w:tcPr>
          <w:p w14:paraId="5A7E15B8" w14:textId="77777777" w:rsidR="004A4B52" w:rsidRPr="00F95D3F" w:rsidRDefault="009D0EF5" w:rsidP="00492B79">
            <w:pPr>
              <w:pStyle w:val="Tabletext"/>
              <w:ind w:left="-57" w:right="-57"/>
              <w:jc w:val="center"/>
              <w:rPr>
                <w:noProof/>
              </w:rPr>
            </w:pPr>
          </w:p>
        </w:tc>
        <w:tc>
          <w:tcPr>
            <w:tcW w:w="1531" w:type="dxa"/>
            <w:vMerge/>
            <w:tcBorders>
              <w:bottom w:val="single" w:sz="4" w:space="0" w:color="auto"/>
            </w:tcBorders>
            <w:vAlign w:val="center"/>
          </w:tcPr>
          <w:p w14:paraId="32141EB1" w14:textId="77777777" w:rsidR="004A4B52" w:rsidRPr="00F95D3F" w:rsidRDefault="009D0EF5" w:rsidP="00492B79">
            <w:pPr>
              <w:pStyle w:val="Tabletext"/>
              <w:keepLines/>
              <w:ind w:left="-57" w:right="-57"/>
              <w:jc w:val="center"/>
              <w:rPr>
                <w:noProof/>
              </w:rPr>
            </w:pPr>
          </w:p>
        </w:tc>
        <w:tc>
          <w:tcPr>
            <w:tcW w:w="1701" w:type="dxa"/>
            <w:tcBorders>
              <w:bottom w:val="single" w:sz="4" w:space="0" w:color="auto"/>
            </w:tcBorders>
            <w:vAlign w:val="center"/>
          </w:tcPr>
          <w:p w14:paraId="48EA46E4" w14:textId="77777777" w:rsidR="004A4B52" w:rsidRPr="00F95D3F" w:rsidRDefault="005B3E51" w:rsidP="00492B79">
            <w:pPr>
              <w:pStyle w:val="Tabletext"/>
              <w:keepLines/>
              <w:jc w:val="center"/>
              <w:rPr>
                <w:noProof/>
              </w:rPr>
            </w:pPr>
            <w:r w:rsidRPr="00F95D3F">
              <w:rPr>
                <w:noProof/>
              </w:rPr>
              <w:t>Fixe</w:t>
            </w:r>
          </w:p>
        </w:tc>
        <w:tc>
          <w:tcPr>
            <w:tcW w:w="4876" w:type="dxa"/>
            <w:tcBorders>
              <w:bottom w:val="single" w:sz="4" w:space="0" w:color="auto"/>
            </w:tcBorders>
          </w:tcPr>
          <w:p w14:paraId="5EAE6375" w14:textId="77777777" w:rsidR="004A4B52" w:rsidRPr="00F95D3F" w:rsidRDefault="005B3E51" w:rsidP="00492B79">
            <w:pPr>
              <w:pStyle w:val="Tabletext"/>
              <w:keepLines/>
              <w:rPr>
                <w:noProof/>
              </w:rPr>
            </w:pPr>
            <w:r w:rsidRPr="00F95D3F">
              <w:rPr>
                <w:noProof/>
              </w:rPr>
              <w:t xml:space="preserve">–45 dBW </w:t>
            </w:r>
            <w:r w:rsidRPr="00F95D3F">
              <w:t xml:space="preserve">dans les 27 MHz de la bande attribuée au SETS (passive) </w:t>
            </w:r>
            <w:r w:rsidRPr="00F95D3F">
              <w:rPr>
                <w:noProof/>
              </w:rPr>
              <w:t>pour les systèmes point à point</w:t>
            </w:r>
          </w:p>
        </w:tc>
      </w:tr>
      <w:tr w:rsidR="004A4B52" w:rsidRPr="00F95D3F" w14:paraId="26B43B0C" w14:textId="77777777" w:rsidTr="00BB1E7C">
        <w:trPr>
          <w:jc w:val="center"/>
        </w:trPr>
        <w:tc>
          <w:tcPr>
            <w:tcW w:w="1531" w:type="dxa"/>
            <w:tcBorders>
              <w:bottom w:val="single" w:sz="4" w:space="0" w:color="auto"/>
            </w:tcBorders>
            <w:vAlign w:val="center"/>
          </w:tcPr>
          <w:p w14:paraId="6A33DC54" w14:textId="77777777" w:rsidR="004A4B52" w:rsidRPr="00F95D3F" w:rsidRDefault="005B3E51" w:rsidP="00492B79">
            <w:pPr>
              <w:pStyle w:val="Tabletext"/>
              <w:ind w:left="-57" w:right="-57"/>
              <w:jc w:val="center"/>
              <w:rPr>
                <w:noProof/>
              </w:rPr>
            </w:pPr>
            <w:r w:rsidRPr="00F95D3F">
              <w:rPr>
                <w:noProof/>
              </w:rPr>
              <w:t>31,3</w:t>
            </w:r>
            <w:r>
              <w:rPr>
                <w:noProof/>
              </w:rPr>
              <w:t>-</w:t>
            </w:r>
            <w:r w:rsidRPr="00F95D3F">
              <w:rPr>
                <w:noProof/>
              </w:rPr>
              <w:t>31,5 GHz</w:t>
            </w:r>
          </w:p>
        </w:tc>
        <w:tc>
          <w:tcPr>
            <w:tcW w:w="1531" w:type="dxa"/>
            <w:tcBorders>
              <w:bottom w:val="single" w:sz="4" w:space="0" w:color="auto"/>
            </w:tcBorders>
            <w:vAlign w:val="center"/>
          </w:tcPr>
          <w:p w14:paraId="629877C7" w14:textId="77777777" w:rsidR="004A4B52" w:rsidRPr="00F95D3F" w:rsidRDefault="005B3E51" w:rsidP="00492B79">
            <w:pPr>
              <w:pStyle w:val="Tabletext"/>
              <w:keepLines/>
              <w:ind w:left="-57" w:right="-57"/>
              <w:jc w:val="center"/>
              <w:rPr>
                <w:noProof/>
              </w:rPr>
            </w:pPr>
            <w:r w:rsidRPr="00F95D3F">
              <w:rPr>
                <w:noProof/>
              </w:rPr>
              <w:t>30,0</w:t>
            </w:r>
            <w:r>
              <w:rPr>
                <w:noProof/>
              </w:rPr>
              <w:t>-</w:t>
            </w:r>
            <w:r w:rsidRPr="00F95D3F">
              <w:rPr>
                <w:noProof/>
              </w:rPr>
              <w:t>31,0 GHz</w:t>
            </w:r>
          </w:p>
        </w:tc>
        <w:tc>
          <w:tcPr>
            <w:tcW w:w="1701" w:type="dxa"/>
            <w:tcBorders>
              <w:bottom w:val="single" w:sz="4" w:space="0" w:color="auto"/>
            </w:tcBorders>
            <w:vAlign w:val="center"/>
          </w:tcPr>
          <w:p w14:paraId="0E37F167" w14:textId="77777777" w:rsidR="004A4B52" w:rsidRPr="00F95D3F" w:rsidRDefault="005B3E51" w:rsidP="00492B79">
            <w:pPr>
              <w:pStyle w:val="Tabletext"/>
              <w:keepLines/>
              <w:jc w:val="center"/>
              <w:rPr>
                <w:noProof/>
                <w:vertAlign w:val="superscript"/>
              </w:rPr>
            </w:pPr>
            <w:r w:rsidRPr="00F95D3F">
              <w:rPr>
                <w:noProof/>
              </w:rPr>
              <w:t xml:space="preserve">Fixe par satellite </w:t>
            </w:r>
            <w:r w:rsidRPr="00F95D3F">
              <w:rPr>
                <w:noProof/>
              </w:rPr>
              <w:br/>
              <w:t>(Terre vers espace)</w:t>
            </w:r>
            <w:r>
              <w:rPr>
                <w:noProof/>
                <w:vertAlign w:val="superscript"/>
              </w:rPr>
              <w:t>4</w:t>
            </w:r>
          </w:p>
        </w:tc>
        <w:tc>
          <w:tcPr>
            <w:tcW w:w="4876" w:type="dxa"/>
            <w:tcBorders>
              <w:bottom w:val="single" w:sz="4" w:space="0" w:color="auto"/>
            </w:tcBorders>
          </w:tcPr>
          <w:p w14:paraId="1334A34F" w14:textId="77777777" w:rsidR="004A4B52" w:rsidRPr="00F95D3F" w:rsidRDefault="005B3E51" w:rsidP="00492B79">
            <w:pPr>
              <w:pStyle w:val="Tabletext"/>
            </w:pPr>
            <w:r w:rsidRPr="00F95D3F">
              <w:t>–9 dBW dans les 200 MHz de la bande attribuée au SETS (passive) pour une station terrienne dont le gain d'antenne est supérieur ou égal à 56 dBi</w:t>
            </w:r>
          </w:p>
          <w:p w14:paraId="6569CB97" w14:textId="77777777" w:rsidR="004A4B52" w:rsidRPr="00F95D3F" w:rsidRDefault="005B3E51" w:rsidP="00492B79">
            <w:pPr>
              <w:pStyle w:val="Tabletext"/>
            </w:pPr>
            <w:r w:rsidRPr="00F95D3F">
              <w:t>–20 dBW dans les 200 MHz de la bande attribuée au SETS (passive) pour une station terrienne dont le gain d'antenne est inférieur à 56 dBi</w:t>
            </w:r>
          </w:p>
        </w:tc>
      </w:tr>
      <w:tr w:rsidR="004A4B52" w:rsidRPr="00F95D3F" w14:paraId="5E891DAF" w14:textId="77777777" w:rsidTr="00BB1E7C">
        <w:trPr>
          <w:jc w:val="center"/>
        </w:trPr>
        <w:tc>
          <w:tcPr>
            <w:tcW w:w="1531" w:type="dxa"/>
            <w:vMerge w:val="restart"/>
            <w:vAlign w:val="center"/>
          </w:tcPr>
          <w:p w14:paraId="6B49F101" w14:textId="77777777" w:rsidR="004A4B52" w:rsidRPr="00F95D3F" w:rsidRDefault="005B3E51" w:rsidP="00492B79">
            <w:pPr>
              <w:pStyle w:val="Tabletext"/>
              <w:ind w:left="-57" w:right="-57"/>
              <w:jc w:val="center"/>
              <w:rPr>
                <w:noProof/>
              </w:rPr>
            </w:pPr>
            <w:r w:rsidRPr="00F95D3F">
              <w:lastRenderedPageBreak/>
              <w:t>86</w:t>
            </w:r>
            <w:r>
              <w:t>-</w:t>
            </w:r>
            <w:r w:rsidRPr="00F95D3F">
              <w:t>92 GHz</w:t>
            </w:r>
            <w:r>
              <w:rPr>
                <w:vertAlign w:val="superscript"/>
              </w:rPr>
              <w:t>5</w:t>
            </w:r>
          </w:p>
        </w:tc>
        <w:tc>
          <w:tcPr>
            <w:tcW w:w="1531" w:type="dxa"/>
            <w:tcBorders>
              <w:bottom w:val="single" w:sz="4" w:space="0" w:color="auto"/>
            </w:tcBorders>
            <w:vAlign w:val="center"/>
          </w:tcPr>
          <w:p w14:paraId="0EAFB5AB" w14:textId="77777777" w:rsidR="004A4B52" w:rsidRPr="00F95D3F" w:rsidRDefault="005B3E51" w:rsidP="00492B79">
            <w:pPr>
              <w:pStyle w:val="Tabletext"/>
              <w:keepLines/>
              <w:ind w:left="-57" w:right="-57"/>
              <w:jc w:val="center"/>
              <w:rPr>
                <w:noProof/>
              </w:rPr>
            </w:pPr>
            <w:r w:rsidRPr="00F95D3F">
              <w:t>81</w:t>
            </w:r>
            <w:r>
              <w:t>-</w:t>
            </w:r>
            <w:r w:rsidRPr="00F95D3F">
              <w:t>86 GHz</w:t>
            </w:r>
          </w:p>
        </w:tc>
        <w:tc>
          <w:tcPr>
            <w:tcW w:w="1701" w:type="dxa"/>
            <w:tcBorders>
              <w:bottom w:val="single" w:sz="4" w:space="0" w:color="auto"/>
            </w:tcBorders>
            <w:vAlign w:val="center"/>
          </w:tcPr>
          <w:p w14:paraId="05D90FCE" w14:textId="77777777" w:rsidR="004A4B52" w:rsidRPr="00F95D3F" w:rsidRDefault="005B3E51" w:rsidP="00492B79">
            <w:pPr>
              <w:pStyle w:val="Tabletext"/>
              <w:keepLines/>
              <w:jc w:val="center"/>
              <w:rPr>
                <w:noProof/>
                <w:vertAlign w:val="superscript"/>
              </w:rPr>
            </w:pPr>
            <w:r w:rsidRPr="00F95D3F">
              <w:t>Fixe</w:t>
            </w:r>
          </w:p>
        </w:tc>
        <w:tc>
          <w:tcPr>
            <w:tcW w:w="4876" w:type="dxa"/>
            <w:tcBorders>
              <w:bottom w:val="single" w:sz="4" w:space="0" w:color="auto"/>
            </w:tcBorders>
          </w:tcPr>
          <w:p w14:paraId="73400B87" w14:textId="77777777" w:rsidR="004A4B52" w:rsidRPr="00F95D3F" w:rsidRDefault="005B3E51" w:rsidP="00492B79">
            <w:pPr>
              <w:pStyle w:val="Tabletext"/>
            </w:pPr>
            <w:r w:rsidRPr="00F95D3F">
              <w:t>–41 – 14(</w:t>
            </w:r>
            <w:r w:rsidRPr="00F95D3F">
              <w:rPr>
                <w:i/>
                <w:iCs/>
              </w:rPr>
              <w:t>f</w:t>
            </w:r>
            <w:r w:rsidRPr="00F95D3F">
              <w:t xml:space="preserve"> – 86) dBW/100 MHz pour</w:t>
            </w:r>
            <w:r>
              <w:t> </w:t>
            </w:r>
            <w:r w:rsidRPr="00F95D3F">
              <w:t>86,05</w:t>
            </w:r>
            <w:r>
              <w:t> </w:t>
            </w:r>
            <w:r w:rsidRPr="00F95D3F">
              <w:sym w:font="Symbol" w:char="F0A3"/>
            </w:r>
            <w:r w:rsidRPr="00F95D3F">
              <w:t> </w:t>
            </w:r>
            <w:r w:rsidRPr="00F95D3F">
              <w:rPr>
                <w:i/>
                <w:iCs/>
              </w:rPr>
              <w:t>f</w:t>
            </w:r>
            <w:r w:rsidRPr="00F95D3F">
              <w:t> </w:t>
            </w:r>
            <w:r w:rsidRPr="00F95D3F">
              <w:sym w:font="Symbol" w:char="F0A3"/>
            </w:r>
            <w:r w:rsidRPr="00F95D3F">
              <w:t> 87 GHz</w:t>
            </w:r>
            <w:r>
              <w:br/>
            </w:r>
            <w:r w:rsidRPr="00F95D3F">
              <w:t>–55 dBW/100 MHz pour 87 </w:t>
            </w:r>
            <w:r w:rsidRPr="00F95D3F">
              <w:sym w:font="Symbol" w:char="F0A3"/>
            </w:r>
            <w:r w:rsidRPr="00F95D3F">
              <w:t> </w:t>
            </w:r>
            <w:r w:rsidRPr="00F95D3F">
              <w:rPr>
                <w:i/>
                <w:iCs/>
              </w:rPr>
              <w:t>f</w:t>
            </w:r>
            <w:r w:rsidRPr="00F95D3F">
              <w:t> </w:t>
            </w:r>
            <w:r w:rsidRPr="00F95D3F">
              <w:sym w:font="Symbol" w:char="F0A3"/>
            </w:r>
            <w:r w:rsidRPr="00F95D3F">
              <w:t> 91,95 GHz</w:t>
            </w:r>
          </w:p>
          <w:p w14:paraId="7B0734FF" w14:textId="77777777" w:rsidR="004A4B52" w:rsidRPr="00F95D3F" w:rsidRDefault="005B3E51" w:rsidP="00492B79">
            <w:pPr>
              <w:pStyle w:val="Tabletext"/>
            </w:pPr>
            <w:r w:rsidRPr="00F95D3F">
              <w:t xml:space="preserve">où </w:t>
            </w:r>
            <w:r w:rsidRPr="00F95D3F">
              <w:rPr>
                <w:i/>
                <w:iCs/>
              </w:rPr>
              <w:t>f</w:t>
            </w:r>
            <w:r w:rsidRPr="00F95D3F">
              <w:t xml:space="preserve"> est la fréquence centrale de la largeur de bande de référence de 100 MHz, exprimée en GHz</w:t>
            </w:r>
          </w:p>
        </w:tc>
      </w:tr>
      <w:tr w:rsidR="004A4B52" w:rsidRPr="00F95D3F" w14:paraId="2CF077DD" w14:textId="77777777" w:rsidTr="00BB1E7C">
        <w:trPr>
          <w:jc w:val="center"/>
        </w:trPr>
        <w:tc>
          <w:tcPr>
            <w:tcW w:w="1531" w:type="dxa"/>
            <w:vMerge/>
            <w:tcBorders>
              <w:bottom w:val="single" w:sz="4" w:space="0" w:color="auto"/>
            </w:tcBorders>
            <w:vAlign w:val="center"/>
          </w:tcPr>
          <w:p w14:paraId="4D44B6F0" w14:textId="77777777" w:rsidR="004A4B52" w:rsidRPr="00F95D3F" w:rsidRDefault="009D0EF5" w:rsidP="00492B79">
            <w:pPr>
              <w:pStyle w:val="Tabletext"/>
              <w:keepLines/>
              <w:ind w:left="-57" w:right="-57"/>
              <w:jc w:val="center"/>
              <w:rPr>
                <w:noProof/>
              </w:rPr>
            </w:pPr>
          </w:p>
        </w:tc>
        <w:tc>
          <w:tcPr>
            <w:tcW w:w="1531" w:type="dxa"/>
            <w:tcBorders>
              <w:bottom w:val="single" w:sz="4" w:space="0" w:color="auto"/>
            </w:tcBorders>
            <w:vAlign w:val="center"/>
          </w:tcPr>
          <w:p w14:paraId="602AF266" w14:textId="77777777" w:rsidR="004A4B52" w:rsidRPr="00F95D3F" w:rsidRDefault="005B3E51" w:rsidP="00492B79">
            <w:pPr>
              <w:pStyle w:val="Tabletext"/>
              <w:keepLines/>
              <w:ind w:left="-57" w:right="-57"/>
              <w:jc w:val="center"/>
              <w:rPr>
                <w:noProof/>
              </w:rPr>
            </w:pPr>
            <w:r w:rsidRPr="00F95D3F">
              <w:t>92</w:t>
            </w:r>
            <w:r>
              <w:t>-</w:t>
            </w:r>
            <w:r w:rsidRPr="00F95D3F">
              <w:t>94 GHz</w:t>
            </w:r>
          </w:p>
        </w:tc>
        <w:tc>
          <w:tcPr>
            <w:tcW w:w="1701" w:type="dxa"/>
            <w:tcBorders>
              <w:bottom w:val="single" w:sz="4" w:space="0" w:color="auto"/>
            </w:tcBorders>
            <w:vAlign w:val="center"/>
          </w:tcPr>
          <w:p w14:paraId="6AA20B65" w14:textId="77777777" w:rsidR="004A4B52" w:rsidRPr="00F95D3F" w:rsidRDefault="005B3E51" w:rsidP="00492B79">
            <w:pPr>
              <w:pStyle w:val="Tabletext"/>
              <w:keepLines/>
              <w:jc w:val="center"/>
              <w:rPr>
                <w:noProof/>
                <w:vertAlign w:val="superscript"/>
              </w:rPr>
            </w:pPr>
            <w:r w:rsidRPr="00F95D3F">
              <w:t>Fixe</w:t>
            </w:r>
          </w:p>
        </w:tc>
        <w:tc>
          <w:tcPr>
            <w:tcW w:w="4876" w:type="dxa"/>
            <w:tcBorders>
              <w:bottom w:val="single" w:sz="4" w:space="0" w:color="auto"/>
            </w:tcBorders>
          </w:tcPr>
          <w:p w14:paraId="659C0173" w14:textId="77777777" w:rsidR="004A4B52" w:rsidRPr="00F95D3F" w:rsidRDefault="005B3E51" w:rsidP="00492B79">
            <w:pPr>
              <w:pStyle w:val="Tabletext"/>
            </w:pPr>
            <w:r w:rsidRPr="00F95D3F">
              <w:t xml:space="preserve">–41 – 14(92 – </w:t>
            </w:r>
            <w:r w:rsidRPr="006702C8">
              <w:rPr>
                <w:i/>
                <w:iCs/>
              </w:rPr>
              <w:t>f</w:t>
            </w:r>
            <w:r w:rsidRPr="00F95D3F">
              <w:t xml:space="preserve">) dBW/100 MHz pour 91 </w:t>
            </w:r>
            <w:r w:rsidRPr="00F95D3F">
              <w:sym w:font="Symbol" w:char="F0A3"/>
            </w:r>
            <w:r w:rsidRPr="00F95D3F">
              <w:t xml:space="preserve"> </w:t>
            </w:r>
            <w:r w:rsidRPr="00F95D3F">
              <w:rPr>
                <w:i/>
                <w:iCs/>
              </w:rPr>
              <w:t xml:space="preserve">f </w:t>
            </w:r>
            <w:r w:rsidRPr="00F95D3F">
              <w:sym w:font="Symbol" w:char="F0A3"/>
            </w:r>
            <w:r w:rsidRPr="00F95D3F">
              <w:t> 91,95 GHz</w:t>
            </w:r>
            <w:r w:rsidRPr="00F95D3F">
              <w:br/>
              <w:t xml:space="preserve">–55 dBW/100 MHz pour 86,05 </w:t>
            </w:r>
            <w:r w:rsidRPr="00F95D3F">
              <w:sym w:font="Symbol" w:char="F0A3"/>
            </w:r>
            <w:r w:rsidRPr="00F95D3F">
              <w:t> </w:t>
            </w:r>
            <w:r w:rsidRPr="00F95D3F">
              <w:rPr>
                <w:i/>
                <w:iCs/>
              </w:rPr>
              <w:t>f</w:t>
            </w:r>
            <w:r w:rsidRPr="00F95D3F">
              <w:t> </w:t>
            </w:r>
            <w:r w:rsidRPr="00F95D3F">
              <w:sym w:font="Symbol" w:char="F0A3"/>
            </w:r>
            <w:r w:rsidRPr="00F95D3F">
              <w:t xml:space="preserve"> 91 GHz </w:t>
            </w:r>
            <w:r w:rsidRPr="00F95D3F">
              <w:br/>
              <w:t xml:space="preserve">où </w:t>
            </w:r>
            <w:r w:rsidRPr="00DF00BF">
              <w:rPr>
                <w:i/>
                <w:iCs/>
              </w:rPr>
              <w:t>f</w:t>
            </w:r>
            <w:r w:rsidRPr="00F95D3F">
              <w:t xml:space="preserve"> est la fréquence centrale de la largeur de bande de référence de 100 MHz, exprimée en GHz</w:t>
            </w:r>
          </w:p>
        </w:tc>
      </w:tr>
    </w:tbl>
    <w:p w14:paraId="20332005" w14:textId="77777777" w:rsidR="004A4B52" w:rsidRDefault="009D0EF5" w:rsidP="00492B7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A4B52" w:rsidRPr="00F95D3F" w14:paraId="364CFFA4" w14:textId="77777777" w:rsidTr="00BB1E7C">
        <w:trPr>
          <w:trHeight w:val="3010"/>
          <w:jc w:val="center"/>
        </w:trPr>
        <w:tc>
          <w:tcPr>
            <w:tcW w:w="9639" w:type="dxa"/>
            <w:tcBorders>
              <w:top w:val="nil"/>
              <w:left w:val="nil"/>
              <w:bottom w:val="nil"/>
              <w:right w:val="nil"/>
            </w:tcBorders>
            <w:vAlign w:val="center"/>
          </w:tcPr>
          <w:p w14:paraId="64602546" w14:textId="77777777" w:rsidR="004A4B52" w:rsidRPr="005845E2" w:rsidRDefault="005B3E51" w:rsidP="00492B79">
            <w:pPr>
              <w:rPr>
                <w:i/>
                <w:iCs/>
                <w:sz w:val="20"/>
              </w:rPr>
            </w:pPr>
            <w:r w:rsidRPr="005845E2">
              <w:rPr>
                <w:i/>
                <w:iCs/>
                <w:sz w:val="20"/>
              </w:rPr>
              <w:t>Notes au Tableau 1-2</w:t>
            </w:r>
            <w:r w:rsidRPr="005845E2">
              <w:rPr>
                <w:sz w:val="20"/>
              </w:rPr>
              <w:t>:</w:t>
            </w:r>
          </w:p>
          <w:p w14:paraId="5782D6E1" w14:textId="77777777" w:rsidR="004A4B52" w:rsidRPr="00F95D3F" w:rsidRDefault="005B3E51" w:rsidP="00492B79">
            <w:pPr>
              <w:pStyle w:val="Tablelegend"/>
            </w:pPr>
            <w:r w:rsidRPr="00F95D3F">
              <w:rPr>
                <w:vertAlign w:val="superscript"/>
              </w:rPr>
              <w:t>1</w:t>
            </w:r>
            <w:r w:rsidRPr="00F95D3F">
              <w:tab/>
              <w:t>Le niveau de puissance des rayonnements non désirés désigne ici le niveau mesuré aux bornes de l'antenne.</w:t>
            </w:r>
          </w:p>
          <w:p w14:paraId="517A5785" w14:textId="77777777" w:rsidR="004A4B52" w:rsidRPr="00F95D3F" w:rsidRDefault="005B3E51" w:rsidP="00492B79">
            <w:pPr>
              <w:pStyle w:val="Tablelegend"/>
              <w:rPr>
                <w:noProof/>
              </w:rPr>
            </w:pPr>
            <w:r w:rsidRPr="00F95D3F">
              <w:rPr>
                <w:vertAlign w:val="superscript"/>
              </w:rPr>
              <w:t>2</w:t>
            </w:r>
            <w:r w:rsidRPr="00F95D3F">
              <w:rPr>
                <w:vertAlign w:val="superscript"/>
              </w:rPr>
              <w:tab/>
            </w:r>
            <w:r w:rsidRPr="00F95D3F">
              <w:t xml:space="preserve">La puissance moyenne désigne ici la puissance totale mesurée aux bornes de l'antenne (ou un équivalent) dans la bande </w:t>
            </w:r>
            <w:r w:rsidRPr="005B0269">
              <w:rPr>
                <w:lang w:val="fr-CH"/>
              </w:rPr>
              <w:t xml:space="preserve">de fréquences </w:t>
            </w:r>
            <w:r w:rsidRPr="00F95D3F">
              <w:t>1 400</w:t>
            </w:r>
            <w:r>
              <w:t>-</w:t>
            </w:r>
            <w:r w:rsidRPr="00F95D3F">
              <w:t>1 427 MHz, moyennée sur une période de l'ordre de 5 secondes.</w:t>
            </w:r>
          </w:p>
          <w:p w14:paraId="5D7C64BA" w14:textId="77777777" w:rsidR="004A4B52" w:rsidRPr="00F95D3F" w:rsidRDefault="005B3E51" w:rsidP="00492B79">
            <w:pPr>
              <w:pStyle w:val="Tablelegend"/>
              <w:rPr>
                <w:lang w:eastAsia="ja-JP"/>
              </w:rPr>
            </w:pPr>
            <w:r>
              <w:rPr>
                <w:vertAlign w:val="superscript"/>
                <w:lang w:eastAsia="ja-JP"/>
              </w:rPr>
              <w:t>3</w:t>
            </w:r>
            <w:r w:rsidRPr="00F95D3F">
              <w:rPr>
                <w:vertAlign w:val="superscript"/>
                <w:lang w:eastAsia="ja-JP"/>
              </w:rPr>
              <w:tab/>
            </w:r>
            <w:r w:rsidRPr="00F95D3F">
              <w:rPr>
                <w:lang w:eastAsia="ja-JP"/>
              </w:rPr>
              <w:t xml:space="preserve">La bande </w:t>
            </w:r>
            <w:r w:rsidRPr="005B0269">
              <w:rPr>
                <w:lang w:val="fr-CH"/>
              </w:rPr>
              <w:t xml:space="preserve">de fréquences </w:t>
            </w:r>
            <w:r w:rsidRPr="00F95D3F">
              <w:rPr>
                <w:lang w:eastAsia="ja-JP"/>
              </w:rPr>
              <w:t>1 429-1 435 MHz est, de plus, attribuée à titre primaire au service mobile aéronautique dans huit pays de la Région 1, exclusivement à des fins de télémesure aéronautique sur leur territoire national (</w:t>
            </w:r>
            <w:r w:rsidRPr="00F95D3F">
              <w:t>numéro</w:t>
            </w:r>
            <w:r>
              <w:t> </w:t>
            </w:r>
            <w:r w:rsidRPr="00F95D3F">
              <w:rPr>
                <w:b/>
                <w:bCs/>
                <w:lang w:eastAsia="ja-JP"/>
              </w:rPr>
              <w:t>5.342</w:t>
            </w:r>
            <w:r w:rsidRPr="00F95D3F">
              <w:rPr>
                <w:lang w:eastAsia="ja-JP"/>
              </w:rPr>
              <w:t>).</w:t>
            </w:r>
          </w:p>
          <w:p w14:paraId="0831247E" w14:textId="77777777" w:rsidR="004A4B52" w:rsidRPr="00F95D3F" w:rsidRDefault="005B3E51" w:rsidP="00492B79">
            <w:pPr>
              <w:pStyle w:val="Tablelegend"/>
            </w:pPr>
            <w:r>
              <w:rPr>
                <w:vertAlign w:val="superscript"/>
              </w:rPr>
              <w:t>4</w:t>
            </w:r>
            <w:r w:rsidRPr="00F95D3F">
              <w:rPr>
                <w:vertAlign w:val="superscript"/>
              </w:rPr>
              <w:tab/>
            </w:r>
            <w:r w:rsidRPr="00F95D3F">
              <w:t>Les niveaux maximaux recommandés s'appliquent par temps clair. Dans des conditions d'évanouissements, les stations terriennes peuvent dépasser ces niveaux lorsqu'elles utilisent une régulation de puissance sur la liaison montante.</w:t>
            </w:r>
          </w:p>
          <w:p w14:paraId="60519EFB" w14:textId="77777777" w:rsidR="004A4B52" w:rsidRPr="00F95D3F" w:rsidRDefault="005B3E51" w:rsidP="00492B79">
            <w:pPr>
              <w:tabs>
                <w:tab w:val="left" w:pos="581"/>
              </w:tabs>
              <w:rPr>
                <w:noProof/>
              </w:rPr>
            </w:pPr>
            <w:r w:rsidRPr="004B09C7">
              <w:rPr>
                <w:vertAlign w:val="superscript"/>
              </w:rPr>
              <w:t>5</w:t>
            </w:r>
            <w:r w:rsidRPr="009C0C33">
              <w:rPr>
                <w:sz w:val="20"/>
              </w:rPr>
              <w:tab/>
              <w:t>D'autres niveaux maximaux de rayonnements non désirés peuvent être définis sur la base des différents scénarios présentés dans le Rapport UIT-R F.2239 pour la bande de fréquences 86-92 GHz.</w:t>
            </w:r>
          </w:p>
        </w:tc>
      </w:tr>
    </w:tbl>
    <w:p w14:paraId="42F8051A" w14:textId="6BB67493" w:rsidR="00FB3F8E" w:rsidRDefault="005B3E51" w:rsidP="00492B79">
      <w:pPr>
        <w:pStyle w:val="Reasons"/>
      </w:pPr>
      <w:r>
        <w:rPr>
          <w:b/>
        </w:rPr>
        <w:t>Motifs:</w:t>
      </w:r>
      <w:r>
        <w:tab/>
      </w:r>
      <w:r w:rsidR="00301B06" w:rsidRPr="00301B06">
        <w:t>Chinois uniquement</w:t>
      </w:r>
      <w:r w:rsidR="00301B06">
        <w:t>.</w:t>
      </w:r>
    </w:p>
    <w:p w14:paraId="3FE89E12" w14:textId="77777777" w:rsidR="004A4B52" w:rsidRPr="00B42483" w:rsidRDefault="005B3E51" w:rsidP="00492B79">
      <w:pPr>
        <w:pStyle w:val="ResNo"/>
      </w:pPr>
      <w:r w:rsidRPr="00B42483">
        <w:t>RÉSOLUTION</w:t>
      </w:r>
      <w:r>
        <w:t xml:space="preserve"> </w:t>
      </w:r>
      <w:r w:rsidRPr="008704E0">
        <w:rPr>
          <w:rStyle w:val="href"/>
        </w:rPr>
        <w:t>809</w:t>
      </w:r>
      <w:r w:rsidRPr="00B42483">
        <w:t xml:space="preserve"> (CMR-</w:t>
      </w:r>
      <w:r>
        <w:t>15</w:t>
      </w:r>
      <w:r w:rsidRPr="00B42483">
        <w:t>)</w:t>
      </w:r>
    </w:p>
    <w:p w14:paraId="5A04FA65" w14:textId="77777777" w:rsidR="004A4B52" w:rsidRPr="009C7CEE" w:rsidRDefault="005B3E51" w:rsidP="00492B79">
      <w:pPr>
        <w:pStyle w:val="Restitle"/>
      </w:pPr>
      <w:bookmarkStart w:id="18" w:name="_Toc450208827"/>
      <w:r w:rsidRPr="009C7CEE">
        <w:t xml:space="preserve">Ordre du jour de la Conférence mondiale des radiocommunications de </w:t>
      </w:r>
      <w:r>
        <w:t>2019</w:t>
      </w:r>
      <w:bookmarkEnd w:id="18"/>
    </w:p>
    <w:p w14:paraId="0C06D713" w14:textId="77777777" w:rsidR="00FB3F8E" w:rsidRDefault="005B3E51" w:rsidP="00492B79">
      <w:pPr>
        <w:pStyle w:val="Proposal"/>
      </w:pPr>
      <w:r>
        <w:t>(MOD)</w:t>
      </w:r>
      <w:r>
        <w:tab/>
        <w:t>CHN/209/9</w:t>
      </w:r>
    </w:p>
    <w:p w14:paraId="7D75BA55" w14:textId="77777777" w:rsidR="004A4B52" w:rsidRPr="00B42483" w:rsidRDefault="005B3E51" w:rsidP="00492B79">
      <w:pPr>
        <w:pStyle w:val="Call"/>
      </w:pPr>
      <w:r w:rsidRPr="00B42483">
        <w:t>décide</w:t>
      </w:r>
    </w:p>
    <w:p w14:paraId="287A4531" w14:textId="77777777" w:rsidR="004A4B52" w:rsidRPr="00B42483" w:rsidRDefault="005B3E51" w:rsidP="00492B79">
      <w:r w:rsidRPr="00B42483">
        <w:t>de recomma</w:t>
      </w:r>
      <w:r>
        <w:t xml:space="preserve">nder au Conseil de convoquer en </w:t>
      </w:r>
      <w:r w:rsidRPr="00B42483">
        <w:t>201</w:t>
      </w:r>
      <w:r>
        <w:t>9</w:t>
      </w:r>
      <w:r w:rsidRPr="00B42483">
        <w:t xml:space="preserve"> une conférence mondiale des radiocommunications d</w:t>
      </w:r>
      <w:r>
        <w:t>'</w:t>
      </w:r>
      <w:r w:rsidRPr="00B42483">
        <w:t xml:space="preserve">une durée </w:t>
      </w:r>
      <w:r>
        <w:t xml:space="preserve">maximale </w:t>
      </w:r>
      <w:r w:rsidRPr="00B42483">
        <w:t>de quatre semaines, dont l</w:t>
      </w:r>
      <w:r>
        <w:t>'</w:t>
      </w:r>
      <w:r w:rsidRPr="00B42483">
        <w:t>ordre du jour sera le suivant:</w:t>
      </w:r>
    </w:p>
    <w:p w14:paraId="75BD3B72" w14:textId="77777777" w:rsidR="004A4B52" w:rsidRDefault="005B3E51" w:rsidP="00492B79">
      <w:r w:rsidRPr="00B42483">
        <w:t>1</w:t>
      </w:r>
      <w:r w:rsidRPr="00B42483">
        <w:tab/>
        <w:t>sur la base des propositions des administrations, compte tenu des résultats de la CMR</w:t>
      </w:r>
      <w:r w:rsidRPr="00B42483">
        <w:noBreakHyphen/>
        <w:t>1</w:t>
      </w:r>
      <w:r>
        <w:t>5</w:t>
      </w:r>
      <w:r w:rsidRPr="00B42483">
        <w:t xml:space="preserve"> ainsi que du </w:t>
      </w:r>
      <w:r>
        <w:t>r</w:t>
      </w:r>
      <w:r w:rsidRPr="00B42483">
        <w:t>apport de la Réunion de préparation à la Conférence et compte dûment tenu des besoins des services existants ou futurs dans les bandes</w:t>
      </w:r>
      <w:r>
        <w:t xml:space="preserve"> de fréquences</w:t>
      </w:r>
      <w:r w:rsidRPr="00B42483">
        <w:t xml:space="preserve"> considérées, examiner les points suivants et prendre les mesures appropriées:</w:t>
      </w:r>
    </w:p>
    <w:p w14:paraId="779E6BAA" w14:textId="77777777" w:rsidR="004A4B52" w:rsidRPr="00F77092" w:rsidRDefault="005B3E51" w:rsidP="00492B79">
      <w:pPr>
        <w:rPr>
          <w:lang w:val="fr-CH"/>
        </w:rPr>
      </w:pPr>
      <w:r w:rsidRPr="00F77092">
        <w:rPr>
          <w:lang w:val="fr-CH"/>
        </w:rPr>
        <w:t>1.1</w:t>
      </w:r>
      <w:r w:rsidRPr="00F77092">
        <w:rPr>
          <w:lang w:val="fr-CH"/>
        </w:rPr>
        <w:tab/>
        <w:t>envisager une attribution de la bande de fréquences 50-54 MHz au service d</w:t>
      </w:r>
      <w:r>
        <w:rPr>
          <w:lang w:val="fr-CH"/>
        </w:rPr>
        <w:t>'</w:t>
      </w:r>
      <w:r w:rsidRPr="00F77092">
        <w:rPr>
          <w:lang w:val="fr-CH"/>
        </w:rPr>
        <w:t>amateur en Région 1</w:t>
      </w:r>
      <w:r>
        <w:rPr>
          <w:lang w:val="fr-CH"/>
        </w:rPr>
        <w:t>,</w:t>
      </w:r>
      <w:r w:rsidRPr="00F77092">
        <w:rPr>
          <w:lang w:val="fr-CH"/>
        </w:rPr>
        <w:t xml:space="preserve"> conformément à la Résolution </w:t>
      </w:r>
      <w:r>
        <w:rPr>
          <w:b/>
          <w:bCs/>
          <w:lang w:val="fr-CH"/>
        </w:rPr>
        <w:t>658</w:t>
      </w:r>
      <w:r w:rsidRPr="00F77092">
        <w:rPr>
          <w:b/>
          <w:bCs/>
          <w:lang w:val="fr-CH"/>
        </w:rPr>
        <w:t xml:space="preserve"> (CMR-15)</w:t>
      </w:r>
      <w:r w:rsidRPr="00F77092">
        <w:rPr>
          <w:lang w:val="fr-CH"/>
        </w:rPr>
        <w:t>.</w:t>
      </w:r>
    </w:p>
    <w:p w14:paraId="13953E4A" w14:textId="77777777" w:rsidR="004A4B52" w:rsidRPr="00F77092" w:rsidRDefault="005B3E51" w:rsidP="00492B79">
      <w:pPr>
        <w:rPr>
          <w:lang w:val="fr-CH"/>
        </w:rPr>
      </w:pPr>
      <w:r w:rsidRPr="00F77092">
        <w:rPr>
          <w:lang w:val="fr-CH"/>
        </w:rPr>
        <w:t>1.2</w:t>
      </w:r>
      <w:r w:rsidRPr="00F77092">
        <w:rPr>
          <w:lang w:val="fr-CH"/>
        </w:rPr>
        <w:tab/>
        <w:t>examiner les limites de puissance dans la bande pour les stations terriennes fonctionnant dans les services mobile par satellite, de météorologie par satellite et d</w:t>
      </w:r>
      <w:r>
        <w:rPr>
          <w:lang w:val="fr-CH"/>
        </w:rPr>
        <w:t>'</w:t>
      </w:r>
      <w:r w:rsidRPr="00F77092">
        <w:rPr>
          <w:lang w:val="fr-CH"/>
        </w:rPr>
        <w:t xml:space="preserve">exploration de la Terre par satellite dans les bandes de fréquences 401-403 MHz et 399,9-400,05 MHz, conformément à la Résolution </w:t>
      </w:r>
      <w:r>
        <w:rPr>
          <w:b/>
          <w:bCs/>
          <w:lang w:val="fr-CH"/>
        </w:rPr>
        <w:t>765</w:t>
      </w:r>
      <w:r w:rsidRPr="00F77092">
        <w:rPr>
          <w:b/>
          <w:bCs/>
          <w:lang w:val="fr-CH"/>
        </w:rPr>
        <w:t xml:space="preserve"> (CMR-15)</w:t>
      </w:r>
      <w:r w:rsidRPr="00F77092">
        <w:rPr>
          <w:lang w:val="fr-CH"/>
        </w:rPr>
        <w:t>;</w:t>
      </w:r>
    </w:p>
    <w:p w14:paraId="5F835527" w14:textId="77777777" w:rsidR="004A4B52" w:rsidRPr="00F77092" w:rsidRDefault="005B3E51" w:rsidP="00492B79">
      <w:pPr>
        <w:tabs>
          <w:tab w:val="left" w:pos="1075"/>
        </w:tabs>
        <w:rPr>
          <w:lang w:val="fr-CH"/>
        </w:rPr>
      </w:pPr>
      <w:r w:rsidRPr="00F77092">
        <w:rPr>
          <w:lang w:val="fr-CH"/>
        </w:rPr>
        <w:t>1.3</w:t>
      </w:r>
      <w:r w:rsidRPr="00F77092">
        <w:rPr>
          <w:lang w:val="fr-CH"/>
        </w:rPr>
        <w:tab/>
        <w:t>envisager de relever éventuellement le statut de l</w:t>
      </w:r>
      <w:r>
        <w:rPr>
          <w:lang w:val="fr-CH"/>
        </w:rPr>
        <w:t>'</w:t>
      </w:r>
      <w:r w:rsidRPr="00F77092">
        <w:rPr>
          <w:lang w:val="fr-CH"/>
        </w:rPr>
        <w:t>attributio</w:t>
      </w:r>
      <w:r>
        <w:rPr>
          <w:lang w:val="fr-CH"/>
        </w:rPr>
        <w:t>n à titre secondaire au service </w:t>
      </w:r>
      <w:r w:rsidRPr="00F77092">
        <w:rPr>
          <w:lang w:val="fr-CH"/>
        </w:rPr>
        <w:t>de météorologie par satellite (espace vers Terre) pour lui conférer le statut prim</w:t>
      </w:r>
      <w:r>
        <w:rPr>
          <w:lang w:val="fr-CH"/>
        </w:rPr>
        <w:t>aire et de </w:t>
      </w:r>
      <w:r w:rsidRPr="00F77092">
        <w:rPr>
          <w:lang w:val="fr-CH"/>
        </w:rPr>
        <w:t>faire éventuellement une attribution à titre primaire au service d</w:t>
      </w:r>
      <w:r>
        <w:rPr>
          <w:lang w:val="fr-CH"/>
        </w:rPr>
        <w:t>'</w:t>
      </w:r>
      <w:r w:rsidRPr="00F77092">
        <w:rPr>
          <w:lang w:val="fr-CH"/>
        </w:rPr>
        <w:t xml:space="preserve">exploration de la Terre par </w:t>
      </w:r>
      <w:r w:rsidRPr="00F77092">
        <w:rPr>
          <w:lang w:val="fr-CH"/>
        </w:rPr>
        <w:lastRenderedPageBreak/>
        <w:t>satellite (espace vers Terre) dans la bande de fréquences 460-470 MHz</w:t>
      </w:r>
      <w:r>
        <w:rPr>
          <w:lang w:val="fr-CH"/>
        </w:rPr>
        <w:t>,</w:t>
      </w:r>
      <w:r w:rsidRPr="00F77092">
        <w:rPr>
          <w:lang w:val="fr-CH"/>
        </w:rPr>
        <w:t xml:space="preserve"> conformément à la Résolution </w:t>
      </w:r>
      <w:r>
        <w:rPr>
          <w:b/>
          <w:bCs/>
          <w:lang w:val="fr-CH"/>
        </w:rPr>
        <w:t>766</w:t>
      </w:r>
      <w:r w:rsidRPr="00F77092">
        <w:rPr>
          <w:b/>
          <w:bCs/>
          <w:lang w:val="fr-CH"/>
        </w:rPr>
        <w:t xml:space="preserve"> (CMR</w:t>
      </w:r>
      <w:r>
        <w:rPr>
          <w:b/>
          <w:bCs/>
          <w:lang w:val="fr-CH"/>
        </w:rPr>
        <w:noBreakHyphen/>
      </w:r>
      <w:r w:rsidRPr="00F77092">
        <w:rPr>
          <w:b/>
          <w:bCs/>
          <w:lang w:val="fr-CH"/>
        </w:rPr>
        <w:t>15)</w:t>
      </w:r>
      <w:r w:rsidRPr="00F77092">
        <w:rPr>
          <w:lang w:val="fr-CH"/>
        </w:rPr>
        <w:t>;</w:t>
      </w:r>
    </w:p>
    <w:p w14:paraId="4C66A2D1" w14:textId="77777777" w:rsidR="004A4B52" w:rsidRPr="00F77092" w:rsidRDefault="005B3E51" w:rsidP="00492B79">
      <w:pPr>
        <w:rPr>
          <w:lang w:val="fr-CH"/>
        </w:rPr>
      </w:pPr>
      <w:r w:rsidRPr="00F77092">
        <w:rPr>
          <w:lang w:val="fr-CH"/>
        </w:rPr>
        <w:t>1.4</w:t>
      </w:r>
      <w:r w:rsidRPr="00F77092">
        <w:rPr>
          <w:lang w:val="fr-CH"/>
        </w:rPr>
        <w:tab/>
        <w:t xml:space="preserve">examiner les résultats des études menées conformément à la Résolution </w:t>
      </w:r>
      <w:r>
        <w:rPr>
          <w:b/>
          <w:bCs/>
          <w:lang w:val="fr-CH"/>
        </w:rPr>
        <w:t>557</w:t>
      </w:r>
      <w:r w:rsidRPr="00F77092">
        <w:rPr>
          <w:b/>
          <w:bCs/>
          <w:lang w:val="fr-CH"/>
        </w:rPr>
        <w:t xml:space="preserve"> (CMR-15)</w:t>
      </w:r>
      <w:r w:rsidRPr="009B56B5">
        <w:rPr>
          <w:lang w:val="fr-CH"/>
        </w:rPr>
        <w:t xml:space="preserve">, et </w:t>
      </w:r>
      <w:r w:rsidRPr="00F77092">
        <w:rPr>
          <w:lang w:val="fr-CH"/>
        </w:rPr>
        <w:t>examiner les restrictions indiquées dans l</w:t>
      </w:r>
      <w:r>
        <w:rPr>
          <w:lang w:val="fr-CH"/>
        </w:rPr>
        <w:t>'</w:t>
      </w:r>
      <w:r w:rsidRPr="00F77092">
        <w:rPr>
          <w:lang w:val="fr-CH"/>
        </w:rPr>
        <w:t>Annexe 7 de l</w:t>
      </w:r>
      <w:r>
        <w:rPr>
          <w:lang w:val="fr-CH"/>
        </w:rPr>
        <w:t>'</w:t>
      </w:r>
      <w:r w:rsidRPr="00F77092">
        <w:rPr>
          <w:lang w:val="fr-CH"/>
        </w:rPr>
        <w:t xml:space="preserve">Appendice </w:t>
      </w:r>
      <w:r w:rsidRPr="00F77092">
        <w:rPr>
          <w:b/>
          <w:bCs/>
          <w:lang w:val="fr-CH"/>
        </w:rPr>
        <w:t>30 (Rév.CMR</w:t>
      </w:r>
      <w:r>
        <w:rPr>
          <w:b/>
          <w:bCs/>
          <w:lang w:val="fr-CH"/>
        </w:rPr>
        <w:noBreakHyphen/>
      </w:r>
      <w:r w:rsidRPr="00F77092">
        <w:rPr>
          <w:b/>
          <w:bCs/>
          <w:lang w:val="fr-CH"/>
        </w:rPr>
        <w:t>1</w:t>
      </w:r>
      <w:r>
        <w:rPr>
          <w:b/>
          <w:bCs/>
          <w:lang w:val="fr-CH"/>
        </w:rPr>
        <w:t>5</w:t>
      </w:r>
      <w:r w:rsidRPr="00F77092">
        <w:rPr>
          <w:b/>
          <w:bCs/>
          <w:lang w:val="fr-CH"/>
        </w:rPr>
        <w:t>)</w:t>
      </w:r>
      <w:r w:rsidRPr="00F77092">
        <w:rPr>
          <w:lang w:val="fr-CH"/>
        </w:rPr>
        <w:t xml:space="preserve">, et, si nécessaire, réviser ces restrictions, tout en assurant la protection des assignations figurant dans le Plan et la Liste et du développement futur du </w:t>
      </w:r>
      <w:r>
        <w:rPr>
          <w:lang w:val="fr-CH"/>
        </w:rPr>
        <w:t>service de radiodiffusion par satellite</w:t>
      </w:r>
      <w:r w:rsidRPr="00F77092">
        <w:rPr>
          <w:lang w:val="fr-CH"/>
        </w:rPr>
        <w:t xml:space="preserve"> dans le cadre du Plan, ainsi que des réseaux existants et en projet du </w:t>
      </w:r>
      <w:r>
        <w:rPr>
          <w:lang w:val="fr-CH"/>
        </w:rPr>
        <w:t>service fixe par satellite</w:t>
      </w:r>
      <w:r w:rsidRPr="00F77092">
        <w:rPr>
          <w:lang w:val="fr-CH"/>
        </w:rPr>
        <w:t xml:space="preserve">, et sans leur imposer de contraintes </w:t>
      </w:r>
      <w:r>
        <w:rPr>
          <w:lang w:val="fr-CH"/>
        </w:rPr>
        <w:t>supplémentaires</w:t>
      </w:r>
      <w:r w:rsidRPr="00F77092">
        <w:rPr>
          <w:lang w:val="fr-CH"/>
        </w:rPr>
        <w:t>;</w:t>
      </w:r>
    </w:p>
    <w:p w14:paraId="18810A1D" w14:textId="77777777" w:rsidR="004A4B52" w:rsidRPr="00A91511" w:rsidRDefault="005B3E51" w:rsidP="00492B79">
      <w:pPr>
        <w:rPr>
          <w:lang w:val="fr-CH"/>
        </w:rPr>
      </w:pPr>
      <w:r w:rsidRPr="00A91511">
        <w:rPr>
          <w:lang w:val="fr-CH"/>
        </w:rPr>
        <w:t>1.5</w:t>
      </w:r>
      <w:r w:rsidRPr="00A91511">
        <w:rPr>
          <w:lang w:val="fr-CH"/>
        </w:rPr>
        <w:tab/>
      </w:r>
      <w:r w:rsidRPr="00F77092">
        <w:rPr>
          <w:lang w:val="fr-CH"/>
        </w:rPr>
        <w:t>examiner l</w:t>
      </w:r>
      <w:r>
        <w:rPr>
          <w:lang w:val="fr-CH"/>
        </w:rPr>
        <w:t>'</w:t>
      </w:r>
      <w:r w:rsidRPr="00F77092">
        <w:rPr>
          <w:lang w:val="fr-CH"/>
        </w:rPr>
        <w:t xml:space="preserve">utilisation </w:t>
      </w:r>
      <w:r>
        <w:rPr>
          <w:lang w:val="fr-CH"/>
        </w:rPr>
        <w:t>d</w:t>
      </w:r>
      <w:r w:rsidRPr="00F77092">
        <w:rPr>
          <w:lang w:val="fr-CH"/>
        </w:rPr>
        <w:t xml:space="preserve">es bandes de fréquences 17,7-19,7 GHz (espace vers Terre) et 27,5-29,5 GHz (Terre vers espace) par des stations terriennes en mouvement communiquant avec des stations spatiales géostationnaires du service fixe par satellite, et prendre les mesures voulues, conformément à la Résolution </w:t>
      </w:r>
      <w:r>
        <w:rPr>
          <w:b/>
          <w:bCs/>
          <w:lang w:val="fr-CH"/>
        </w:rPr>
        <w:t>158</w:t>
      </w:r>
      <w:r w:rsidRPr="00F77092">
        <w:rPr>
          <w:b/>
          <w:bCs/>
          <w:lang w:val="fr-CH"/>
        </w:rPr>
        <w:t xml:space="preserve"> (CMR-15)</w:t>
      </w:r>
      <w:r w:rsidRPr="00F77092">
        <w:rPr>
          <w:lang w:val="fr-CH"/>
        </w:rPr>
        <w:t>;</w:t>
      </w:r>
    </w:p>
    <w:p w14:paraId="296DBA60" w14:textId="77777777" w:rsidR="004A4B52" w:rsidRPr="00F77092" w:rsidRDefault="005B3E51" w:rsidP="00492B79">
      <w:pPr>
        <w:rPr>
          <w:lang w:val="fr-CH"/>
        </w:rPr>
      </w:pPr>
      <w:r w:rsidRPr="00A91511">
        <w:rPr>
          <w:lang w:val="fr-CH"/>
        </w:rPr>
        <w:t>1.6</w:t>
      </w:r>
      <w:r w:rsidRPr="00A91511">
        <w:rPr>
          <w:lang w:val="fr-CH"/>
        </w:rPr>
        <w:tab/>
      </w:r>
      <w:r>
        <w:rPr>
          <w:lang w:val="fr-CH"/>
        </w:rPr>
        <w:t>envisager l'élaboration d'</w:t>
      </w:r>
      <w:r w:rsidRPr="00F77092">
        <w:rPr>
          <w:lang w:val="fr-CH"/>
        </w:rPr>
        <w:t>un cadre réglementaire pour les systè</w:t>
      </w:r>
      <w:r>
        <w:rPr>
          <w:lang w:val="fr-CH"/>
        </w:rPr>
        <w:t>mes à satellites non OSG du SFS </w:t>
      </w:r>
      <w:r w:rsidRPr="00F77092">
        <w:rPr>
          <w:lang w:val="fr-CH"/>
        </w:rPr>
        <w:t>pouvant être exploités dans les bandes de fréquences 37,5-39,5 GHz (</w:t>
      </w:r>
      <w:r>
        <w:rPr>
          <w:lang w:val="fr-CH"/>
        </w:rPr>
        <w:t xml:space="preserve">espace vers Terre), </w:t>
      </w:r>
      <w:r w:rsidRPr="00F77092">
        <w:rPr>
          <w:lang w:val="fr-CH"/>
        </w:rPr>
        <w:t>39,5-42,5 GHz</w:t>
      </w:r>
      <w:r>
        <w:rPr>
          <w:lang w:val="fr-CH"/>
        </w:rPr>
        <w:t xml:space="preserve"> (espace vers Terre), 47,2-50,2 GHz (Terre vers espace) et 50,4-51,4 GHz</w:t>
      </w:r>
      <w:r w:rsidRPr="00F77092">
        <w:rPr>
          <w:lang w:val="fr-CH"/>
        </w:rPr>
        <w:t xml:space="preserve"> (Terre vers espace), conformément à la Résolution </w:t>
      </w:r>
      <w:r>
        <w:rPr>
          <w:b/>
          <w:bCs/>
          <w:lang w:val="fr-CH"/>
        </w:rPr>
        <w:t>159</w:t>
      </w:r>
      <w:r w:rsidRPr="00F77092">
        <w:rPr>
          <w:b/>
          <w:bCs/>
          <w:lang w:val="fr-CH"/>
        </w:rPr>
        <w:t xml:space="preserve"> (CMR-15)</w:t>
      </w:r>
      <w:r>
        <w:rPr>
          <w:lang w:val="fr-CH"/>
        </w:rPr>
        <w:t>;</w:t>
      </w:r>
    </w:p>
    <w:p w14:paraId="7193C56C" w14:textId="77777777" w:rsidR="004A4B52" w:rsidRPr="00F77092" w:rsidRDefault="005B3E51" w:rsidP="00492B79">
      <w:pPr>
        <w:rPr>
          <w:lang w:val="fr-CH"/>
        </w:rPr>
      </w:pPr>
      <w:r w:rsidRPr="00F77092">
        <w:rPr>
          <w:lang w:val="fr-CH"/>
        </w:rPr>
        <w:t>1.7</w:t>
      </w:r>
      <w:r w:rsidRPr="00F77092">
        <w:rPr>
          <w:lang w:val="fr-CH"/>
        </w:rPr>
        <w:tab/>
        <w:t xml:space="preserve">étudier les besoins de </w:t>
      </w:r>
      <w:r>
        <w:rPr>
          <w:lang w:val="fr-CH"/>
        </w:rPr>
        <w:t>spectre</w:t>
      </w:r>
      <w:r w:rsidRPr="00F77092">
        <w:rPr>
          <w:lang w:val="fr-CH"/>
        </w:rPr>
        <w:t xml:space="preserve"> pour la télémesure, la poursuite et la télécommande dans le service d</w:t>
      </w:r>
      <w:r>
        <w:rPr>
          <w:lang w:val="fr-CH"/>
        </w:rPr>
        <w:t>'</w:t>
      </w:r>
      <w:r w:rsidRPr="00F77092">
        <w:rPr>
          <w:lang w:val="fr-CH"/>
        </w:rPr>
        <w:t>exploitation spatiale pour les satellites non géostationnaires associés à des missions de courte durée, évaluer si les attributions existantes du service d</w:t>
      </w:r>
      <w:r>
        <w:rPr>
          <w:lang w:val="fr-CH"/>
        </w:rPr>
        <w:t>'</w:t>
      </w:r>
      <w:r w:rsidRPr="00F77092">
        <w:rPr>
          <w:lang w:val="fr-CH"/>
        </w:rPr>
        <w:t xml:space="preserve">exploitation spatiale conviennent et, au besoin, envisager de nouvelles attributions, conformément à la Résolution </w:t>
      </w:r>
      <w:r>
        <w:rPr>
          <w:b/>
          <w:bCs/>
          <w:lang w:val="fr-CH"/>
        </w:rPr>
        <w:t>659</w:t>
      </w:r>
      <w:r w:rsidRPr="00F77092">
        <w:rPr>
          <w:b/>
          <w:bCs/>
          <w:lang w:val="fr-CH"/>
        </w:rPr>
        <w:t xml:space="preserve"> (CMR</w:t>
      </w:r>
      <w:r>
        <w:rPr>
          <w:b/>
          <w:bCs/>
          <w:lang w:val="fr-CH"/>
        </w:rPr>
        <w:noBreakHyphen/>
      </w:r>
      <w:r w:rsidRPr="00F77092">
        <w:rPr>
          <w:b/>
          <w:bCs/>
          <w:lang w:val="fr-CH"/>
        </w:rPr>
        <w:t>15)</w:t>
      </w:r>
      <w:r>
        <w:rPr>
          <w:lang w:val="fr-CH"/>
        </w:rPr>
        <w:t>;</w:t>
      </w:r>
    </w:p>
    <w:p w14:paraId="4D09A430" w14:textId="77777777" w:rsidR="004A4B52" w:rsidRPr="00F77092" w:rsidRDefault="005B3E51" w:rsidP="00492B79">
      <w:pPr>
        <w:rPr>
          <w:highlight w:val="cyan"/>
          <w:lang w:val="fr-CH"/>
        </w:rPr>
      </w:pPr>
      <w:r w:rsidRPr="00F77092">
        <w:rPr>
          <w:lang w:val="fr-CH"/>
        </w:rPr>
        <w:t>1.8</w:t>
      </w:r>
      <w:r w:rsidRPr="00F77092">
        <w:rPr>
          <w:lang w:val="fr-CH"/>
        </w:rPr>
        <w:tab/>
        <w:t>envisager les mesures règlementaires qui pourraient être prises pour permettre la modernisation du</w:t>
      </w:r>
      <w:r>
        <w:rPr>
          <w:lang w:val="fr-CH"/>
        </w:rPr>
        <w:t xml:space="preserve"> système mondial de détresse et de sécurité en mer</w:t>
      </w:r>
      <w:r w:rsidRPr="00F77092">
        <w:rPr>
          <w:lang w:val="fr-CH"/>
        </w:rPr>
        <w:t xml:space="preserve"> </w:t>
      </w:r>
      <w:r>
        <w:rPr>
          <w:lang w:val="fr-CH"/>
        </w:rPr>
        <w:t>(</w:t>
      </w:r>
      <w:r w:rsidRPr="00F77092">
        <w:rPr>
          <w:lang w:val="fr-CH"/>
        </w:rPr>
        <w:t>SMDSM</w:t>
      </w:r>
      <w:r>
        <w:rPr>
          <w:lang w:val="fr-CH"/>
        </w:rPr>
        <w:t>)</w:t>
      </w:r>
      <w:r w:rsidRPr="00F77092">
        <w:rPr>
          <w:lang w:val="fr-CH"/>
        </w:rPr>
        <w:t xml:space="preserve"> et l</w:t>
      </w:r>
      <w:r>
        <w:rPr>
          <w:lang w:val="fr-CH"/>
        </w:rPr>
        <w:t>'</w:t>
      </w:r>
      <w:r w:rsidRPr="00F77092">
        <w:rPr>
          <w:lang w:val="fr-CH"/>
        </w:rPr>
        <w:t xml:space="preserve">intégration de systèmes à satellites supplémentaires dans le SMDSM, conformément à la Résolution </w:t>
      </w:r>
      <w:r w:rsidRPr="00F77092">
        <w:rPr>
          <w:b/>
          <w:bCs/>
          <w:lang w:val="fr-CH"/>
        </w:rPr>
        <w:t>359 (Rév.CMR-15)</w:t>
      </w:r>
      <w:r w:rsidRPr="00F77092">
        <w:rPr>
          <w:lang w:val="fr-CH"/>
        </w:rPr>
        <w:t>;</w:t>
      </w:r>
      <w:r w:rsidRPr="00F77092" w:rsidDel="00AB3ACF">
        <w:rPr>
          <w:highlight w:val="cyan"/>
          <w:lang w:val="fr-CH"/>
        </w:rPr>
        <w:t xml:space="preserve"> </w:t>
      </w:r>
    </w:p>
    <w:p w14:paraId="05ECAB45" w14:textId="77777777" w:rsidR="004A4B52" w:rsidRPr="00F77092" w:rsidRDefault="005B3E51" w:rsidP="00492B79">
      <w:pPr>
        <w:rPr>
          <w:lang w:val="fr-CH"/>
        </w:rPr>
      </w:pPr>
      <w:r w:rsidRPr="00F77092">
        <w:rPr>
          <w:lang w:val="fr-CH"/>
        </w:rPr>
        <w:t>1.9</w:t>
      </w:r>
      <w:r w:rsidRPr="00F77092">
        <w:rPr>
          <w:lang w:val="fr-CH"/>
        </w:rPr>
        <w:tab/>
        <w:t>à examiner, sur la base des résultats des études de l</w:t>
      </w:r>
      <w:r>
        <w:rPr>
          <w:lang w:val="fr-CH"/>
        </w:rPr>
        <w:t>'</w:t>
      </w:r>
      <w:r w:rsidRPr="00F77092">
        <w:rPr>
          <w:lang w:val="fr-CH"/>
        </w:rPr>
        <w:t xml:space="preserve">UIT-R: </w:t>
      </w:r>
    </w:p>
    <w:p w14:paraId="637323C5" w14:textId="77777777" w:rsidR="004A4B52" w:rsidRPr="00F77092" w:rsidRDefault="005B3E51" w:rsidP="00492B79">
      <w:pPr>
        <w:rPr>
          <w:lang w:val="fr-CH"/>
        </w:rPr>
      </w:pPr>
      <w:r w:rsidRPr="00F77092">
        <w:rPr>
          <w:lang w:val="fr-CH"/>
        </w:rPr>
        <w:t>1.9.1</w:t>
      </w:r>
      <w:r w:rsidRPr="00F77092">
        <w:rPr>
          <w:lang w:val="fr-CH"/>
        </w:rPr>
        <w:tab/>
        <w:t>les mesures réglementaires à prendre dans la bande de fréquences 156-162,05 MHz concernant les dispositifs de radiocommunication maritimes autonomes, afin de protéger le SMDSM et le système</w:t>
      </w:r>
      <w:r>
        <w:rPr>
          <w:lang w:val="fr-CH"/>
        </w:rPr>
        <w:t xml:space="preserve"> d'identification automatique</w:t>
      </w:r>
      <w:r w:rsidRPr="00F77092">
        <w:rPr>
          <w:lang w:val="fr-CH"/>
        </w:rPr>
        <w:t xml:space="preserve"> </w:t>
      </w:r>
      <w:r>
        <w:rPr>
          <w:lang w:val="fr-CH"/>
        </w:rPr>
        <w:t>(</w:t>
      </w:r>
      <w:r w:rsidRPr="00F77092">
        <w:rPr>
          <w:lang w:val="fr-CH"/>
        </w:rPr>
        <w:t>AIS</w:t>
      </w:r>
      <w:r>
        <w:rPr>
          <w:lang w:val="fr-CH"/>
        </w:rPr>
        <w:t>),</w:t>
      </w:r>
      <w:r w:rsidRPr="00F77092">
        <w:rPr>
          <w:lang w:val="fr-CH"/>
        </w:rPr>
        <w:t xml:space="preserve"> conformément à la Résolution </w:t>
      </w:r>
      <w:r>
        <w:rPr>
          <w:b/>
          <w:bCs/>
          <w:lang w:val="fr-CH"/>
        </w:rPr>
        <w:t>362</w:t>
      </w:r>
      <w:r w:rsidRPr="00F77092">
        <w:rPr>
          <w:b/>
          <w:bCs/>
          <w:lang w:val="fr-CH"/>
        </w:rPr>
        <w:t xml:space="preserve"> (CMR-15)</w:t>
      </w:r>
      <w:r w:rsidRPr="00F77092">
        <w:rPr>
          <w:lang w:val="fr-CH"/>
        </w:rPr>
        <w:t>;</w:t>
      </w:r>
    </w:p>
    <w:p w14:paraId="53303520" w14:textId="77777777" w:rsidR="004A4B52" w:rsidRPr="00F77092" w:rsidRDefault="005B3E51" w:rsidP="00492B79">
      <w:pPr>
        <w:rPr>
          <w:lang w:val="fr-CH"/>
        </w:rPr>
      </w:pPr>
      <w:r w:rsidRPr="00F77092">
        <w:rPr>
          <w:lang w:val="fr-CH"/>
        </w:rPr>
        <w:t>1.9.2</w:t>
      </w:r>
      <w:r w:rsidRPr="00F77092">
        <w:rPr>
          <w:lang w:val="fr-CH"/>
        </w:rPr>
        <w:tab/>
        <w:t xml:space="preserve">les modifications à apporter au Règlement des radiocommunications, y compris de nouvelles attributions de fréquences au service mobile maritime par </w:t>
      </w:r>
      <w:r>
        <w:rPr>
          <w:lang w:val="fr-CH"/>
        </w:rPr>
        <w:t>satellite (Terre vers espace et </w:t>
      </w:r>
      <w:r w:rsidRPr="00F77092">
        <w:rPr>
          <w:lang w:val="fr-CH"/>
        </w:rPr>
        <w:t>espace vers Terre), de préférence dans les bandes de fréq</w:t>
      </w:r>
      <w:r>
        <w:rPr>
          <w:lang w:val="fr-CH"/>
        </w:rPr>
        <w:t>uences 156,0125-157,4375 MHz et </w:t>
      </w:r>
      <w:r w:rsidRPr="00F77092">
        <w:rPr>
          <w:lang w:val="fr-CH"/>
        </w:rPr>
        <w:t>160,6125-162,0375 MHz de l</w:t>
      </w:r>
      <w:r>
        <w:rPr>
          <w:lang w:val="fr-CH"/>
        </w:rPr>
        <w:t>'</w:t>
      </w:r>
      <w:r w:rsidRPr="00F77092">
        <w:rPr>
          <w:lang w:val="fr-CH"/>
        </w:rPr>
        <w:t xml:space="preserve">Appendice </w:t>
      </w:r>
      <w:r w:rsidRPr="00F77092">
        <w:rPr>
          <w:b/>
          <w:bCs/>
          <w:lang w:val="fr-CH"/>
        </w:rPr>
        <w:t>18</w:t>
      </w:r>
      <w:r w:rsidRPr="00F77092">
        <w:rPr>
          <w:lang w:val="fr-CH"/>
        </w:rPr>
        <w:t xml:space="preserve">, pour pouvoir exploiter une nouvelle composante satellite du système </w:t>
      </w:r>
      <w:r>
        <w:rPr>
          <w:lang w:val="fr-CH"/>
        </w:rPr>
        <w:t>d'échange de données en ondes métriques (</w:t>
      </w:r>
      <w:r w:rsidRPr="00F77092">
        <w:rPr>
          <w:lang w:val="fr-CH"/>
        </w:rPr>
        <w:t>VDES</w:t>
      </w:r>
      <w:r>
        <w:rPr>
          <w:lang w:val="fr-CH"/>
        </w:rPr>
        <w:t>)</w:t>
      </w:r>
      <w:r w:rsidRPr="00F77092">
        <w:rPr>
          <w:lang w:val="fr-CH"/>
        </w:rPr>
        <w:t xml:space="preserve">, tout en garantissant que cette composante ne dégradera pas le fonctionnement de la composante de Terre actuelle du système VDES, des applications </w:t>
      </w:r>
      <w:r>
        <w:rPr>
          <w:lang w:val="fr-CH"/>
        </w:rPr>
        <w:t>de messages propres aux applications (</w:t>
      </w:r>
      <w:r w:rsidRPr="00F77092">
        <w:rPr>
          <w:lang w:val="fr-CH"/>
        </w:rPr>
        <w:t>ASM</w:t>
      </w:r>
      <w:r>
        <w:rPr>
          <w:lang w:val="fr-CH"/>
        </w:rPr>
        <w:t>)</w:t>
      </w:r>
      <w:r w:rsidRPr="00F77092">
        <w:rPr>
          <w:lang w:val="fr-CH"/>
        </w:rPr>
        <w:t xml:space="preserve"> et AIS, et n</w:t>
      </w:r>
      <w:r>
        <w:rPr>
          <w:lang w:val="fr-CH"/>
        </w:rPr>
        <w:t>'</w:t>
      </w:r>
      <w:r w:rsidRPr="00F77092">
        <w:rPr>
          <w:lang w:val="fr-CH"/>
        </w:rPr>
        <w:t xml:space="preserve">imposera pas de contraintes supplémentaires aux services existants dans ces bandes de fréquences et dans les bandes de fréquences adjacentes comme indiqué aux points </w:t>
      </w:r>
      <w:r w:rsidRPr="00011257">
        <w:rPr>
          <w:i/>
          <w:iCs/>
          <w:lang w:val="fr-CH"/>
        </w:rPr>
        <w:t>d)</w:t>
      </w:r>
      <w:r w:rsidRPr="00F77092">
        <w:rPr>
          <w:lang w:val="fr-CH"/>
        </w:rPr>
        <w:t xml:space="preserve"> et </w:t>
      </w:r>
      <w:r w:rsidRPr="00011257">
        <w:rPr>
          <w:i/>
          <w:iCs/>
          <w:lang w:val="fr-CH"/>
        </w:rPr>
        <w:t>e)</w:t>
      </w:r>
      <w:r w:rsidRPr="00F77092">
        <w:rPr>
          <w:lang w:val="fr-CH"/>
        </w:rPr>
        <w:t xml:space="preserve"> du </w:t>
      </w:r>
      <w:r w:rsidRPr="00011257">
        <w:rPr>
          <w:i/>
          <w:iCs/>
          <w:lang w:val="fr-CH"/>
        </w:rPr>
        <w:t>reconnaissant</w:t>
      </w:r>
      <w:r w:rsidRPr="00F77092">
        <w:rPr>
          <w:lang w:val="fr-CH"/>
        </w:rPr>
        <w:t xml:space="preserve"> de la Résolution </w:t>
      </w:r>
      <w:r w:rsidRPr="008704E0">
        <w:rPr>
          <w:b/>
          <w:bCs/>
          <w:lang w:val="fr-CH"/>
        </w:rPr>
        <w:t>360 (Rév.CMR-15)</w:t>
      </w:r>
      <w:r w:rsidRPr="00F77092">
        <w:rPr>
          <w:lang w:val="fr-CH"/>
        </w:rPr>
        <w:t>;</w:t>
      </w:r>
    </w:p>
    <w:p w14:paraId="7B72F06D" w14:textId="77777777" w:rsidR="004A4B52" w:rsidRPr="00F77092" w:rsidRDefault="005B3E51" w:rsidP="00492B79">
      <w:pPr>
        <w:rPr>
          <w:highlight w:val="cyan"/>
          <w:lang w:val="fr-CH"/>
        </w:rPr>
      </w:pPr>
      <w:r w:rsidRPr="00F77092">
        <w:rPr>
          <w:lang w:val="fr-CH"/>
        </w:rPr>
        <w:t>1.10</w:t>
      </w:r>
      <w:r w:rsidRPr="00F77092">
        <w:rPr>
          <w:lang w:val="fr-CH"/>
        </w:rPr>
        <w:tab/>
        <w:t xml:space="preserve">examiner les besoins de </w:t>
      </w:r>
      <w:r>
        <w:rPr>
          <w:lang w:val="fr-CH"/>
        </w:rPr>
        <w:t>spectre</w:t>
      </w:r>
      <w:r w:rsidRPr="00F77092">
        <w:rPr>
          <w:lang w:val="fr-CH"/>
        </w:rPr>
        <w:t xml:space="preserve"> et les dispositions réglementaires en vue de la mise en place et de l</w:t>
      </w:r>
      <w:r>
        <w:rPr>
          <w:lang w:val="fr-CH"/>
        </w:rPr>
        <w:t>'</w:t>
      </w:r>
      <w:r w:rsidRPr="00F77092">
        <w:rPr>
          <w:lang w:val="fr-CH"/>
        </w:rPr>
        <w:t xml:space="preserve">utilisation du système mondial de détresse et de sécurité aéronautique (GADSS), conformément à la Résolution </w:t>
      </w:r>
      <w:r>
        <w:rPr>
          <w:b/>
          <w:bCs/>
          <w:lang w:val="fr-CH"/>
        </w:rPr>
        <w:t>426</w:t>
      </w:r>
      <w:r w:rsidRPr="00F77092">
        <w:rPr>
          <w:b/>
          <w:bCs/>
          <w:lang w:val="fr-CH"/>
        </w:rPr>
        <w:t xml:space="preserve"> (CMR-15)</w:t>
      </w:r>
      <w:r w:rsidRPr="00F77092">
        <w:rPr>
          <w:lang w:val="fr-CH"/>
        </w:rPr>
        <w:t>;</w:t>
      </w:r>
      <w:r w:rsidRPr="00F77092" w:rsidDel="000308AC">
        <w:rPr>
          <w:highlight w:val="cyan"/>
          <w:lang w:val="fr-CH"/>
        </w:rPr>
        <w:t xml:space="preserve"> </w:t>
      </w:r>
    </w:p>
    <w:p w14:paraId="037E83B5" w14:textId="77777777" w:rsidR="004A4B52" w:rsidRPr="00F77092" w:rsidRDefault="005B3E51" w:rsidP="00492B79">
      <w:pPr>
        <w:rPr>
          <w:lang w:val="fr-CH"/>
        </w:rPr>
      </w:pPr>
      <w:r w:rsidRPr="00F77092">
        <w:rPr>
          <w:lang w:val="fr-CH"/>
        </w:rPr>
        <w:t>1.11</w:t>
      </w:r>
      <w:r w:rsidRPr="00F77092">
        <w:rPr>
          <w:lang w:val="fr-CH"/>
        </w:rPr>
        <w:tab/>
      </w:r>
      <w:r>
        <w:rPr>
          <w:lang w:val="fr-CH"/>
        </w:rPr>
        <w:t>prendre l</w:t>
      </w:r>
      <w:r w:rsidRPr="00F77092">
        <w:rPr>
          <w:lang w:val="fr-CH"/>
        </w:rPr>
        <w:t xml:space="preserve">es mesures </w:t>
      </w:r>
      <w:r>
        <w:rPr>
          <w:lang w:val="fr-CH"/>
        </w:rPr>
        <w:t>nécessair</w:t>
      </w:r>
      <w:r w:rsidRPr="00F77092">
        <w:rPr>
          <w:lang w:val="fr-CH"/>
        </w:rPr>
        <w:t>es, selon qu</w:t>
      </w:r>
      <w:r>
        <w:rPr>
          <w:lang w:val="fr-CH"/>
        </w:rPr>
        <w:t>'</w:t>
      </w:r>
      <w:r w:rsidRPr="00F77092">
        <w:rPr>
          <w:lang w:val="fr-CH"/>
        </w:rPr>
        <w:t>il convient, pour faciliter l</w:t>
      </w:r>
      <w:r>
        <w:rPr>
          <w:lang w:val="fr-CH"/>
        </w:rPr>
        <w:t>'</w:t>
      </w:r>
      <w:r w:rsidRPr="00F77092">
        <w:rPr>
          <w:lang w:val="fr-CH"/>
        </w:rPr>
        <w:t>identification de bandes de fréquences harmonisées à l</w:t>
      </w:r>
      <w:r>
        <w:rPr>
          <w:lang w:val="fr-CH"/>
        </w:rPr>
        <w:t>'</w:t>
      </w:r>
      <w:r w:rsidRPr="00F77092">
        <w:rPr>
          <w:lang w:val="fr-CH"/>
        </w:rPr>
        <w:t xml:space="preserve">échelle mondiale ou régionale pour les systèmes de radiocommunication ferroviaires train/voie dans les bandes </w:t>
      </w:r>
      <w:r>
        <w:t>de fréquences</w:t>
      </w:r>
      <w:r w:rsidRPr="00F77092">
        <w:rPr>
          <w:lang w:val="fr-CH"/>
        </w:rPr>
        <w:t xml:space="preserve"> actuellement attribuées au service mobile, conformément à la Résolution </w:t>
      </w:r>
      <w:r>
        <w:rPr>
          <w:b/>
          <w:bCs/>
          <w:lang w:val="fr-CH"/>
        </w:rPr>
        <w:t>236</w:t>
      </w:r>
      <w:r w:rsidRPr="00F77092">
        <w:rPr>
          <w:b/>
          <w:bCs/>
          <w:lang w:val="fr-CH"/>
        </w:rPr>
        <w:t xml:space="preserve"> (CMR-15)</w:t>
      </w:r>
      <w:r w:rsidRPr="00F77092">
        <w:rPr>
          <w:lang w:val="fr-CH"/>
        </w:rPr>
        <w:t>;</w:t>
      </w:r>
    </w:p>
    <w:p w14:paraId="278F5ED8" w14:textId="77777777" w:rsidR="004A4B52" w:rsidRPr="00F77092" w:rsidRDefault="005B3E51" w:rsidP="00492B79">
      <w:pPr>
        <w:rPr>
          <w:highlight w:val="cyan"/>
          <w:lang w:val="fr-CH"/>
        </w:rPr>
      </w:pPr>
      <w:r w:rsidRPr="00F77092">
        <w:rPr>
          <w:lang w:val="fr-CH"/>
        </w:rPr>
        <w:lastRenderedPageBreak/>
        <w:t>1.12</w:t>
      </w:r>
      <w:r w:rsidRPr="00F77092">
        <w:rPr>
          <w:lang w:val="fr-CH"/>
        </w:rPr>
        <w:tab/>
        <w:t>examiner d</w:t>
      </w:r>
      <w:r>
        <w:rPr>
          <w:lang w:val="fr-CH"/>
        </w:rPr>
        <w:t>'</w:t>
      </w:r>
      <w:r w:rsidRPr="00F77092">
        <w:rPr>
          <w:lang w:val="fr-CH"/>
        </w:rPr>
        <w:t>éventuelles bandes de fréquences harmonisées à l</w:t>
      </w:r>
      <w:r>
        <w:rPr>
          <w:lang w:val="fr-CH"/>
        </w:rPr>
        <w:t>'</w:t>
      </w:r>
      <w:r w:rsidRPr="00F77092">
        <w:rPr>
          <w:lang w:val="fr-CH"/>
        </w:rPr>
        <w:t>échelle mondiale ou régionale, dans toute la mesure possible, pour la mise en oeuvre des systèmes de transport intelligents (ITS) en évolution dans le cadre des attribution</w:t>
      </w:r>
      <w:r>
        <w:rPr>
          <w:lang w:val="fr-CH"/>
        </w:rPr>
        <w:t xml:space="preserve">s existantes au service mobile, </w:t>
      </w:r>
      <w:r w:rsidRPr="00F77092">
        <w:rPr>
          <w:lang w:val="fr-CH"/>
        </w:rPr>
        <w:t xml:space="preserve">conformément à la Résolution </w:t>
      </w:r>
      <w:r>
        <w:rPr>
          <w:b/>
          <w:bCs/>
          <w:lang w:val="fr-CH"/>
        </w:rPr>
        <w:t>237</w:t>
      </w:r>
      <w:r w:rsidRPr="00F77092">
        <w:rPr>
          <w:b/>
          <w:bCs/>
          <w:lang w:val="fr-CH"/>
        </w:rPr>
        <w:t xml:space="preserve"> (CMR-15)</w:t>
      </w:r>
      <w:r w:rsidRPr="00F77092">
        <w:rPr>
          <w:lang w:val="fr-CH"/>
        </w:rPr>
        <w:t>;</w:t>
      </w:r>
      <w:r w:rsidRPr="00F77092" w:rsidDel="00E55F8F">
        <w:rPr>
          <w:highlight w:val="cyan"/>
          <w:lang w:val="fr-CH"/>
        </w:rPr>
        <w:t xml:space="preserve"> </w:t>
      </w:r>
    </w:p>
    <w:p w14:paraId="42363EC3" w14:textId="77777777" w:rsidR="004A4B52" w:rsidRPr="00F77092" w:rsidRDefault="005B3E51" w:rsidP="00492B79">
      <w:pPr>
        <w:tabs>
          <w:tab w:val="clear" w:pos="1871"/>
          <w:tab w:val="clear" w:pos="2268"/>
          <w:tab w:val="left" w:pos="1588"/>
          <w:tab w:val="left" w:pos="1985"/>
        </w:tabs>
        <w:rPr>
          <w:lang w:val="fr-CH"/>
        </w:rPr>
      </w:pPr>
      <w:r w:rsidRPr="00F77092">
        <w:rPr>
          <w:lang w:val="fr-CH"/>
        </w:rPr>
        <w:t>1.13</w:t>
      </w:r>
      <w:r w:rsidRPr="00F77092">
        <w:rPr>
          <w:lang w:val="fr-CH"/>
        </w:rPr>
        <w:tab/>
        <w:t>envisager l</w:t>
      </w:r>
      <w:r>
        <w:rPr>
          <w:lang w:val="fr-CH"/>
        </w:rPr>
        <w:t>'</w:t>
      </w:r>
      <w:r w:rsidRPr="00F77092">
        <w:rPr>
          <w:lang w:val="fr-CH"/>
        </w:rPr>
        <w:t xml:space="preserve">identification de bandes de fréquences </w:t>
      </w:r>
      <w:r>
        <w:rPr>
          <w:lang w:val="fr-CH"/>
        </w:rPr>
        <w:t>pour le développement futur des T</w:t>
      </w:r>
      <w:r w:rsidRPr="00F77092">
        <w:rPr>
          <w:lang w:val="fr-CH"/>
        </w:rPr>
        <w:t xml:space="preserve">élécommunications mobiles internationales (IMT), y compris des attributions additionnelles possibles à titre primaire au service mobile, conformément à la Résolution </w:t>
      </w:r>
      <w:r>
        <w:rPr>
          <w:b/>
          <w:bCs/>
          <w:lang w:val="fr-CH"/>
        </w:rPr>
        <w:t>238</w:t>
      </w:r>
      <w:r w:rsidRPr="00F77092">
        <w:rPr>
          <w:b/>
          <w:bCs/>
          <w:lang w:val="fr-CH"/>
        </w:rPr>
        <w:t xml:space="preserve"> (CMR</w:t>
      </w:r>
      <w:r>
        <w:rPr>
          <w:b/>
          <w:bCs/>
          <w:lang w:val="fr-CH"/>
        </w:rPr>
        <w:noBreakHyphen/>
      </w:r>
      <w:r w:rsidRPr="00F77092">
        <w:rPr>
          <w:b/>
          <w:bCs/>
          <w:lang w:val="fr-CH"/>
        </w:rPr>
        <w:t>15)</w:t>
      </w:r>
      <w:r w:rsidRPr="00F77092">
        <w:rPr>
          <w:lang w:val="fr-CH"/>
        </w:rPr>
        <w:t>;</w:t>
      </w:r>
    </w:p>
    <w:p w14:paraId="3612A4D1" w14:textId="77777777" w:rsidR="004A4B52" w:rsidRPr="00F77092" w:rsidRDefault="005B3E51" w:rsidP="00492B79">
      <w:pPr>
        <w:tabs>
          <w:tab w:val="clear" w:pos="1134"/>
          <w:tab w:val="clear" w:pos="1871"/>
          <w:tab w:val="clear" w:pos="2268"/>
        </w:tabs>
        <w:overflowPunct/>
        <w:autoSpaceDE/>
        <w:autoSpaceDN/>
        <w:adjustRightInd/>
        <w:spacing w:before="0"/>
        <w:textAlignment w:val="auto"/>
        <w:rPr>
          <w:b/>
          <w:bCs/>
          <w:lang w:val="fr-CH"/>
        </w:rPr>
      </w:pPr>
      <w:r w:rsidRPr="00F77092">
        <w:rPr>
          <w:lang w:val="fr-CH"/>
        </w:rPr>
        <w:t>1.14</w:t>
      </w:r>
      <w:r w:rsidRPr="00F77092">
        <w:rPr>
          <w:lang w:val="fr-CH"/>
        </w:rPr>
        <w:tab/>
        <w:t>examiner, sur la base des études de l</w:t>
      </w:r>
      <w:r>
        <w:rPr>
          <w:lang w:val="fr-CH"/>
        </w:rPr>
        <w:t>'</w:t>
      </w:r>
      <w:r w:rsidRPr="00F77092">
        <w:rPr>
          <w:lang w:val="fr-CH"/>
        </w:rPr>
        <w:t xml:space="preserve">UIT-R conformément à la Résolution </w:t>
      </w:r>
      <w:r>
        <w:rPr>
          <w:b/>
          <w:bCs/>
          <w:lang w:val="fr-CH"/>
        </w:rPr>
        <w:t>160</w:t>
      </w:r>
      <w:r w:rsidRPr="00F77092">
        <w:rPr>
          <w:b/>
          <w:bCs/>
          <w:lang w:val="fr-CH"/>
        </w:rPr>
        <w:t xml:space="preserve"> (CMR-15)</w:t>
      </w:r>
      <w:r w:rsidRPr="00F77092">
        <w:rPr>
          <w:lang w:val="fr-CH"/>
        </w:rPr>
        <w:t>, des mesures réglementaires appropriées pour les stations placées sur des plates-formes à haute altitude (HAPS), dans le cadre des attributions existantes au service fixe;</w:t>
      </w:r>
    </w:p>
    <w:p w14:paraId="0449C7F0" w14:textId="77777777" w:rsidR="004A4B52" w:rsidRPr="00F77092" w:rsidRDefault="005B3E51" w:rsidP="00492B79">
      <w:pPr>
        <w:rPr>
          <w:highlight w:val="cyan"/>
          <w:lang w:val="fr-CH"/>
        </w:rPr>
      </w:pPr>
      <w:r w:rsidRPr="00F77092">
        <w:rPr>
          <w:lang w:val="fr-CH"/>
        </w:rPr>
        <w:t>1.15</w:t>
      </w:r>
      <w:r w:rsidRPr="00F77092">
        <w:rPr>
          <w:lang w:val="fr-CH"/>
        </w:rPr>
        <w:tab/>
        <w:t>envisager d</w:t>
      </w:r>
      <w:r>
        <w:rPr>
          <w:lang w:val="fr-CH"/>
        </w:rPr>
        <w:t>'</w:t>
      </w:r>
      <w:r w:rsidRPr="00F77092">
        <w:rPr>
          <w:lang w:val="fr-CH"/>
        </w:rPr>
        <w:t xml:space="preserve">identifier des bandes de fréquences destinées à être utilisées par les administrations pour les applications des services mobile terrestre et fixe fonctionnant dans la gamme de fréquences 275-450 GHz, conformément à la Résolution </w:t>
      </w:r>
      <w:r>
        <w:rPr>
          <w:b/>
          <w:bCs/>
          <w:lang w:val="fr-CH"/>
        </w:rPr>
        <w:t>767</w:t>
      </w:r>
      <w:r w:rsidRPr="00F77092">
        <w:rPr>
          <w:b/>
          <w:bCs/>
          <w:lang w:val="fr-CH"/>
        </w:rPr>
        <w:t xml:space="preserve"> (CMR-15)</w:t>
      </w:r>
      <w:r w:rsidRPr="00F77092">
        <w:rPr>
          <w:lang w:val="fr-CH"/>
        </w:rPr>
        <w:t>;</w:t>
      </w:r>
      <w:r w:rsidRPr="00F77092" w:rsidDel="00663578">
        <w:rPr>
          <w:highlight w:val="cyan"/>
          <w:lang w:val="fr-CH"/>
        </w:rPr>
        <w:t xml:space="preserve"> </w:t>
      </w:r>
    </w:p>
    <w:p w14:paraId="1D87E5C8" w14:textId="77777777" w:rsidR="004A4B52" w:rsidRPr="00F77092" w:rsidRDefault="005B3E51" w:rsidP="00492B79">
      <w:pPr>
        <w:rPr>
          <w:lang w:val="fr-CH"/>
        </w:rPr>
      </w:pPr>
      <w:r w:rsidRPr="002F2A2E">
        <w:t>1.16</w:t>
      </w:r>
      <w:r w:rsidRPr="002F2A2E">
        <w:tab/>
      </w:r>
      <w:r w:rsidRPr="00F77092">
        <w:rPr>
          <w:lang w:val="fr-CH"/>
        </w:rPr>
        <w:t>examiner les questions relatives aux systèmes d</w:t>
      </w:r>
      <w:r>
        <w:rPr>
          <w:lang w:val="fr-CH"/>
        </w:rPr>
        <w:t>'</w:t>
      </w:r>
      <w:r w:rsidRPr="00F77092">
        <w:rPr>
          <w:lang w:val="fr-CH"/>
        </w:rPr>
        <w:t xml:space="preserve">accès </w:t>
      </w:r>
      <w:r>
        <w:rPr>
          <w:lang w:val="fr-CH"/>
        </w:rPr>
        <w:t>hertzien, y compris les réseaux </w:t>
      </w:r>
      <w:r w:rsidRPr="00F77092">
        <w:rPr>
          <w:lang w:val="fr-CH"/>
        </w:rPr>
        <w:t>locaux hertziens (WAS/RLAN), dans les bandes de fréquence</w:t>
      </w:r>
      <w:r>
        <w:rPr>
          <w:lang w:val="fr-CH"/>
        </w:rPr>
        <w:t xml:space="preserve">s comprises entre 5 150 MHz et </w:t>
      </w:r>
      <w:r w:rsidRPr="00F77092">
        <w:rPr>
          <w:lang w:val="fr-CH"/>
        </w:rPr>
        <w:t>5 925</w:t>
      </w:r>
      <w:r>
        <w:rPr>
          <w:lang w:val="fr-CH"/>
        </w:rPr>
        <w:t xml:space="preserve"> </w:t>
      </w:r>
      <w:r w:rsidRPr="00F77092">
        <w:rPr>
          <w:lang w:val="fr-CH"/>
        </w:rPr>
        <w:t xml:space="preserve">MHz, et prendre les mesures réglementaires appropriées, y compris des attributions de fréquences additionnelles au service mobile, conformément à la Résolution </w:t>
      </w:r>
      <w:r>
        <w:rPr>
          <w:b/>
          <w:bCs/>
          <w:lang w:val="fr-CH"/>
        </w:rPr>
        <w:t>239</w:t>
      </w:r>
      <w:r w:rsidRPr="00F77092">
        <w:rPr>
          <w:b/>
          <w:bCs/>
          <w:lang w:val="fr-CH"/>
        </w:rPr>
        <w:t xml:space="preserve"> (CMR-15)</w:t>
      </w:r>
      <w:r w:rsidRPr="00F77092">
        <w:rPr>
          <w:lang w:val="fr-CH"/>
        </w:rPr>
        <w:t>;</w:t>
      </w:r>
    </w:p>
    <w:p w14:paraId="0186E7DA" w14:textId="77777777" w:rsidR="004A4B52" w:rsidRPr="00B42483" w:rsidRDefault="005B3E51" w:rsidP="00492B79">
      <w:r w:rsidRPr="00B42483">
        <w:t>2</w:t>
      </w:r>
      <w:r w:rsidRPr="00B42483">
        <w:tab/>
        <w:t>examiner les Recommandations UIT-R révisées et incorporées par référence dans le Règlement des radiocommunications, communiquées par l</w:t>
      </w:r>
      <w:r>
        <w:t>'</w:t>
      </w:r>
      <w:r w:rsidRPr="00B42483">
        <w:t xml:space="preserve">Assemblée des radiocommunications conformément à la Résolution </w:t>
      </w:r>
      <w:r w:rsidRPr="008C0EDF">
        <w:rPr>
          <w:b/>
          <w:bCs/>
        </w:rPr>
        <w:t>28</w:t>
      </w:r>
      <w:r w:rsidRPr="00B42483">
        <w:t xml:space="preserve"> </w:t>
      </w:r>
      <w:r w:rsidRPr="008C0EDF">
        <w:rPr>
          <w:b/>
          <w:bCs/>
        </w:rPr>
        <w:t>(Rév.CMR-</w:t>
      </w:r>
      <w:r>
        <w:rPr>
          <w:b/>
          <w:bCs/>
        </w:rPr>
        <w:t>15</w:t>
      </w:r>
      <w:r w:rsidRPr="008C0EDF">
        <w:rPr>
          <w:b/>
          <w:bCs/>
        </w:rPr>
        <w:t>)</w:t>
      </w:r>
      <w:r w:rsidRPr="008A1A64">
        <w:t>,</w:t>
      </w:r>
      <w:r w:rsidRPr="008C0EDF">
        <w:rPr>
          <w:b/>
          <w:bCs/>
        </w:rPr>
        <w:t xml:space="preserve"> </w:t>
      </w:r>
      <w:r w:rsidRPr="00B42483">
        <w:t>et décider s</w:t>
      </w:r>
      <w:r>
        <w:t>'</w:t>
      </w:r>
      <w:r w:rsidRPr="00B42483">
        <w:t>il convient ou non de mettre à jour les références correspondantes dans le Règlement des radiocommunications, conformément aux principes énoncés dans l</w:t>
      </w:r>
      <w:r>
        <w:t>'</w:t>
      </w:r>
      <w:r w:rsidRPr="00B42483">
        <w:t>Annexe 1 de la Résolution </w:t>
      </w:r>
      <w:r w:rsidRPr="008C0EDF">
        <w:rPr>
          <w:b/>
          <w:bCs/>
        </w:rPr>
        <w:t>27</w:t>
      </w:r>
      <w:r w:rsidRPr="00B42483">
        <w:t xml:space="preserve"> </w:t>
      </w:r>
      <w:r w:rsidRPr="008C0EDF">
        <w:rPr>
          <w:b/>
          <w:bCs/>
        </w:rPr>
        <w:t>(Rév.CMR</w:t>
      </w:r>
      <w:r w:rsidRPr="008C0EDF">
        <w:rPr>
          <w:b/>
          <w:bCs/>
        </w:rPr>
        <w:noBreakHyphen/>
        <w:t>12)</w:t>
      </w:r>
      <w:r w:rsidRPr="00B42483">
        <w:t>;</w:t>
      </w:r>
    </w:p>
    <w:p w14:paraId="2F794088" w14:textId="77777777" w:rsidR="004A4B52" w:rsidRPr="00B42483" w:rsidRDefault="005B3E51" w:rsidP="00492B79">
      <w:r w:rsidRPr="00B42483">
        <w:t>3</w:t>
      </w:r>
      <w:r w:rsidRPr="00B42483">
        <w:tab/>
        <w:t>examiner les modifications et amendements à apporter éventuellement au Règlement des radiocommunications à la suite des décisions prises par la Conférence;</w:t>
      </w:r>
    </w:p>
    <w:p w14:paraId="59AD6CEF" w14:textId="77777777" w:rsidR="004A4B52" w:rsidRPr="00B42483" w:rsidRDefault="005B3E51" w:rsidP="00492B79">
      <w:r w:rsidRPr="00B42483">
        <w:t>4</w:t>
      </w:r>
      <w:r w:rsidRPr="00B42483">
        <w:tab/>
        <w:t xml:space="preserve">conformément à la Résolution </w:t>
      </w:r>
      <w:r w:rsidRPr="008C0EDF">
        <w:rPr>
          <w:b/>
          <w:bCs/>
        </w:rPr>
        <w:t>95 (Rév.CMR-07)</w:t>
      </w:r>
      <w:r w:rsidRPr="00B42483">
        <w:t>, examiner les résolutions et recommandations des conférences précédentes en vue, le cas échéant, de les réviser, de les remplacer ou de les supprimer;</w:t>
      </w:r>
    </w:p>
    <w:p w14:paraId="6D38F5C2" w14:textId="77777777" w:rsidR="004A4B52" w:rsidRPr="00B42483" w:rsidRDefault="005B3E51" w:rsidP="00492B79">
      <w:r w:rsidRPr="00B42483">
        <w:t>5</w:t>
      </w:r>
      <w:r w:rsidRPr="00B42483">
        <w:tab/>
        <w:t>examiner le Rapport de l</w:t>
      </w:r>
      <w:r>
        <w:t>'</w:t>
      </w:r>
      <w:r w:rsidRPr="00B42483">
        <w:t>Assemblée des radiocommunications soumis conformément aux numéros 135 et 136 de la Convention et lui donner la suite voulue;</w:t>
      </w:r>
    </w:p>
    <w:p w14:paraId="3D390F69" w14:textId="77777777" w:rsidR="004A4B52" w:rsidRPr="00B42483" w:rsidRDefault="005B3E51" w:rsidP="00492B79">
      <w:r w:rsidRPr="00B42483">
        <w:t>6</w:t>
      </w:r>
      <w:r w:rsidRPr="00B42483">
        <w:tab/>
        <w:t>identifier les points auxquels les commissions d</w:t>
      </w:r>
      <w:r>
        <w:t>'</w:t>
      </w:r>
      <w:r w:rsidRPr="00B42483">
        <w:t>études des radiocommunications doivent d</w:t>
      </w:r>
      <w:r>
        <w:t>'</w:t>
      </w:r>
      <w:r w:rsidRPr="00B42483">
        <w:t xml:space="preserve">urgence donner suite, en </w:t>
      </w:r>
      <w:r>
        <w:t>vue</w:t>
      </w:r>
      <w:r w:rsidRPr="00B42483">
        <w:t xml:space="preserve"> de la conférence mondiale des radiocommunications suivante;</w:t>
      </w:r>
    </w:p>
    <w:p w14:paraId="5110F367" w14:textId="77777777" w:rsidR="004A4B52" w:rsidRPr="00B42483" w:rsidRDefault="005B3E51" w:rsidP="00492B79">
      <w:r w:rsidRPr="00B42483">
        <w:t>7</w:t>
      </w:r>
      <w:r w:rsidRPr="00B42483">
        <w:tab/>
        <w:t>examiner d</w:t>
      </w:r>
      <w:r>
        <w:t>'</w:t>
      </w:r>
      <w:r w:rsidRPr="00B42483">
        <w:t>éventuels changements à apporter, et d</w:t>
      </w:r>
      <w:r>
        <w:t>'</w:t>
      </w:r>
      <w:r w:rsidRPr="00B42483">
        <w:t xml:space="preserve">autres options à mettre en </w:t>
      </w:r>
      <w:r>
        <w:t>oe</w:t>
      </w:r>
      <w:r w:rsidRPr="00B42483">
        <w:t>uvre, en application de la Résolution 86 (Rév. Marrakech, 2002) de la Conférence de plénipotentiaires, intitulée «Procédures de publication anticipée, de coordination, de notification et d</w:t>
      </w:r>
      <w:r>
        <w:t>'</w:t>
      </w:r>
      <w:r w:rsidRPr="00B42483">
        <w:t>inscription des assignations de fréquence relatives aux réseaux à satellite», conformément à la Résolution </w:t>
      </w:r>
      <w:r w:rsidRPr="008C0EDF">
        <w:rPr>
          <w:b/>
          <w:bCs/>
        </w:rPr>
        <w:t>86 (Rév.CMR-07)</w:t>
      </w:r>
      <w:r w:rsidRPr="00B42483">
        <w:t>, afin de faciliter l</w:t>
      </w:r>
      <w:r>
        <w:t>'</w:t>
      </w:r>
      <w:r w:rsidRPr="00B42483">
        <w:t>utilisation rationnelle, efficace et économique des fréquences radioélectriques et des orbites associées, y compris de l</w:t>
      </w:r>
      <w:r>
        <w:t>'</w:t>
      </w:r>
      <w:r w:rsidRPr="00B42483">
        <w:t>orbite des satellites géostationnaires;</w:t>
      </w:r>
    </w:p>
    <w:p w14:paraId="1256A278" w14:textId="77777777" w:rsidR="004A4B52" w:rsidRPr="00B42483" w:rsidRDefault="005B3E51" w:rsidP="00492B79">
      <w:r w:rsidRPr="00B42483">
        <w:t>8</w:t>
      </w:r>
      <w:r w:rsidRPr="00B42483">
        <w:tab/>
        <w:t>examiner les demandes des administrations qui souhaitent supprimer des renvois relatifs à leur pays ou le nom de leur pays de certains renvois, s</w:t>
      </w:r>
      <w:r>
        <w:t>'</w:t>
      </w:r>
      <w:r w:rsidRPr="00B42483">
        <w:t xml:space="preserve">ils ne sont plus nécessaires, compte tenu de la Résolution </w:t>
      </w:r>
      <w:r w:rsidRPr="008C0EDF">
        <w:rPr>
          <w:b/>
          <w:bCs/>
        </w:rPr>
        <w:t>26 (Rév.CMR-07)</w:t>
      </w:r>
      <w:r w:rsidRPr="00B42483">
        <w:t>, et prendre les mesures voulues à ce sujet;</w:t>
      </w:r>
    </w:p>
    <w:p w14:paraId="20A38639" w14:textId="77777777" w:rsidR="004A4B52" w:rsidRPr="00B42483" w:rsidRDefault="005B3E51" w:rsidP="00492B79">
      <w:r w:rsidRPr="00B42483">
        <w:t>9</w:t>
      </w:r>
      <w:r w:rsidRPr="00B42483">
        <w:tab/>
        <w:t>examiner et approuver le rapport du Directeur du Bureau des radiocommunications, conformément à l</w:t>
      </w:r>
      <w:r>
        <w:t>'</w:t>
      </w:r>
      <w:r w:rsidRPr="00B42483">
        <w:t>article</w:t>
      </w:r>
      <w:r>
        <w:t> </w:t>
      </w:r>
      <w:r w:rsidRPr="00B42483">
        <w:t>7 de la Convention:</w:t>
      </w:r>
    </w:p>
    <w:p w14:paraId="3C610E20" w14:textId="77777777" w:rsidR="004A4B52" w:rsidRPr="00B42483" w:rsidRDefault="005B3E51" w:rsidP="00492B79">
      <w:r w:rsidRPr="00B42483">
        <w:t>9.1</w:t>
      </w:r>
      <w:r w:rsidRPr="00B42483">
        <w:tab/>
        <w:t>sur les activités du Secteur des radiocommunications depuis la CMR</w:t>
      </w:r>
      <w:r w:rsidRPr="00B42483">
        <w:noBreakHyphen/>
      </w:r>
      <w:r>
        <w:t>15;</w:t>
      </w:r>
    </w:p>
    <w:p w14:paraId="7267BE29" w14:textId="77777777" w:rsidR="004A4B52" w:rsidRPr="00B42483" w:rsidRDefault="005B3E51" w:rsidP="00492B79">
      <w:r w:rsidRPr="00B42483">
        <w:lastRenderedPageBreak/>
        <w:t>9.2</w:t>
      </w:r>
      <w:r w:rsidRPr="00B42483">
        <w:tab/>
        <w:t>sur les difficultés rencontrées ou les incohérences constatées dans l</w:t>
      </w:r>
      <w:r>
        <w:t>'</w:t>
      </w:r>
      <w:r w:rsidRPr="00B42483">
        <w:t>application du Règlement des radiocommunications</w:t>
      </w:r>
      <w:r>
        <w:rPr>
          <w:rStyle w:val="FootnoteReference"/>
        </w:rPr>
        <w:footnoteReference w:customMarkFollows="1" w:id="2"/>
        <w:t>*</w:t>
      </w:r>
      <w:r w:rsidRPr="00B42483">
        <w:t>; et</w:t>
      </w:r>
    </w:p>
    <w:p w14:paraId="10F71140" w14:textId="77777777" w:rsidR="004A4B52" w:rsidRPr="00B42483" w:rsidRDefault="005B3E51" w:rsidP="00492B79">
      <w:pPr>
        <w:rPr>
          <w:i/>
          <w:iCs/>
        </w:rPr>
      </w:pPr>
      <w:r w:rsidRPr="00B42483">
        <w:t>9.3</w:t>
      </w:r>
      <w:r w:rsidRPr="00B42483">
        <w:tab/>
        <w:t>sur la suite donnée à la Résolution</w:t>
      </w:r>
      <w:r>
        <w:t> </w:t>
      </w:r>
      <w:r w:rsidRPr="008C0EDF">
        <w:rPr>
          <w:b/>
          <w:bCs/>
        </w:rPr>
        <w:t>80 (Rév.CMR-07)</w:t>
      </w:r>
      <w:r w:rsidRPr="00B42483">
        <w:t>;</w:t>
      </w:r>
    </w:p>
    <w:p w14:paraId="715D7C85" w14:textId="77777777" w:rsidR="004A4B52" w:rsidRPr="00B42483" w:rsidRDefault="005B3E51" w:rsidP="00492B79">
      <w:r w:rsidRPr="00B42483">
        <w:t>10</w:t>
      </w:r>
      <w:r w:rsidRPr="00B42483">
        <w:tab/>
        <w:t>recommander au Conseil des points à inscrire à l</w:t>
      </w:r>
      <w:r>
        <w:t>'</w:t>
      </w:r>
      <w:r w:rsidRPr="00B42483">
        <w:t>ordre du jour de la CMR suivante et exposer ses vues sur l</w:t>
      </w:r>
      <w:r>
        <w:t>'</w:t>
      </w:r>
      <w:r w:rsidRPr="00B42483">
        <w:t>ordre du jour préliminaire de la conférence ultérieure ainsi que sur des points éventuels à inscrire à l</w:t>
      </w:r>
      <w:r>
        <w:t>'</w:t>
      </w:r>
      <w:r w:rsidRPr="00B42483">
        <w:t>ordre du jour de conférences futures, conformément à l</w:t>
      </w:r>
      <w:r>
        <w:t>'</w:t>
      </w:r>
      <w:r w:rsidRPr="00B42483">
        <w:t>article 7 de la Convention,</w:t>
      </w:r>
    </w:p>
    <w:p w14:paraId="2A7EE3F8" w14:textId="7F1848D4" w:rsidR="00FB3F8E" w:rsidRDefault="005B3E51" w:rsidP="00492B79">
      <w:pPr>
        <w:pStyle w:val="Reasons"/>
      </w:pPr>
      <w:r>
        <w:rPr>
          <w:b/>
        </w:rPr>
        <w:t>Motifs:</w:t>
      </w:r>
      <w:r>
        <w:tab/>
      </w:r>
      <w:r w:rsidR="00301B06" w:rsidRPr="00301B06">
        <w:t>Chinois uniquement</w:t>
      </w:r>
      <w:r w:rsidR="00301B06">
        <w:t>.</w:t>
      </w:r>
    </w:p>
    <w:p w14:paraId="60FC5910" w14:textId="77777777" w:rsidR="004A4B52" w:rsidRPr="003B0744" w:rsidRDefault="005B3E51" w:rsidP="00492B79">
      <w:pPr>
        <w:pStyle w:val="ResNo"/>
        <w:rPr>
          <w:lang w:val="fr-CH"/>
        </w:rPr>
      </w:pPr>
      <w:r w:rsidRPr="00A05568">
        <w:rPr>
          <w:caps w:val="0"/>
          <w:lang w:val="fr-CH"/>
        </w:rPr>
        <w:t xml:space="preserve">RÉSOLUTION </w:t>
      </w:r>
      <w:r w:rsidRPr="00DA7802">
        <w:rPr>
          <w:rStyle w:val="href"/>
          <w:caps w:val="0"/>
        </w:rPr>
        <w:t>958</w:t>
      </w:r>
      <w:r>
        <w:rPr>
          <w:caps w:val="0"/>
          <w:lang w:val="fr-CH"/>
        </w:rPr>
        <w:t xml:space="preserve"> </w:t>
      </w:r>
      <w:r w:rsidRPr="00A05568">
        <w:rPr>
          <w:caps w:val="0"/>
          <w:lang w:val="fr-CH"/>
        </w:rPr>
        <w:t>(CMR-15)</w:t>
      </w:r>
    </w:p>
    <w:p w14:paraId="4BF1AEF3" w14:textId="77777777" w:rsidR="004A4B52" w:rsidRPr="003B0744" w:rsidRDefault="005B3E51" w:rsidP="00492B79">
      <w:pPr>
        <w:pStyle w:val="Restitle"/>
        <w:rPr>
          <w:lang w:val="fr-CH"/>
        </w:rPr>
      </w:pPr>
      <w:bookmarkStart w:id="19" w:name="_Toc450208845"/>
      <w:r w:rsidRPr="00A05568">
        <w:rPr>
          <w:lang w:val="fr-CH"/>
        </w:rPr>
        <w:t xml:space="preserve">Etudes </w:t>
      </w:r>
      <w:r>
        <w:rPr>
          <w:lang w:val="fr-CH"/>
        </w:rPr>
        <w:t>à entreprendre d'urgenc</w:t>
      </w:r>
      <w:r w:rsidRPr="00A05568">
        <w:rPr>
          <w:lang w:val="fr-CH"/>
        </w:rPr>
        <w:t xml:space="preserve">e en vue de la Conférence mondiale </w:t>
      </w:r>
      <w:r>
        <w:rPr>
          <w:lang w:val="fr-CH"/>
        </w:rPr>
        <w:br/>
      </w:r>
      <w:r w:rsidRPr="00A05568">
        <w:rPr>
          <w:lang w:val="fr-CH"/>
        </w:rPr>
        <w:t>des radiocommunications de</w:t>
      </w:r>
      <w:r w:rsidRPr="003B0744">
        <w:rPr>
          <w:lang w:val="fr-CH"/>
        </w:rPr>
        <w:t xml:space="preserve"> 2019</w:t>
      </w:r>
      <w:bookmarkEnd w:id="19"/>
      <w:r w:rsidRPr="003B0744">
        <w:rPr>
          <w:lang w:val="fr-CH"/>
        </w:rPr>
        <w:t xml:space="preserve"> </w:t>
      </w:r>
    </w:p>
    <w:p w14:paraId="11D18EF3" w14:textId="77777777" w:rsidR="00FB3F8E" w:rsidRDefault="005B3E51" w:rsidP="00492B79">
      <w:pPr>
        <w:pStyle w:val="Proposal"/>
      </w:pPr>
      <w:r>
        <w:t>(MOD)</w:t>
      </w:r>
      <w:r>
        <w:tab/>
        <w:t>CHN/209/10</w:t>
      </w:r>
    </w:p>
    <w:p w14:paraId="2F65BE9E" w14:textId="77777777" w:rsidR="004A4B52" w:rsidRPr="008C5800" w:rsidRDefault="005B3E51" w:rsidP="00492B79">
      <w:pPr>
        <w:pStyle w:val="AnnexNo"/>
        <w:rPr>
          <w:lang w:val="fr-CH"/>
        </w:rPr>
      </w:pPr>
      <w:r w:rsidRPr="00844711">
        <w:rPr>
          <w:lang w:val="fr-CH"/>
        </w:rPr>
        <w:t>ANNEXe de la</w:t>
      </w:r>
      <w:r>
        <w:rPr>
          <w:lang w:val="fr-CH"/>
        </w:rPr>
        <w:t xml:space="preserve"> Ré</w:t>
      </w:r>
      <w:r w:rsidRPr="00844711">
        <w:rPr>
          <w:lang w:val="fr-CH"/>
        </w:rPr>
        <w:t xml:space="preserve">SOLUTION </w:t>
      </w:r>
      <w:r>
        <w:rPr>
          <w:lang w:val="fr-CH"/>
        </w:rPr>
        <w:t xml:space="preserve">958 </w:t>
      </w:r>
      <w:r w:rsidRPr="00844711">
        <w:rPr>
          <w:lang w:val="fr-CH"/>
        </w:rPr>
        <w:t>(CMR-15)</w:t>
      </w:r>
    </w:p>
    <w:p w14:paraId="6D4E9208" w14:textId="77777777" w:rsidR="004A4B52" w:rsidRPr="008C5800" w:rsidRDefault="005B3E51" w:rsidP="00492B79">
      <w:pPr>
        <w:pStyle w:val="Annextitle"/>
        <w:rPr>
          <w:lang w:val="fr-CH"/>
        </w:rPr>
      </w:pPr>
      <w:r>
        <w:rPr>
          <w:lang w:val="fr-CH"/>
        </w:rPr>
        <w:t>E</w:t>
      </w:r>
      <w:r w:rsidRPr="003B0744">
        <w:rPr>
          <w:lang w:val="fr-CH"/>
        </w:rPr>
        <w:t xml:space="preserve">tudes </w:t>
      </w:r>
      <w:r>
        <w:rPr>
          <w:lang w:val="fr-CH"/>
        </w:rPr>
        <w:t>à entreprendre d'urgenc</w:t>
      </w:r>
      <w:r w:rsidRPr="003B0744">
        <w:rPr>
          <w:lang w:val="fr-CH"/>
        </w:rPr>
        <w:t xml:space="preserve">e en vue de la Conférence mondiale </w:t>
      </w:r>
      <w:r>
        <w:rPr>
          <w:lang w:val="fr-CH"/>
        </w:rPr>
        <w:br/>
      </w:r>
      <w:r w:rsidRPr="003B0744">
        <w:rPr>
          <w:lang w:val="fr-CH"/>
        </w:rPr>
        <w:t>des radiocommunications de 2019</w:t>
      </w:r>
    </w:p>
    <w:p w14:paraId="7A45268D" w14:textId="77777777" w:rsidR="004A4B52" w:rsidRPr="00844711" w:rsidRDefault="005B3E51" w:rsidP="00492B79">
      <w:pPr>
        <w:rPr>
          <w:lang w:val="fr-CH"/>
        </w:rPr>
      </w:pPr>
      <w:r w:rsidRPr="00844711">
        <w:rPr>
          <w:lang w:val="fr-CH"/>
        </w:rPr>
        <w:t>1)</w:t>
      </w:r>
      <w:r w:rsidRPr="00844711">
        <w:rPr>
          <w:lang w:val="fr-CH"/>
        </w:rPr>
        <w:tab/>
      </w:r>
      <w:r>
        <w:rPr>
          <w:lang w:val="fr-CH"/>
        </w:rPr>
        <w:t>E</w:t>
      </w:r>
      <w:r w:rsidRPr="00844711">
        <w:rPr>
          <w:lang w:val="fr-CH"/>
        </w:rPr>
        <w:t>tudes relatives à la transmission d</w:t>
      </w:r>
      <w:r>
        <w:rPr>
          <w:lang w:val="fr-CH"/>
        </w:rPr>
        <w:t>'</w:t>
      </w:r>
      <w:r w:rsidRPr="00844711">
        <w:rPr>
          <w:lang w:val="fr-CH"/>
        </w:rPr>
        <w:t xml:space="preserve">énergie sans fil </w:t>
      </w:r>
      <w:r>
        <w:rPr>
          <w:lang w:val="fr-CH"/>
        </w:rPr>
        <w:t xml:space="preserve">(WPT) </w:t>
      </w:r>
      <w:r w:rsidRPr="00844711">
        <w:rPr>
          <w:lang w:val="fr-CH"/>
        </w:rPr>
        <w:t>pour les véhicules électriques:</w:t>
      </w:r>
    </w:p>
    <w:p w14:paraId="49E4F3EC" w14:textId="77777777" w:rsidR="004A4B52" w:rsidRPr="00142743" w:rsidRDefault="005B3E51" w:rsidP="00492B79">
      <w:pPr>
        <w:pStyle w:val="enumlev1"/>
        <w:rPr>
          <w:rFonts w:eastAsia="MS Mincho"/>
        </w:rPr>
      </w:pPr>
      <w:r w:rsidRPr="00EE15B9">
        <w:rPr>
          <w:rFonts w:eastAsia="MS Mincho"/>
        </w:rPr>
        <w:t>a)</w:t>
      </w:r>
      <w:r w:rsidRPr="003456B9">
        <w:rPr>
          <w:rFonts w:eastAsia="MS Mincho"/>
        </w:rPr>
        <w:tab/>
      </w:r>
      <w:r w:rsidRPr="00142743">
        <w:rPr>
          <w:rFonts w:eastAsia="MS Mincho"/>
        </w:rPr>
        <w:t xml:space="preserve">évaluer les incidences de la transmission </w:t>
      </w:r>
      <w:r>
        <w:rPr>
          <w:rFonts w:eastAsia="MS Mincho"/>
        </w:rPr>
        <w:t>WPT</w:t>
      </w:r>
      <w:r w:rsidRPr="00142743">
        <w:rPr>
          <w:rFonts w:eastAsia="MS Mincho"/>
        </w:rPr>
        <w:t xml:space="preserve"> pour les véhicules électriques sur les services de radiocommunication;</w:t>
      </w:r>
    </w:p>
    <w:p w14:paraId="6F6E7295" w14:textId="77777777" w:rsidR="004A4B52" w:rsidRPr="003456B9" w:rsidRDefault="005B3E51" w:rsidP="00492B79">
      <w:pPr>
        <w:pStyle w:val="enumlev1"/>
        <w:rPr>
          <w:rFonts w:eastAsia="MS Mincho"/>
        </w:rPr>
      </w:pPr>
      <w:r w:rsidRPr="00142743">
        <w:rPr>
          <w:rFonts w:eastAsia="MS Mincho"/>
        </w:rPr>
        <w:t>b)</w:t>
      </w:r>
      <w:r w:rsidRPr="00142743">
        <w:rPr>
          <w:rFonts w:eastAsia="MS Mincho"/>
        </w:rPr>
        <w:tab/>
        <w:t xml:space="preserve">examiner des gammes de fréquences harmonisées </w:t>
      </w:r>
      <w:r>
        <w:rPr>
          <w:rFonts w:eastAsia="MS Mincho"/>
        </w:rPr>
        <w:t xml:space="preserve">appropriées qui permettraient de </w:t>
      </w:r>
      <w:r w:rsidRPr="00142743">
        <w:rPr>
          <w:rFonts w:eastAsia="MS Mincho"/>
        </w:rPr>
        <w:t>réduire le plus possible les incidences</w:t>
      </w:r>
      <w:r>
        <w:rPr>
          <w:rFonts w:eastAsia="MS Mincho"/>
        </w:rPr>
        <w:t>,</w:t>
      </w:r>
      <w:r w:rsidRPr="00370AAA">
        <w:rPr>
          <w:rFonts w:eastAsia="MS Mincho"/>
        </w:rPr>
        <w:t xml:space="preserve"> </w:t>
      </w:r>
      <w:r w:rsidRPr="00142743">
        <w:rPr>
          <w:rFonts w:eastAsia="MS Mincho"/>
        </w:rPr>
        <w:t>sur les services</w:t>
      </w:r>
      <w:r w:rsidRPr="003456B9">
        <w:rPr>
          <w:rFonts w:eastAsia="MS Mincho"/>
        </w:rPr>
        <w:t xml:space="preserve"> de radiocommunication</w:t>
      </w:r>
      <w:r>
        <w:rPr>
          <w:rFonts w:eastAsia="MS Mincho"/>
        </w:rPr>
        <w:t>,</w:t>
      </w:r>
      <w:r w:rsidRPr="00142743">
        <w:rPr>
          <w:rFonts w:eastAsia="MS Mincho"/>
        </w:rPr>
        <w:t xml:space="preserve"> de la transmission </w:t>
      </w:r>
      <w:r>
        <w:rPr>
          <w:rFonts w:eastAsia="MS Mincho"/>
        </w:rPr>
        <w:t xml:space="preserve">WPT </w:t>
      </w:r>
      <w:r w:rsidRPr="00142743">
        <w:rPr>
          <w:rFonts w:eastAsia="MS Mincho"/>
        </w:rPr>
        <w:t>pour les véhicules électriques</w:t>
      </w:r>
      <w:r w:rsidRPr="003456B9">
        <w:rPr>
          <w:rFonts w:eastAsia="MS Mincho"/>
        </w:rPr>
        <w:t>,</w:t>
      </w:r>
    </w:p>
    <w:p w14:paraId="7B2EB3C3" w14:textId="77777777" w:rsidR="004A4B52" w:rsidRPr="008C5800" w:rsidRDefault="005B3E51" w:rsidP="00492B79">
      <w:pPr>
        <w:rPr>
          <w:lang w:val="fr-CH"/>
        </w:rPr>
      </w:pPr>
      <w:r>
        <w:t xml:space="preserve">ces </w:t>
      </w:r>
      <w:r>
        <w:rPr>
          <w:lang w:val="fr-CH"/>
        </w:rPr>
        <w:t xml:space="preserve">études devraient tenir compte du fait </w:t>
      </w:r>
      <w:r w:rsidRPr="005B7B09">
        <w:rPr>
          <w:lang w:val="fr-CH"/>
        </w:rPr>
        <w:t xml:space="preserve">que la Commission électrotechnique internationale (CEI), l'Organisation internationale de normalisation (ISO) et la Society of Automotive Engineers (SAE) sont en train d'approuver des normes visant à harmoniser, à l'échelle mondiale et régionale, les techniques </w:t>
      </w:r>
      <w:r>
        <w:rPr>
          <w:rFonts w:eastAsia="MS Mincho"/>
        </w:rPr>
        <w:t xml:space="preserve">WPT </w:t>
      </w:r>
      <w:r w:rsidRPr="005B7B09">
        <w:rPr>
          <w:lang w:val="fr-CH"/>
        </w:rPr>
        <w:t>pour les véhicules électriques</w:t>
      </w:r>
      <w:r>
        <w:rPr>
          <w:lang w:val="fr-CH"/>
        </w:rPr>
        <w:t>;</w:t>
      </w:r>
    </w:p>
    <w:p w14:paraId="49B346EF" w14:textId="77777777" w:rsidR="004A4B52" w:rsidRDefault="005B3E51" w:rsidP="00492B79">
      <w:pPr>
        <w:rPr>
          <w:lang w:val="fr-CH" w:eastAsia="zh-CN"/>
        </w:rPr>
      </w:pPr>
      <w:r w:rsidRPr="003506EC">
        <w:rPr>
          <w:lang w:val="fr-CH"/>
        </w:rPr>
        <w:t>2)</w:t>
      </w:r>
      <w:r w:rsidRPr="003506EC">
        <w:rPr>
          <w:lang w:val="fr-CH"/>
        </w:rPr>
        <w:tab/>
      </w:r>
      <w:r>
        <w:rPr>
          <w:lang w:val="fr-CH" w:eastAsia="zh-CN"/>
        </w:rPr>
        <w:t>Etudes visant à déterminer:</w:t>
      </w:r>
    </w:p>
    <w:p w14:paraId="7DB52BD7" w14:textId="77777777" w:rsidR="004A4B52" w:rsidRDefault="005B3E51" w:rsidP="00492B79">
      <w:pPr>
        <w:pStyle w:val="enumlev1"/>
        <w:rPr>
          <w:lang w:val="fr-CH"/>
        </w:rPr>
      </w:pPr>
      <w:r>
        <w:rPr>
          <w:lang w:val="fr-CH" w:eastAsia="zh-CN"/>
        </w:rPr>
        <w:t>a)</w:t>
      </w:r>
      <w:r>
        <w:rPr>
          <w:lang w:val="fr-CH" w:eastAsia="zh-CN"/>
        </w:rPr>
        <w:tab/>
      </w:r>
      <w:r w:rsidRPr="00982B3E">
        <w:rPr>
          <w:lang w:val="fr-CH" w:eastAsia="zh-CN"/>
        </w:rPr>
        <w:t xml:space="preserve">s'il est nécessaire de prendre éventuellement des mesures </w:t>
      </w:r>
      <w:r>
        <w:rPr>
          <w:lang w:val="fr-CH" w:eastAsia="zh-CN"/>
        </w:rPr>
        <w:t>additionnelles pour</w:t>
      </w:r>
      <w:r w:rsidRPr="00982B3E">
        <w:rPr>
          <w:lang w:val="fr-CH" w:eastAsia="zh-CN"/>
        </w:rPr>
        <w:t xml:space="preserve"> limiter aux terminaux autorisés les émissions des terminaux</w:t>
      </w:r>
      <w:r>
        <w:rPr>
          <w:lang w:val="fr-CH" w:eastAsia="zh-CN"/>
        </w:rPr>
        <w:t xml:space="preserve"> </w:t>
      </w:r>
      <w:r w:rsidRPr="00982B3E">
        <w:rPr>
          <w:lang w:val="fr-CH" w:eastAsia="zh-CN"/>
        </w:rPr>
        <w:t>sur la liaison montante, conformément au numéro</w:t>
      </w:r>
      <w:r>
        <w:rPr>
          <w:lang w:val="fr-CH" w:eastAsia="zh-CN"/>
        </w:rPr>
        <w:t> </w:t>
      </w:r>
      <w:r w:rsidRPr="00F434CF">
        <w:rPr>
          <w:b/>
          <w:bCs/>
          <w:lang w:val="fr-CH" w:eastAsia="zh-CN"/>
        </w:rPr>
        <w:t>18.1</w:t>
      </w:r>
      <w:r>
        <w:rPr>
          <w:lang w:val="fr-CH" w:eastAsia="zh-CN"/>
        </w:rPr>
        <w:t>;</w:t>
      </w:r>
    </w:p>
    <w:p w14:paraId="2A5FE253" w14:textId="77777777" w:rsidR="004A4B52" w:rsidRPr="002A26C5" w:rsidRDefault="005B3E51" w:rsidP="00492B79">
      <w:pPr>
        <w:pStyle w:val="enumlev1"/>
        <w:rPr>
          <w:lang w:val="fr-CH" w:eastAsia="zh-CN"/>
        </w:rPr>
      </w:pPr>
      <w:r>
        <w:rPr>
          <w:lang w:val="fr-CH" w:eastAsia="zh-CN"/>
        </w:rPr>
        <w:t>b)</w:t>
      </w:r>
      <w:r>
        <w:rPr>
          <w:lang w:val="fr-CH" w:eastAsia="zh-CN"/>
        </w:rPr>
        <w:tab/>
      </w:r>
      <w:r w:rsidRPr="00982B3E">
        <w:rPr>
          <w:lang w:val="fr-CH" w:eastAsia="zh-CN"/>
        </w:rPr>
        <w:t>les méthodes qui permettraient d'aider les administrations à gér</w:t>
      </w:r>
      <w:r>
        <w:rPr>
          <w:lang w:val="fr-CH" w:eastAsia="zh-CN"/>
        </w:rPr>
        <w:t xml:space="preserve">er l'exploitation non autorisée </w:t>
      </w:r>
      <w:r w:rsidRPr="00982B3E">
        <w:rPr>
          <w:lang w:val="fr-CH" w:eastAsia="zh-CN"/>
        </w:rPr>
        <w:t>des terminaux de stations terriennes déployés sur leur t</w:t>
      </w:r>
      <w:r>
        <w:rPr>
          <w:lang w:val="fr-CH" w:eastAsia="zh-CN"/>
        </w:rPr>
        <w:t>erritoire, afin de leur fournir </w:t>
      </w:r>
      <w:r w:rsidRPr="00982B3E">
        <w:rPr>
          <w:lang w:val="fr-CH" w:eastAsia="zh-CN"/>
        </w:rPr>
        <w:t xml:space="preserve">des orientations pour leur </w:t>
      </w:r>
      <w:r>
        <w:rPr>
          <w:lang w:val="fr-CH" w:eastAsia="zh-CN"/>
        </w:rPr>
        <w:t>programme national de gestion du</w:t>
      </w:r>
      <w:r w:rsidRPr="00982B3E">
        <w:rPr>
          <w:lang w:val="fr-CH" w:eastAsia="zh-CN"/>
        </w:rPr>
        <w:t xml:space="preserve"> spectre</w:t>
      </w:r>
      <w:r>
        <w:rPr>
          <w:lang w:val="fr-CH" w:eastAsia="zh-CN"/>
        </w:rPr>
        <w:t xml:space="preserve">, conformément à la Résolution </w:t>
      </w:r>
      <w:r w:rsidRPr="002A26C5">
        <w:rPr>
          <w:lang w:val="fr-CH" w:eastAsia="zh-CN"/>
        </w:rPr>
        <w:t>UIT</w:t>
      </w:r>
      <w:r w:rsidRPr="002A26C5">
        <w:rPr>
          <w:lang w:val="fr-CH" w:eastAsia="zh-CN"/>
        </w:rPr>
        <w:noBreakHyphen/>
        <w:t>R 64 (AR</w:t>
      </w:r>
      <w:r w:rsidRPr="002A26C5">
        <w:rPr>
          <w:lang w:val="fr-CH" w:eastAsia="zh-CN"/>
        </w:rPr>
        <w:noBreakHyphen/>
        <w:t>15);</w:t>
      </w:r>
    </w:p>
    <w:p w14:paraId="3B7A5083" w14:textId="77777777" w:rsidR="004A4B52" w:rsidRDefault="005B3E51" w:rsidP="00492B79">
      <w:pPr>
        <w:rPr>
          <w:lang w:val="fr-CH" w:eastAsia="zh-CN"/>
        </w:rPr>
      </w:pPr>
      <w:r>
        <w:rPr>
          <w:lang w:val="fr-CH" w:eastAsia="zh-CN"/>
        </w:rPr>
        <w:lastRenderedPageBreak/>
        <w:t>3)</w:t>
      </w:r>
      <w:r>
        <w:rPr>
          <w:lang w:val="fr-CH" w:eastAsia="zh-CN"/>
        </w:rPr>
        <w:tab/>
        <w:t>Etudes sur les aspects techniques et opérationnels des réseaux et des systèmes de radiocommunication ainsi que sur les besoins de fréquences de ces réseaux et systèmes, y compris la possibilité d'une utilisation harmonisée du spectre pour permettre la mise en œuvre des infrastructures de communication de type machine, à bande étroite et large bande, en vue de l'élaboration de Recommandations, de Rapports et/ou de Manuels, selon le cas, et adoption de mesures appropriées dans le cadre des travaux relevant du domaine de compétence du Secteur des radiocommunications de l'UIT.</w:t>
      </w:r>
    </w:p>
    <w:p w14:paraId="1E23ED6D" w14:textId="77777777" w:rsidR="00492B79" w:rsidRDefault="005B3E51" w:rsidP="00411C49">
      <w:pPr>
        <w:pStyle w:val="Reasons"/>
      </w:pPr>
      <w:r>
        <w:rPr>
          <w:b/>
        </w:rPr>
        <w:t>Motifs:</w:t>
      </w:r>
      <w:r>
        <w:tab/>
      </w:r>
      <w:r w:rsidR="00301B06" w:rsidRPr="00301B06">
        <w:t>Chinois uniquement</w:t>
      </w:r>
      <w:r w:rsidR="00301B06">
        <w:t>.</w:t>
      </w:r>
    </w:p>
    <w:p w14:paraId="786192B0" w14:textId="77777777" w:rsidR="00F024C5" w:rsidRDefault="00F024C5" w:rsidP="00F024C5"/>
    <w:p w14:paraId="63582FEF" w14:textId="19B964ED" w:rsidR="00492B79" w:rsidRDefault="00492B79">
      <w:pPr>
        <w:jc w:val="center"/>
      </w:pPr>
      <w:r>
        <w:t>______________</w:t>
      </w:r>
    </w:p>
    <w:sectPr w:rsidR="00492B79">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E5FF1" w14:textId="77777777" w:rsidR="00BC217E" w:rsidRDefault="00BC217E">
      <w:r>
        <w:separator/>
      </w:r>
    </w:p>
  </w:endnote>
  <w:endnote w:type="continuationSeparator" w:id="0">
    <w:p w14:paraId="0805F172"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D739D" w14:textId="63B2572A" w:rsidR="00936D25" w:rsidRDefault="00936D25">
    <w:pPr>
      <w:rPr>
        <w:lang w:val="en-US"/>
      </w:rPr>
    </w:pPr>
    <w:r>
      <w:fldChar w:fldCharType="begin"/>
    </w:r>
    <w:r>
      <w:rPr>
        <w:lang w:val="en-US"/>
      </w:rPr>
      <w:instrText xml:space="preserve"> FILENAME \p  \* MERGEFORMAT </w:instrText>
    </w:r>
    <w:r>
      <w:fldChar w:fldCharType="separate"/>
    </w:r>
    <w:r w:rsidR="009D0EF5">
      <w:rPr>
        <w:noProof/>
        <w:lang w:val="en-US"/>
      </w:rPr>
      <w:t>P:\FRA\ITU-R\CONF-R\CMR19\200\209F.docx</w:t>
    </w:r>
    <w:r>
      <w:fldChar w:fldCharType="end"/>
    </w:r>
    <w:r>
      <w:rPr>
        <w:lang w:val="en-US"/>
      </w:rPr>
      <w:tab/>
    </w:r>
    <w:r>
      <w:fldChar w:fldCharType="begin"/>
    </w:r>
    <w:r>
      <w:instrText xml:space="preserve"> SAVEDATE \@ DD.MM.YY </w:instrText>
    </w:r>
    <w:r>
      <w:fldChar w:fldCharType="separate"/>
    </w:r>
    <w:r w:rsidR="009D0EF5">
      <w:rPr>
        <w:noProof/>
      </w:rPr>
      <w:t>07.11.19</w:t>
    </w:r>
    <w:r>
      <w:fldChar w:fldCharType="end"/>
    </w:r>
    <w:r>
      <w:rPr>
        <w:lang w:val="en-US"/>
      </w:rPr>
      <w:tab/>
    </w:r>
    <w:r>
      <w:fldChar w:fldCharType="begin"/>
    </w:r>
    <w:r>
      <w:instrText xml:space="preserve"> PRINTDATE \@ DD.MM.YY </w:instrText>
    </w:r>
    <w:r>
      <w:fldChar w:fldCharType="separate"/>
    </w:r>
    <w:r w:rsidR="009D0EF5">
      <w:rPr>
        <w:noProof/>
      </w:rPr>
      <w:t>07.11.19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64488" w14:textId="244E1F0A" w:rsidR="00936D25" w:rsidRPr="00492B79" w:rsidRDefault="00936D25" w:rsidP="007B2C34">
    <w:pPr>
      <w:pStyle w:val="Footer"/>
      <w:rPr>
        <w:lang w:val="en-GB"/>
      </w:rPr>
    </w:pPr>
    <w:r>
      <w:fldChar w:fldCharType="begin"/>
    </w:r>
    <w:r>
      <w:rPr>
        <w:lang w:val="en-US"/>
      </w:rPr>
      <w:instrText xml:space="preserve"> FILENAME \p  \* MERGEFORMAT </w:instrText>
    </w:r>
    <w:r>
      <w:fldChar w:fldCharType="separate"/>
    </w:r>
    <w:r w:rsidR="009D0EF5">
      <w:rPr>
        <w:lang w:val="en-US"/>
      </w:rPr>
      <w:t>P:\FRA\ITU-R\CONF-R\CMR19\200\209F.docx</w:t>
    </w:r>
    <w:r>
      <w:fldChar w:fldCharType="end"/>
    </w:r>
    <w:r w:rsidR="00492B79" w:rsidRPr="00492B79">
      <w:rPr>
        <w:lang w:val="en-GB"/>
      </w:rPr>
      <w:t xml:space="preserve"> </w:t>
    </w:r>
    <w:r w:rsidR="00492B79">
      <w:rPr>
        <w:lang w:val="en-GB"/>
      </w:rPr>
      <w:t>(463862)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29437" w14:textId="5B946FDE" w:rsidR="00936D25" w:rsidRPr="00492B79" w:rsidRDefault="00936D25" w:rsidP="001A11F6">
    <w:pPr>
      <w:pStyle w:val="Footer"/>
      <w:rPr>
        <w:lang w:val="en-GB"/>
      </w:rPr>
    </w:pPr>
    <w:r>
      <w:fldChar w:fldCharType="begin"/>
    </w:r>
    <w:r>
      <w:rPr>
        <w:lang w:val="en-US"/>
      </w:rPr>
      <w:instrText xml:space="preserve"> FILENAME \p  \* MERGEFORMAT </w:instrText>
    </w:r>
    <w:r>
      <w:fldChar w:fldCharType="separate"/>
    </w:r>
    <w:r w:rsidR="009D0EF5">
      <w:rPr>
        <w:lang w:val="en-US"/>
      </w:rPr>
      <w:t>P:\FRA\ITU-R\CONF-R\CMR19\200\209F.docx</w:t>
    </w:r>
    <w:r>
      <w:fldChar w:fldCharType="end"/>
    </w:r>
    <w:r w:rsidR="00492B79" w:rsidRPr="00492B79">
      <w:rPr>
        <w:lang w:val="en-GB"/>
      </w:rPr>
      <w:t xml:space="preserve"> </w:t>
    </w:r>
    <w:r w:rsidR="00492B79">
      <w:rPr>
        <w:lang w:val="en-GB"/>
      </w:rPr>
      <w:t>(463862)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06721" w14:textId="77777777" w:rsidR="00BC217E" w:rsidRDefault="00BC217E">
      <w:r>
        <w:rPr>
          <w:b/>
        </w:rPr>
        <w:t>_______________</w:t>
      </w:r>
    </w:p>
  </w:footnote>
  <w:footnote w:type="continuationSeparator" w:id="0">
    <w:p w14:paraId="45E803E4" w14:textId="77777777" w:rsidR="00BC217E" w:rsidRDefault="00BC217E">
      <w:r>
        <w:continuationSeparator/>
      </w:r>
    </w:p>
  </w:footnote>
  <w:footnote w:id="1">
    <w:p w14:paraId="649B7F1B" w14:textId="77777777" w:rsidR="00997EA5" w:rsidRPr="00B456A5" w:rsidRDefault="005B3E51" w:rsidP="00997EA5">
      <w:pPr>
        <w:pStyle w:val="FootnoteText"/>
        <w:rPr>
          <w:lang w:val="fr-CH"/>
        </w:rPr>
      </w:pPr>
      <w:r w:rsidRPr="00706F3A">
        <w:rPr>
          <w:rStyle w:val="FootnoteReference"/>
          <w:lang w:val="fr-CH"/>
        </w:rPr>
        <w:t>*</w:t>
      </w:r>
      <w:r w:rsidRPr="00706F3A">
        <w:rPr>
          <w:lang w:val="fr-CH"/>
        </w:rP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 w:id="2">
    <w:p w14:paraId="3C6815D6" w14:textId="77777777" w:rsidR="004603F3" w:rsidRPr="00B456A5" w:rsidRDefault="005B3E51" w:rsidP="004A4B52">
      <w:pPr>
        <w:pStyle w:val="FootnoteText"/>
        <w:rPr>
          <w:lang w:val="fr-CH"/>
        </w:rPr>
      </w:pPr>
      <w:r>
        <w:rPr>
          <w:rStyle w:val="FootnoteReference"/>
        </w:rPr>
        <w:t>*</w:t>
      </w:r>
      <w: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888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B98532E" w14:textId="77777777" w:rsidR="004F1F8E" w:rsidRDefault="004F1F8E" w:rsidP="00FD7AA3">
    <w:pPr>
      <w:pStyle w:val="Header"/>
    </w:pPr>
    <w:r>
      <w:t>CMR1</w:t>
    </w:r>
    <w:r w:rsidR="00FD7AA3">
      <w:t>9</w:t>
    </w:r>
    <w:r>
      <w:t>/</w:t>
    </w:r>
    <w:r w:rsidR="006A4B45">
      <w:t>209-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32FD2"/>
    <w:rsid w:val="0026554E"/>
    <w:rsid w:val="002750B7"/>
    <w:rsid w:val="002A4622"/>
    <w:rsid w:val="002A6F8F"/>
    <w:rsid w:val="002B17E5"/>
    <w:rsid w:val="002C0EBF"/>
    <w:rsid w:val="002C28A4"/>
    <w:rsid w:val="002D7E0A"/>
    <w:rsid w:val="00301B06"/>
    <w:rsid w:val="00315AFE"/>
    <w:rsid w:val="00353149"/>
    <w:rsid w:val="003606A6"/>
    <w:rsid w:val="0036650C"/>
    <w:rsid w:val="00393ACD"/>
    <w:rsid w:val="003A583E"/>
    <w:rsid w:val="003E112B"/>
    <w:rsid w:val="003E1D1C"/>
    <w:rsid w:val="003E7B05"/>
    <w:rsid w:val="003F3719"/>
    <w:rsid w:val="003F6F2D"/>
    <w:rsid w:val="00466211"/>
    <w:rsid w:val="00483196"/>
    <w:rsid w:val="004834A9"/>
    <w:rsid w:val="00492B79"/>
    <w:rsid w:val="004D01FC"/>
    <w:rsid w:val="004E28C3"/>
    <w:rsid w:val="004F1F8E"/>
    <w:rsid w:val="00512A32"/>
    <w:rsid w:val="005343DA"/>
    <w:rsid w:val="00560874"/>
    <w:rsid w:val="00586CF2"/>
    <w:rsid w:val="005A7C75"/>
    <w:rsid w:val="005B3E51"/>
    <w:rsid w:val="005C3768"/>
    <w:rsid w:val="005C6C3F"/>
    <w:rsid w:val="00613635"/>
    <w:rsid w:val="0062093D"/>
    <w:rsid w:val="00637ECF"/>
    <w:rsid w:val="00647B59"/>
    <w:rsid w:val="00690C7B"/>
    <w:rsid w:val="006A4B45"/>
    <w:rsid w:val="006D4724"/>
    <w:rsid w:val="006F5FA2"/>
    <w:rsid w:val="0070076C"/>
    <w:rsid w:val="00701BAE"/>
    <w:rsid w:val="007205D3"/>
    <w:rsid w:val="00721F04"/>
    <w:rsid w:val="00730E95"/>
    <w:rsid w:val="007426B9"/>
    <w:rsid w:val="00764342"/>
    <w:rsid w:val="00774362"/>
    <w:rsid w:val="00786598"/>
    <w:rsid w:val="00790C74"/>
    <w:rsid w:val="007949C7"/>
    <w:rsid w:val="007A04E8"/>
    <w:rsid w:val="007B2C34"/>
    <w:rsid w:val="00830086"/>
    <w:rsid w:val="00851625"/>
    <w:rsid w:val="00863C0A"/>
    <w:rsid w:val="008A3120"/>
    <w:rsid w:val="008A4B97"/>
    <w:rsid w:val="008C5B8E"/>
    <w:rsid w:val="008C5DD5"/>
    <w:rsid w:val="008D41BE"/>
    <w:rsid w:val="008D58D3"/>
    <w:rsid w:val="008E3BC9"/>
    <w:rsid w:val="00902F1E"/>
    <w:rsid w:val="00923064"/>
    <w:rsid w:val="00930FFD"/>
    <w:rsid w:val="00936D25"/>
    <w:rsid w:val="00941EA5"/>
    <w:rsid w:val="00964700"/>
    <w:rsid w:val="00966C16"/>
    <w:rsid w:val="0098732F"/>
    <w:rsid w:val="009A045F"/>
    <w:rsid w:val="009A6A2B"/>
    <w:rsid w:val="009C7E7C"/>
    <w:rsid w:val="009D0EF5"/>
    <w:rsid w:val="00A00473"/>
    <w:rsid w:val="00A03C9B"/>
    <w:rsid w:val="00A37105"/>
    <w:rsid w:val="00A606C3"/>
    <w:rsid w:val="00A83B09"/>
    <w:rsid w:val="00A84541"/>
    <w:rsid w:val="00AE36A0"/>
    <w:rsid w:val="00B00294"/>
    <w:rsid w:val="00B15A54"/>
    <w:rsid w:val="00B3749C"/>
    <w:rsid w:val="00B64FD0"/>
    <w:rsid w:val="00BA5BD0"/>
    <w:rsid w:val="00BB1D82"/>
    <w:rsid w:val="00BC217E"/>
    <w:rsid w:val="00BD51C5"/>
    <w:rsid w:val="00BF26E7"/>
    <w:rsid w:val="00C53FCA"/>
    <w:rsid w:val="00C76BAF"/>
    <w:rsid w:val="00C814B9"/>
    <w:rsid w:val="00CD516F"/>
    <w:rsid w:val="00D119A7"/>
    <w:rsid w:val="00D25FBA"/>
    <w:rsid w:val="00D32B28"/>
    <w:rsid w:val="00D42954"/>
    <w:rsid w:val="00D46774"/>
    <w:rsid w:val="00D66EAC"/>
    <w:rsid w:val="00D730DF"/>
    <w:rsid w:val="00D772F0"/>
    <w:rsid w:val="00D77BDC"/>
    <w:rsid w:val="00DC402B"/>
    <w:rsid w:val="00DE0932"/>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024C5"/>
    <w:rsid w:val="00F04597"/>
    <w:rsid w:val="00F05C1A"/>
    <w:rsid w:val="00F10064"/>
    <w:rsid w:val="00F148F1"/>
    <w:rsid w:val="00F711A7"/>
    <w:rsid w:val="00FA3BBF"/>
    <w:rsid w:val="00FB3F8E"/>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403A8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rsid w:val="004A4B52"/>
    <w:rPr>
      <w:b/>
      <w:color w:val="auto"/>
    </w:rPr>
  </w:style>
  <w:style w:type="character" w:customStyle="1" w:styleId="ApprefBold">
    <w:name w:val="App_ref + Bold"/>
    <w:basedOn w:val="Appref"/>
    <w:qFormat/>
    <w:rsid w:val="004A4B52"/>
    <w:rPr>
      <w:b/>
      <w:bCs/>
      <w:color w:val="000000"/>
    </w:rPr>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B15A5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15A5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R16-WRC19-C-0209!!MSW-F</DPM_x0020_File_x0020_name>
    <DPM_x0020_Author xmlns="32a1a8c5-2265-4ebc-b7a0-2071e2c5c9bb" xsi:nil="false">DPM</DPM_x0020_Author>
    <DPM_x0020_Version xmlns="32a1a8c5-2265-4ebc-b7a0-2071e2c5c9bb" xsi:nil="false">DPM_2019.11.06.03</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3F78DF-09F1-4833-84CE-33B543F0F422}">
  <ds:schemaRefs>
    <ds:schemaRef ds:uri="http://schemas.microsoft.com/sharepoint/v3/contenttype/forms"/>
  </ds:schemaRefs>
</ds:datastoreItem>
</file>

<file path=customXml/itemProps2.xml><?xml version="1.0" encoding="utf-8"?>
<ds:datastoreItem xmlns:ds="http://schemas.openxmlformats.org/officeDocument/2006/customXml" ds:itemID="{3E8ABE45-0676-454E-B93C-5FA24AA79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8F25A-AA01-4717-A9D0-F73E9C9796D2}">
  <ds:schemaRefs>
    <ds:schemaRef ds:uri="http://www.w3.org/XML/1998/namespace"/>
    <ds:schemaRef ds:uri="http://purl.org/dc/terms/"/>
    <ds:schemaRef ds:uri="http://schemas.microsoft.com/office/infopath/2007/PartnerControls"/>
    <ds:schemaRef ds:uri="32a1a8c5-2265-4ebc-b7a0-2071e2c5c9bb"/>
    <ds:schemaRef ds:uri="http://purl.org/dc/elements/1.1/"/>
    <ds:schemaRef ds:uri="http://schemas.openxmlformats.org/package/2006/metadata/core-properties"/>
    <ds:schemaRef ds:uri="http://schemas.microsoft.com/office/2006/documentManagement/types"/>
    <ds:schemaRef ds:uri="996b2e75-67fd-4955-a3b0-5ab9934cb50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2EF040A-B749-4FB8-B104-8EC3EBE641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4342</Words>
  <Characters>24383</Characters>
  <Application>Microsoft Office Word</Application>
  <DocSecurity>0</DocSecurity>
  <Lines>554</Lines>
  <Paragraphs>299</Paragraphs>
  <ScaleCrop>false</ScaleCrop>
  <HeadingPairs>
    <vt:vector size="2" baseType="variant">
      <vt:variant>
        <vt:lpstr>Title</vt:lpstr>
      </vt:variant>
      <vt:variant>
        <vt:i4>1</vt:i4>
      </vt:variant>
    </vt:vector>
  </HeadingPairs>
  <TitlesOfParts>
    <vt:vector size="1" baseType="lpstr">
      <vt:lpstr>R16-WRC19-C-0209!!MSW-F</vt:lpstr>
    </vt:vector>
  </TitlesOfParts>
  <Manager>Secrétariat général - Pool</Manager>
  <Company>Union internationale des télécommunications (UIT)</Company>
  <LinksUpToDate>false</LinksUpToDate>
  <CharactersWithSpaces>28426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R16-WRC19-C-0209!!MSW-F</dc:title>
  <dc:subject>Conférence mondiale des radiocommunications - 2019</dc:subject>
  <dc:creator>Documents Proposals Manager (DPM)</dc:creator>
  <cp:keywords>DPM_v2019.11.6.2_prod</cp:keywords>
  <dc:description/>
  <cp:lastModifiedBy>French</cp:lastModifiedBy>
  <cp:revision>7</cp:revision>
  <cp:lastPrinted>2019-11-07T13:27:00Z</cp:lastPrinted>
  <dcterms:created xsi:type="dcterms:W3CDTF">2019-11-07T12:20:00Z</dcterms:created>
  <dcterms:modified xsi:type="dcterms:W3CDTF">2019-11-07T13:27:00Z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