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1031E700" w14:textId="77777777" w:rsidTr="00F55E63">
        <w:trPr>
          <w:cantSplit/>
          <w:trHeight w:val="20"/>
        </w:trPr>
        <w:tc>
          <w:tcPr>
            <w:tcW w:w="6619" w:type="dxa"/>
          </w:tcPr>
          <w:p w14:paraId="672ED257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0A483BFC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34438B2" wp14:editId="7B3FEC96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2CAD7C5B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6577A42B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39E1F62A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54C320D7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16887365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0BBFB659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800166" w:rsidRPr="00F545E4" w14:paraId="45FA97C9" w14:textId="77777777" w:rsidTr="00F55E63">
        <w:trPr>
          <w:cantSplit/>
        </w:trPr>
        <w:tc>
          <w:tcPr>
            <w:tcW w:w="6619" w:type="dxa"/>
          </w:tcPr>
          <w:p w14:paraId="5CCFADE6" w14:textId="25B814F6" w:rsidR="00800166" w:rsidRPr="00F545E4" w:rsidRDefault="00800166" w:rsidP="00800166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 xml:space="preserve">اللجنة </w:t>
            </w:r>
            <w:r>
              <w:rPr>
                <w:rFonts w:ascii="Verdana Bold" w:hAnsi="Verdana Bold"/>
                <w:sz w:val="19"/>
                <w:szCs w:val="30"/>
                <w:lang w:val="en-US" w:bidi="ar-EG"/>
              </w:rPr>
              <w:t>4</w:t>
            </w:r>
          </w:p>
        </w:tc>
        <w:tc>
          <w:tcPr>
            <w:tcW w:w="3053" w:type="dxa"/>
            <w:vAlign w:val="center"/>
          </w:tcPr>
          <w:p w14:paraId="264F2992" w14:textId="11DB647D" w:rsidR="00800166" w:rsidRPr="00F545E4" w:rsidRDefault="00800166" w:rsidP="00800166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eastAsia="SimSun" w:hint="cs"/>
                <w:rtl/>
              </w:rPr>
              <w:t>ا</w:t>
            </w:r>
            <w:r w:rsidRPr="004A28F2">
              <w:rPr>
                <w:rFonts w:eastAsia="SimSun" w:hint="cs"/>
                <w:rtl/>
              </w:rPr>
              <w:t xml:space="preserve">لوثيقة </w:t>
            </w:r>
            <w:r>
              <w:rPr>
                <w:rFonts w:eastAsia="SimSun"/>
              </w:rPr>
              <w:t>196</w:t>
            </w:r>
            <w:r w:rsidRPr="004A28F2">
              <w:rPr>
                <w:rFonts w:eastAsia="SimSun"/>
              </w:rPr>
              <w:t>-A</w:t>
            </w:r>
          </w:p>
        </w:tc>
      </w:tr>
      <w:tr w:rsidR="00800166" w:rsidRPr="00F545E4" w14:paraId="6F3B4D18" w14:textId="77777777" w:rsidTr="00F55E63">
        <w:trPr>
          <w:cantSplit/>
        </w:trPr>
        <w:tc>
          <w:tcPr>
            <w:tcW w:w="6619" w:type="dxa"/>
          </w:tcPr>
          <w:p w14:paraId="399DDA61" w14:textId="77777777" w:rsidR="00800166" w:rsidRPr="00F545E4" w:rsidRDefault="00800166" w:rsidP="00800166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77CF8557" w14:textId="3A090FE1" w:rsidR="00800166" w:rsidRPr="00F545E4" w:rsidRDefault="00800166" w:rsidP="00800166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eastAsia="SimSun"/>
              </w:rPr>
              <w:t>4</w:t>
            </w:r>
            <w:r w:rsidRPr="004A28F2">
              <w:rPr>
                <w:rFonts w:eastAsia="SimSun"/>
                <w:rtl/>
              </w:rPr>
              <w:t xml:space="preserve"> </w:t>
            </w:r>
            <w:r>
              <w:rPr>
                <w:rFonts w:eastAsia="SimSun" w:hint="cs"/>
                <w:rtl/>
              </w:rPr>
              <w:t>نوفمبر</w:t>
            </w:r>
            <w:r w:rsidRPr="004A28F2">
              <w:rPr>
                <w:rFonts w:eastAsia="SimSun"/>
                <w:rtl/>
              </w:rPr>
              <w:t xml:space="preserve"> </w:t>
            </w:r>
            <w:r w:rsidRPr="004A28F2">
              <w:rPr>
                <w:rFonts w:eastAsia="SimSun"/>
              </w:rPr>
              <w:t>2019</w:t>
            </w:r>
          </w:p>
        </w:tc>
      </w:tr>
      <w:tr w:rsidR="00800166" w:rsidRPr="00F545E4" w14:paraId="125A4469" w14:textId="77777777" w:rsidTr="00F55E63">
        <w:trPr>
          <w:cantSplit/>
        </w:trPr>
        <w:tc>
          <w:tcPr>
            <w:tcW w:w="6619" w:type="dxa"/>
          </w:tcPr>
          <w:p w14:paraId="51098089" w14:textId="77777777" w:rsidR="00800166" w:rsidRPr="00F545E4" w:rsidRDefault="00800166" w:rsidP="00800166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7494FA7B" w14:textId="1171D568" w:rsidR="00800166" w:rsidRPr="00F545E4" w:rsidRDefault="00800166" w:rsidP="00800166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77E946B4" w14:textId="77777777" w:rsidTr="00F55E63">
        <w:trPr>
          <w:cantSplit/>
        </w:trPr>
        <w:tc>
          <w:tcPr>
            <w:tcW w:w="9672" w:type="dxa"/>
            <w:gridSpan w:val="2"/>
          </w:tcPr>
          <w:p w14:paraId="2BFF3036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001EC7D9" w14:textId="77777777" w:rsidTr="00F55E63">
        <w:trPr>
          <w:cantSplit/>
        </w:trPr>
        <w:tc>
          <w:tcPr>
            <w:tcW w:w="9672" w:type="dxa"/>
            <w:gridSpan w:val="2"/>
          </w:tcPr>
          <w:p w14:paraId="4B4A6558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كوريا الشعبية الديمقراطية</w:t>
            </w:r>
          </w:p>
        </w:tc>
      </w:tr>
      <w:tr w:rsidR="00764079" w14:paraId="7D2D0560" w14:textId="77777777" w:rsidTr="00F55E63">
        <w:trPr>
          <w:cantSplit/>
        </w:trPr>
        <w:tc>
          <w:tcPr>
            <w:tcW w:w="9672" w:type="dxa"/>
            <w:gridSpan w:val="2"/>
          </w:tcPr>
          <w:p w14:paraId="37E5925F" w14:textId="1B3DE214" w:rsidR="00764079" w:rsidRPr="00BD6EF3" w:rsidRDefault="00800166" w:rsidP="00F55E6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436E6438" w14:textId="77777777" w:rsidTr="00F55E63">
        <w:trPr>
          <w:cantSplit/>
        </w:trPr>
        <w:tc>
          <w:tcPr>
            <w:tcW w:w="9672" w:type="dxa"/>
            <w:gridSpan w:val="2"/>
          </w:tcPr>
          <w:p w14:paraId="43342B50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260A0C0D" w14:textId="77777777" w:rsidTr="00F55E63">
        <w:trPr>
          <w:cantSplit/>
        </w:trPr>
        <w:tc>
          <w:tcPr>
            <w:tcW w:w="9672" w:type="dxa"/>
            <w:gridSpan w:val="2"/>
          </w:tcPr>
          <w:p w14:paraId="7D078F1B" w14:textId="0483A8EF" w:rsidR="00764079" w:rsidRPr="0012545F" w:rsidRDefault="00DB4CC9" w:rsidP="00F55E63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800166">
              <w:rPr>
                <w:rFonts w:hint="cs"/>
                <w:rtl/>
                <w:lang w:val="en-US"/>
              </w:rPr>
              <w:t xml:space="preserve"> </w:t>
            </w:r>
            <w:r w:rsidR="00800166">
              <w:rPr>
                <w:lang w:val="en-US"/>
              </w:rPr>
              <w:t>1.1</w:t>
            </w:r>
          </w:p>
        </w:tc>
      </w:tr>
    </w:tbl>
    <w:p w14:paraId="6A7D1155" w14:textId="77777777" w:rsidR="001D597A" w:rsidRPr="00431196" w:rsidRDefault="00800166" w:rsidP="001D597A">
      <w:pPr>
        <w:rPr>
          <w:rFonts w:eastAsia="SimSun"/>
          <w:rtl/>
        </w:rPr>
      </w:pPr>
      <w:r w:rsidRPr="00723691">
        <w:rPr>
          <w:rFonts w:eastAsia="SimSun"/>
          <w:lang w:eastAsia="zh-CN" w:bidi="ar-SY"/>
        </w:rPr>
        <w:t>1.1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 xml:space="preserve">النظر في منح توزيع لخدمة الهواة </w:t>
      </w:r>
      <w:r w:rsidRPr="00723691">
        <w:rPr>
          <w:rFonts w:eastAsia="SimSun"/>
          <w:rtl/>
        </w:rPr>
        <w:t xml:space="preserve">في الإقليم </w:t>
      </w:r>
      <w:r w:rsidRPr="00723691">
        <w:rPr>
          <w:rFonts w:eastAsia="SimSun"/>
        </w:rPr>
        <w:t>1</w:t>
      </w:r>
      <w:r w:rsidRPr="00723691">
        <w:rPr>
          <w:rFonts w:eastAsia="SimSun"/>
          <w:rtl/>
        </w:rPr>
        <w:t xml:space="preserve"> في نطاق التردد</w:t>
      </w:r>
      <w:r w:rsidRPr="00723691">
        <w:rPr>
          <w:rFonts w:eastAsia="SimSun" w:hint="cs"/>
          <w:rtl/>
        </w:rPr>
        <w:t xml:space="preserve"> </w:t>
      </w:r>
      <w:r w:rsidRPr="00723691">
        <w:rPr>
          <w:rFonts w:eastAsia="SimSun"/>
        </w:rPr>
        <w:t>MHz 54</w:t>
      </w:r>
      <w:r w:rsidRPr="00723691">
        <w:rPr>
          <w:rFonts w:eastAsia="SimSun"/>
        </w:rPr>
        <w:noBreakHyphen/>
        <w:t>50</w:t>
      </w:r>
      <w:r w:rsidRPr="00723691">
        <w:rPr>
          <w:rFonts w:eastAsia="SimSun" w:hint="cs"/>
          <w:rtl/>
        </w:rPr>
        <w:t xml:space="preserve"> </w:t>
      </w:r>
      <w:r w:rsidRPr="00723691">
        <w:rPr>
          <w:rFonts w:eastAsia="SimSun"/>
          <w:rtl/>
        </w:rPr>
        <w:t xml:space="preserve">وفقاً </w:t>
      </w:r>
      <w:r w:rsidRPr="00B31486">
        <w:rPr>
          <w:rFonts w:ascii="Traditional Arabic" w:hAnsi="Traditional Arabic"/>
          <w:b/>
          <w:bCs/>
          <w:sz w:val="30"/>
          <w:rtl/>
        </w:rPr>
        <w:t>للقرار</w:t>
      </w:r>
      <w:r w:rsidRPr="00AB3D4F">
        <w:rPr>
          <w:rFonts w:asciiTheme="majorBidi" w:hAnsiTheme="majorBidi" w:cstheme="majorBidi" w:hint="cs"/>
          <w:sz w:val="30"/>
          <w:rtl/>
        </w:rPr>
        <w:t xml:space="preserve"> </w:t>
      </w:r>
      <w:r w:rsidRPr="00AB3D4F">
        <w:rPr>
          <w:rFonts w:asciiTheme="majorBidi" w:hAnsiTheme="majorBidi" w:cstheme="majorBidi"/>
          <w:b/>
          <w:bCs/>
          <w:szCs w:val="22"/>
        </w:rPr>
        <w:t>658 (WRC-</w:t>
      </w:r>
      <w:proofErr w:type="gramStart"/>
      <w:r w:rsidRPr="00AB3D4F">
        <w:rPr>
          <w:rFonts w:asciiTheme="majorBidi" w:hAnsiTheme="majorBidi" w:cstheme="majorBidi"/>
          <w:b/>
          <w:bCs/>
          <w:szCs w:val="22"/>
        </w:rPr>
        <w:t>15)</w:t>
      </w:r>
      <w:r w:rsidRPr="00723691">
        <w:rPr>
          <w:rFonts w:eastAsia="SimSun" w:hint="cs"/>
          <w:b/>
          <w:bCs/>
          <w:rtl/>
        </w:rPr>
        <w:t>؛</w:t>
      </w:r>
      <w:proofErr w:type="gramEnd"/>
    </w:p>
    <w:p w14:paraId="53011A56" w14:textId="77777777" w:rsidR="00800166" w:rsidRDefault="00800166" w:rsidP="00800166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6C5C34C6" w14:textId="77777777" w:rsidR="00800166" w:rsidRDefault="00800166" w:rsidP="00800166">
      <w:pPr>
        <w:rPr>
          <w:rtl/>
        </w:rPr>
      </w:pPr>
      <w:r w:rsidRPr="00D40657">
        <w:rPr>
          <w:i/>
          <w:iCs/>
          <w:rtl/>
        </w:rPr>
        <w:t xml:space="preserve">يدعو </w:t>
      </w:r>
      <w:r w:rsidRPr="00A84718">
        <w:rPr>
          <w:rtl/>
        </w:rPr>
        <w:t xml:space="preserve">القرار </w:t>
      </w:r>
      <w:r w:rsidRPr="00A84718">
        <w:rPr>
          <w:b/>
          <w:bCs/>
        </w:rPr>
        <w:t>658 (WRC-15)</w:t>
      </w:r>
      <w:r w:rsidRPr="00A84718">
        <w:rPr>
          <w:rtl/>
        </w:rPr>
        <w:t xml:space="preserve"> </w:t>
      </w:r>
      <w:r w:rsidRPr="00D40657">
        <w:rPr>
          <w:i/>
          <w:iCs/>
          <w:rtl/>
        </w:rPr>
        <w:t>قطاع الاتصالات الراديوية</w:t>
      </w:r>
      <w:r>
        <w:rPr>
          <w:rFonts w:hint="cs"/>
          <w:rtl/>
        </w:rPr>
        <w:t>:</w:t>
      </w:r>
    </w:p>
    <w:p w14:paraId="28618079" w14:textId="77777777" w:rsidR="00800166" w:rsidRPr="004763BC" w:rsidRDefault="00800166" w:rsidP="00800166">
      <w:pPr>
        <w:pStyle w:val="enumlev1"/>
      </w:pPr>
      <w:r w:rsidRPr="004763BC">
        <w:t>1</w:t>
      </w:r>
      <w:r w:rsidRPr="004763BC">
        <w:tab/>
      </w:r>
      <w:r w:rsidRPr="004763BC">
        <w:rPr>
          <w:rFonts w:hint="cs"/>
          <w:rtl/>
        </w:rPr>
        <w:t>إلى دراسة احتياجات خدمة الهواة من الطيف في الإقليم</w:t>
      </w:r>
      <w:r w:rsidRPr="004763BC">
        <w:rPr>
          <w:rFonts w:hint="eastAsia"/>
          <w:rtl/>
        </w:rPr>
        <w:t> </w:t>
      </w:r>
      <w:r w:rsidRPr="004763BC">
        <w:t>1</w:t>
      </w:r>
      <w:r w:rsidRPr="004763BC">
        <w:rPr>
          <w:rFonts w:hint="cs"/>
          <w:rtl/>
        </w:rPr>
        <w:t xml:space="preserve"> في نطاق التردد </w:t>
      </w:r>
      <w:r w:rsidRPr="004763BC">
        <w:rPr>
          <w:lang w:bidi="ar-SY"/>
        </w:rPr>
        <w:t>MHz 54-50</w:t>
      </w:r>
      <w:r w:rsidRPr="004763BC">
        <w:rPr>
          <w:rFonts w:hint="cs"/>
          <w:rtl/>
          <w:lang w:bidi="ar-SY"/>
        </w:rPr>
        <w:t>؛</w:t>
      </w:r>
    </w:p>
    <w:p w14:paraId="3F8A7534" w14:textId="7948BD42" w:rsidR="00800166" w:rsidRPr="004763BC" w:rsidRDefault="00800166" w:rsidP="00800166">
      <w:pPr>
        <w:pStyle w:val="enumlev1"/>
        <w:rPr>
          <w:rtl/>
        </w:rPr>
      </w:pPr>
      <w:r w:rsidRPr="004763BC">
        <w:t>2</w:t>
      </w:r>
      <w:r w:rsidRPr="004763BC">
        <w:tab/>
      </w:r>
      <w:r w:rsidRPr="004763BC">
        <w:rPr>
          <w:rFonts w:hint="cs"/>
          <w:rtl/>
        </w:rPr>
        <w:t>إلى دراسة التقاسم بين خدمة الهواة والخدم</w:t>
      </w:r>
      <w:r w:rsidR="0090551B">
        <w:rPr>
          <w:rFonts w:hint="cs"/>
          <w:rtl/>
          <w:lang w:val="en-GB" w:bidi="ar-EG"/>
        </w:rPr>
        <w:t>ات</w:t>
      </w:r>
      <w:r w:rsidRPr="004763BC">
        <w:rPr>
          <w:rFonts w:hint="cs"/>
          <w:rtl/>
        </w:rPr>
        <w:t xml:space="preserve"> المتنقلة والثابتة، </w:t>
      </w:r>
      <w:r w:rsidR="0090551B">
        <w:rPr>
          <w:rFonts w:hint="cs"/>
          <w:rtl/>
        </w:rPr>
        <w:t>و</w:t>
      </w:r>
      <w:r w:rsidRPr="004763BC">
        <w:rPr>
          <w:rFonts w:hint="cs"/>
          <w:rtl/>
        </w:rPr>
        <w:t xml:space="preserve">التحديد الراديوي للموقع والإذاعية، </w:t>
      </w:r>
      <w:r w:rsidR="0090551B">
        <w:rPr>
          <w:rFonts w:hint="cs"/>
          <w:rtl/>
        </w:rPr>
        <w:t>ل</w:t>
      </w:r>
      <w:r w:rsidRPr="004763BC">
        <w:rPr>
          <w:rFonts w:hint="cs"/>
          <w:rtl/>
        </w:rPr>
        <w:t>ضمان حماية هذه الخدمات، مع مراعاة نتائج الدراسات أعلاه.</w:t>
      </w:r>
    </w:p>
    <w:p w14:paraId="3DBF1E2A" w14:textId="77777777" w:rsidR="00800166" w:rsidRDefault="00800166" w:rsidP="00800166">
      <w:pPr>
        <w:pStyle w:val="Headingb"/>
        <w:rPr>
          <w:rtl/>
        </w:rPr>
      </w:pPr>
      <w:r w:rsidRPr="00826B11">
        <w:rPr>
          <w:rFonts w:hint="cs"/>
          <w:rtl/>
        </w:rPr>
        <w:t>المقترح</w:t>
      </w:r>
    </w:p>
    <w:p w14:paraId="5B0ED613" w14:textId="44D58064" w:rsidR="002F3E46" w:rsidRPr="00826B11" w:rsidRDefault="00826B11" w:rsidP="008614B8">
      <w:pPr>
        <w:rPr>
          <w:rtl/>
          <w:lang w:val="en-GB" w:bidi="ar-EG"/>
        </w:rPr>
      </w:pPr>
      <w:r>
        <w:rPr>
          <w:rFonts w:hint="cs"/>
          <w:rtl/>
        </w:rPr>
        <w:t xml:space="preserve">تؤيد جمهورية كوريا الشعبية الديمقراطية الأسلوب </w:t>
      </w:r>
      <w:r>
        <w:t>B1</w:t>
      </w:r>
      <w:r>
        <w:rPr>
          <w:rFonts w:hint="cs"/>
          <w:rtl/>
          <w:lang w:val="en-GB" w:bidi="ar-EG"/>
        </w:rPr>
        <w:t xml:space="preserve"> بتقرير الاجتماع التحضيري للمؤتمر وتقترح تعديل الرقم </w:t>
      </w:r>
      <w:r w:rsidRPr="00826B11">
        <w:rPr>
          <w:b/>
          <w:bCs/>
          <w:lang w:bidi="ar-EG"/>
        </w:rPr>
        <w:t>D11.5</w:t>
      </w:r>
      <w:r>
        <w:rPr>
          <w:rFonts w:hint="cs"/>
          <w:rtl/>
          <w:lang w:val="en-GB" w:bidi="ar-EG"/>
        </w:rPr>
        <w:t xml:space="preserve"> بالأسلوب</w:t>
      </w:r>
      <w:r>
        <w:rPr>
          <w:rFonts w:hint="eastAsia"/>
          <w:rtl/>
          <w:lang w:val="en-GB" w:bidi="ar-EG"/>
        </w:rPr>
        <w:t> </w:t>
      </w:r>
      <w:r>
        <w:rPr>
          <w:lang w:bidi="ar-EG"/>
        </w:rPr>
        <w:t>B</w:t>
      </w:r>
      <w:r>
        <w:rPr>
          <w:lang w:val="en-GB" w:bidi="ar-EG"/>
        </w:rPr>
        <w:t>1</w:t>
      </w:r>
      <w:r>
        <w:rPr>
          <w:rFonts w:hint="cs"/>
          <w:rtl/>
          <w:lang w:val="en-GB" w:bidi="ar-EG"/>
        </w:rPr>
        <w:t xml:space="preserve"> على النحو المبين أدناه.</w:t>
      </w:r>
    </w:p>
    <w:p w14:paraId="63377BD4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0A8C81AA" w14:textId="77777777" w:rsidR="00632DB3" w:rsidRDefault="00800166" w:rsidP="00632DB3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4B57079C" w14:textId="77777777" w:rsidR="00632DB3" w:rsidRDefault="00800166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64CBD5FE" w14:textId="77777777" w:rsidR="00632DB3" w:rsidRDefault="00800166" w:rsidP="00632DB3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14:paraId="7ADD67CF" w14:textId="77777777" w:rsidR="00F67966" w:rsidRDefault="00800166">
      <w:pPr>
        <w:pStyle w:val="Proposal"/>
      </w:pPr>
      <w:r>
        <w:t>ADD</w:t>
      </w:r>
      <w:r>
        <w:tab/>
        <w:t>KRE/196/1</w:t>
      </w:r>
      <w:r>
        <w:rPr>
          <w:vanish/>
          <w:color w:val="7F7F7F" w:themeColor="text1" w:themeTint="80"/>
          <w:vertAlign w:val="superscript"/>
        </w:rPr>
        <w:t>#50232</w:t>
      </w:r>
    </w:p>
    <w:p w14:paraId="1AE457AE" w14:textId="5ACE24FF" w:rsidR="00595A09" w:rsidRPr="00EE1B31" w:rsidRDefault="00800166" w:rsidP="00595A09">
      <w:pPr>
        <w:pStyle w:val="Note"/>
      </w:pPr>
      <w:r w:rsidRPr="00EE1B31">
        <w:rPr>
          <w:rStyle w:val="Artdef"/>
        </w:rPr>
        <w:t>D11.5</w:t>
      </w:r>
      <w:r w:rsidRPr="00EE1B31">
        <w:tab/>
      </w:r>
      <w:r w:rsidRPr="00EE1B31">
        <w:rPr>
          <w:rtl/>
        </w:rPr>
        <w:t xml:space="preserve">باستثناء البلدان المدرجة في الرقم </w:t>
      </w:r>
      <w:r w:rsidRPr="00EE1B31">
        <w:rPr>
          <w:rStyle w:val="Artref"/>
          <w:b/>
          <w:bCs/>
        </w:rPr>
        <w:t>169.5</w:t>
      </w:r>
      <w:r w:rsidRPr="00EE1B31">
        <w:rPr>
          <w:rtl/>
        </w:rPr>
        <w:t>، يك</w:t>
      </w:r>
      <w:bookmarkStart w:id="4" w:name="_GoBack"/>
      <w:bookmarkEnd w:id="4"/>
      <w:r w:rsidRPr="00EE1B31">
        <w:rPr>
          <w:rtl/>
        </w:rPr>
        <w:t xml:space="preserve">ون استخدام محطات الهواة للترددات في نطاق التردد </w:t>
      </w:r>
      <w:r w:rsidRPr="00EE1B31">
        <w:t>MHz 50,280</w:t>
      </w:r>
      <w:r w:rsidRPr="00EE1B31">
        <w:noBreakHyphen/>
        <w:t>50,080</w:t>
      </w:r>
      <w:r w:rsidRPr="00EE1B31">
        <w:rPr>
          <w:rtl/>
        </w:rPr>
        <w:t xml:space="preserve"> رهناً بالحصول على إذن خاص مسبق من الإدارة المعنية، إلى جانب موافقة الإدارات الأخرى التي يمكن أن تتأثر خدمتها الإذاعية. ولتحديد الإدارات التي يحتمل تأثرها في الإقليم</w:t>
      </w:r>
      <w:r w:rsidR="00826B11" w:rsidRPr="00EE1B31">
        <w:rPr>
          <w:rFonts w:hint="cs"/>
          <w:rtl/>
        </w:rPr>
        <w:t>ين</w:t>
      </w:r>
      <w:r w:rsidRPr="00EE1B31">
        <w:rPr>
          <w:rtl/>
        </w:rPr>
        <w:t> </w:t>
      </w:r>
      <w:r w:rsidRPr="00EE1B31">
        <w:t>1</w:t>
      </w:r>
      <w:r w:rsidRPr="00EE1B31">
        <w:rPr>
          <w:rFonts w:hint="cs"/>
          <w:rtl/>
        </w:rPr>
        <w:t xml:space="preserve"> و</w:t>
      </w:r>
      <w:r w:rsidR="00826B11" w:rsidRPr="00EE1B31">
        <w:t>3</w:t>
      </w:r>
      <w:r w:rsidRPr="00EE1B31">
        <w:rPr>
          <w:rtl/>
        </w:rPr>
        <w:t xml:space="preserve">، يجب </w:t>
      </w:r>
      <w:r w:rsidRPr="00EE1B31">
        <w:rPr>
          <w:rFonts w:hint="cs"/>
          <w:rtl/>
        </w:rPr>
        <w:t xml:space="preserve">ألا تتجاوز </w:t>
      </w:r>
      <w:r w:rsidRPr="00EE1B31">
        <w:rPr>
          <w:rtl/>
        </w:rPr>
        <w:t xml:space="preserve">شدة المجال </w:t>
      </w:r>
      <w:r w:rsidRPr="00EE1B31">
        <w:rPr>
          <w:rFonts w:hint="cs"/>
          <w:rtl/>
        </w:rPr>
        <w:t xml:space="preserve">القيمة </w:t>
      </w:r>
      <w:r w:rsidRPr="00EE1B31">
        <w:t>dB(</w:t>
      </w:r>
      <w:proofErr w:type="spellStart"/>
      <w:r w:rsidRPr="00EE1B31">
        <w:t>μV</w:t>
      </w:r>
      <w:proofErr w:type="spellEnd"/>
      <w:r w:rsidRPr="00EE1B31">
        <w:t>/m) 6</w:t>
      </w:r>
      <w:r w:rsidRPr="00EE1B31">
        <w:rPr>
          <w:rtl/>
        </w:rPr>
        <w:t xml:space="preserve"> على ارتفاع </w:t>
      </w:r>
      <w:r w:rsidRPr="00EE1B31">
        <w:t>m 10</w:t>
      </w:r>
      <w:r w:rsidRPr="00EE1B31">
        <w:rPr>
          <w:rtl/>
        </w:rPr>
        <w:t xml:space="preserve"> </w:t>
      </w:r>
      <w:r w:rsidRPr="00EE1B31">
        <w:rPr>
          <w:rtl/>
          <w:lang w:bidi="ar-SY"/>
        </w:rPr>
        <w:t xml:space="preserve">فوق الأرض </w:t>
      </w:r>
      <w:r w:rsidRPr="00EE1B31">
        <w:rPr>
          <w:rtl/>
        </w:rPr>
        <w:t>لنسبة </w:t>
      </w:r>
      <w:r w:rsidRPr="00EE1B31">
        <w:t>%10</w:t>
      </w:r>
      <w:r w:rsidRPr="00EE1B31">
        <w:rPr>
          <w:rtl/>
        </w:rPr>
        <w:t xml:space="preserve"> من الوقت </w:t>
      </w:r>
      <w:r w:rsidRPr="00EE1B31">
        <w:rPr>
          <w:rtl/>
          <w:lang w:bidi="ar-SY"/>
        </w:rPr>
        <w:t>عند حدود أراضي أي إدارة أخرى</w:t>
      </w:r>
      <w:r w:rsidRPr="00EE1B31">
        <w:rPr>
          <w:sz w:val="30"/>
          <w:rtl/>
          <w:lang w:bidi="ar-SY"/>
        </w:rPr>
        <w:t>.</w:t>
      </w:r>
      <w:r w:rsidRPr="00EE1B31">
        <w:rPr>
          <w:sz w:val="16"/>
          <w:szCs w:val="16"/>
          <w:rtl/>
          <w:lang w:bidi="ar-SY"/>
        </w:rPr>
        <w:t>  </w:t>
      </w:r>
      <w:r w:rsidRPr="00EE1B31">
        <w:rPr>
          <w:rFonts w:hint="cs"/>
          <w:sz w:val="16"/>
          <w:szCs w:val="16"/>
          <w:rtl/>
          <w:lang w:bidi="ar-SY"/>
        </w:rPr>
        <w:t>  </w:t>
      </w:r>
      <w:r w:rsidRPr="00EE1B31">
        <w:rPr>
          <w:sz w:val="16"/>
          <w:szCs w:val="16"/>
          <w:rtl/>
          <w:lang w:bidi="ar-SY"/>
        </w:rPr>
        <w:t> </w:t>
      </w:r>
      <w:r w:rsidRPr="00EE1B31">
        <w:rPr>
          <w:sz w:val="16"/>
          <w:szCs w:val="16"/>
        </w:rPr>
        <w:t>(WRC-19)</w:t>
      </w:r>
    </w:p>
    <w:p w14:paraId="45045BD8" w14:textId="4495407A" w:rsidR="00F67966" w:rsidRDefault="00800166" w:rsidP="00800166">
      <w:pPr>
        <w:pStyle w:val="Reasons"/>
        <w:rPr>
          <w:b w:val="0"/>
          <w:bCs w:val="0"/>
          <w:rtl/>
          <w:lang w:val="en-GB" w:bidi="ar-EG"/>
        </w:rPr>
      </w:pPr>
      <w:r>
        <w:rPr>
          <w:rtl/>
        </w:rPr>
        <w:t>الأسباب:</w:t>
      </w:r>
      <w:r>
        <w:tab/>
      </w:r>
      <w:r w:rsidRPr="00800166">
        <w:rPr>
          <w:b w:val="0"/>
          <w:bCs w:val="0"/>
          <w:rtl/>
        </w:rPr>
        <w:t xml:space="preserve">تحدد هذه الحاشية المعايير </w:t>
      </w:r>
      <w:r w:rsidRPr="00800166">
        <w:rPr>
          <w:rFonts w:hint="cs"/>
          <w:b w:val="0"/>
          <w:bCs w:val="0"/>
          <w:rtl/>
        </w:rPr>
        <w:t>الناظمة</w:t>
      </w:r>
      <w:r w:rsidRPr="00800166">
        <w:rPr>
          <w:b w:val="0"/>
          <w:bCs w:val="0"/>
          <w:rtl/>
        </w:rPr>
        <w:t xml:space="preserve"> </w:t>
      </w:r>
      <w:r w:rsidRPr="00800166">
        <w:rPr>
          <w:rFonts w:hint="cs"/>
          <w:b w:val="0"/>
          <w:bCs w:val="0"/>
          <w:rtl/>
        </w:rPr>
        <w:t>ل</w:t>
      </w:r>
      <w:r w:rsidRPr="00800166">
        <w:rPr>
          <w:b w:val="0"/>
          <w:bCs w:val="0"/>
          <w:rtl/>
        </w:rPr>
        <w:t xml:space="preserve">استخدام محطات الهواة على حدود </w:t>
      </w:r>
      <w:r w:rsidRPr="00800166">
        <w:rPr>
          <w:rFonts w:hint="cs"/>
          <w:b w:val="0"/>
          <w:bCs w:val="0"/>
          <w:rtl/>
        </w:rPr>
        <w:t>أراضي</w:t>
      </w:r>
      <w:r w:rsidRPr="00800166">
        <w:rPr>
          <w:b w:val="0"/>
          <w:bCs w:val="0"/>
          <w:rtl/>
        </w:rPr>
        <w:t xml:space="preserve"> بلدان</w:t>
      </w:r>
      <w:r w:rsidRPr="00826B11">
        <w:rPr>
          <w:rFonts w:hint="cs"/>
          <w:b w:val="0"/>
          <w:bCs w:val="0"/>
          <w:rtl/>
          <w:lang w:bidi="ar-EG"/>
        </w:rPr>
        <w:t xml:space="preserve"> الإقليم </w:t>
      </w:r>
      <w:r w:rsidR="00826B11">
        <w:rPr>
          <w:rFonts w:ascii="Times New Roman" w:hAnsi="Times New Roman"/>
          <w:b w:val="0"/>
          <w:bCs w:val="0"/>
          <w:lang w:bidi="ar-EG"/>
        </w:rPr>
        <w:t>3</w:t>
      </w:r>
      <w:r w:rsidRPr="00800166">
        <w:rPr>
          <w:b w:val="0"/>
          <w:bCs w:val="0"/>
          <w:rtl/>
        </w:rPr>
        <w:t xml:space="preserve"> التي </w:t>
      </w:r>
      <w:r w:rsidRPr="00800166">
        <w:rPr>
          <w:rFonts w:hint="cs"/>
          <w:b w:val="0"/>
          <w:bCs w:val="0"/>
          <w:rtl/>
        </w:rPr>
        <w:t>تشغَّل</w:t>
      </w:r>
      <w:r w:rsidRPr="00800166">
        <w:rPr>
          <w:b w:val="0"/>
          <w:bCs w:val="0"/>
          <w:rtl/>
        </w:rPr>
        <w:t xml:space="preserve"> فيها </w:t>
      </w:r>
      <w:r w:rsidRPr="00800166">
        <w:rPr>
          <w:rFonts w:hint="cs"/>
          <w:b w:val="0"/>
          <w:bCs w:val="0"/>
          <w:rtl/>
        </w:rPr>
        <w:t>ال</w:t>
      </w:r>
      <w:r w:rsidRPr="00800166">
        <w:rPr>
          <w:b w:val="0"/>
          <w:bCs w:val="0"/>
          <w:rtl/>
        </w:rPr>
        <w:t xml:space="preserve">خدمة </w:t>
      </w:r>
      <w:r w:rsidRPr="00800166">
        <w:rPr>
          <w:rFonts w:hint="cs"/>
          <w:b w:val="0"/>
          <w:bCs w:val="0"/>
          <w:rtl/>
        </w:rPr>
        <w:t>الإذاعية</w:t>
      </w:r>
      <w:r w:rsidRPr="00800166">
        <w:rPr>
          <w:b w:val="0"/>
          <w:bCs w:val="0"/>
          <w:rtl/>
        </w:rPr>
        <w:t xml:space="preserve"> في </w:t>
      </w:r>
      <w:r w:rsidRPr="00800166">
        <w:rPr>
          <w:rFonts w:hint="cs"/>
          <w:b w:val="0"/>
          <w:bCs w:val="0"/>
          <w:rtl/>
        </w:rPr>
        <w:t>نطاق التردد هذا</w:t>
      </w:r>
      <w:r w:rsidRPr="00800166">
        <w:rPr>
          <w:b w:val="0"/>
          <w:bCs w:val="0"/>
          <w:rtl/>
        </w:rPr>
        <w:t>.</w:t>
      </w:r>
    </w:p>
    <w:p w14:paraId="2CD750C7" w14:textId="77777777" w:rsidR="00A84D46" w:rsidRPr="00A84D46" w:rsidRDefault="00A84D46" w:rsidP="00A84D46">
      <w:pPr>
        <w:rPr>
          <w:rtl/>
          <w:lang w:val="en-GB" w:bidi="ar-EG"/>
        </w:rPr>
      </w:pPr>
    </w:p>
    <w:p w14:paraId="7E9EBF42" w14:textId="7DB01C81" w:rsidR="00800166" w:rsidRPr="00800166" w:rsidRDefault="00800166" w:rsidP="00800166">
      <w:pPr>
        <w:spacing w:before="600"/>
        <w:jc w:val="center"/>
      </w:pPr>
      <w:r>
        <w:rPr>
          <w:rFonts w:hint="cs"/>
          <w:rtl/>
        </w:rPr>
        <w:t>___________</w:t>
      </w:r>
    </w:p>
    <w:sectPr w:rsidR="00800166" w:rsidRPr="0080016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31734" w14:textId="77777777" w:rsidR="00EA5D25" w:rsidRDefault="00EA5D25" w:rsidP="002919E1">
      <w:r>
        <w:separator/>
      </w:r>
    </w:p>
    <w:p w14:paraId="55DDE3C8" w14:textId="77777777" w:rsidR="00EA5D25" w:rsidRDefault="00EA5D25" w:rsidP="002919E1"/>
    <w:p w14:paraId="3C784AD8" w14:textId="77777777" w:rsidR="00EA5D25" w:rsidRDefault="00EA5D25" w:rsidP="002919E1"/>
    <w:p w14:paraId="6DDC1C7A" w14:textId="77777777" w:rsidR="00EA5D25" w:rsidRDefault="00EA5D25"/>
  </w:endnote>
  <w:endnote w:type="continuationSeparator" w:id="0">
    <w:p w14:paraId="40FC86CE" w14:textId="77777777" w:rsidR="00EA5D25" w:rsidRDefault="00EA5D25" w:rsidP="002919E1">
      <w:r>
        <w:continuationSeparator/>
      </w:r>
    </w:p>
    <w:p w14:paraId="32CC6CE5" w14:textId="77777777" w:rsidR="00EA5D25" w:rsidRDefault="00EA5D25" w:rsidP="002919E1"/>
    <w:p w14:paraId="677A61C9" w14:textId="77777777" w:rsidR="00EA5D25" w:rsidRDefault="00EA5D25" w:rsidP="002919E1"/>
    <w:p w14:paraId="5D0638A1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33A0C" w14:textId="179BB9B3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EC4F8E">
      <w:rPr>
        <w:noProof/>
      </w:rPr>
      <w:t>P:\ARA\ITU-R\CONF-R\CMR19\100\196A.docx</w:t>
    </w:r>
    <w:r>
      <w:fldChar w:fldCharType="end"/>
    </w:r>
    <w:proofErr w:type="gramStart"/>
    <w:r w:rsidRPr="00A809E8">
      <w:t xml:space="preserve">   (</w:t>
    </w:r>
    <w:proofErr w:type="gramEnd"/>
    <w:r w:rsidR="00800166">
      <w:t>463771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1DFA1" w14:textId="5DE0108C" w:rsidR="00281F5F" w:rsidRPr="008927F5" w:rsidRDefault="00800166" w:rsidP="00800166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EC4F8E">
      <w:rPr>
        <w:noProof/>
      </w:rPr>
      <w:t>P:\ARA\ITU-R\CONF-R\CMR19\100\196A.docx</w:t>
    </w:r>
    <w:r>
      <w:fldChar w:fldCharType="end"/>
    </w:r>
    <w:proofErr w:type="gramStart"/>
    <w:r w:rsidRPr="00A809E8">
      <w:t xml:space="preserve">   (</w:t>
    </w:r>
    <w:proofErr w:type="gramEnd"/>
    <w:r>
      <w:t>463771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43438" w14:textId="77777777" w:rsidR="00EA5D25" w:rsidRDefault="00EA5D25" w:rsidP="002919E1">
      <w:r>
        <w:t>___________________</w:t>
      </w:r>
    </w:p>
  </w:footnote>
  <w:footnote w:type="continuationSeparator" w:id="0">
    <w:p w14:paraId="00A501FC" w14:textId="77777777" w:rsidR="00EA5D25" w:rsidRDefault="00EA5D25" w:rsidP="002919E1">
      <w:r>
        <w:continuationSeparator/>
      </w:r>
    </w:p>
    <w:p w14:paraId="5549DA2A" w14:textId="77777777" w:rsidR="00EA5D25" w:rsidRDefault="00EA5D25" w:rsidP="002919E1"/>
    <w:p w14:paraId="0D437140" w14:textId="77777777" w:rsidR="00EA5D25" w:rsidRDefault="00EA5D25" w:rsidP="002919E1"/>
    <w:p w14:paraId="6F5C6A15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99090" w14:textId="77777777" w:rsidR="00281F5F" w:rsidRDefault="00281F5F" w:rsidP="002919E1"/>
  <w:p w14:paraId="2FBBC067" w14:textId="77777777" w:rsidR="00281F5F" w:rsidRDefault="00281F5F" w:rsidP="002919E1"/>
  <w:p w14:paraId="50D0EBF6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CD071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196-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FEF5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2846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46B1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C252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74D84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3220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00166"/>
    <w:rsid w:val="00810482"/>
    <w:rsid w:val="00817568"/>
    <w:rsid w:val="008204AC"/>
    <w:rsid w:val="008261C2"/>
    <w:rsid w:val="00826B11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0551B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4D46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1486"/>
    <w:rsid w:val="00B357E9"/>
    <w:rsid w:val="00B4164D"/>
    <w:rsid w:val="00B425C1"/>
    <w:rsid w:val="00B606BA"/>
    <w:rsid w:val="00B66817"/>
    <w:rsid w:val="00B71526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0945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C4F8E"/>
    <w:rsid w:val="00ED048C"/>
    <w:rsid w:val="00EE1B31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67966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701C86F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R16-WRC19-C-0196!!MSW-A</DPM_x0020_File_x0020_name>
    <DPM_x0020_Author xmlns="32a1a8c5-2265-4ebc-b7a0-2071e2c5c9bb" xsi:nil="false">DPM</DPM_x0020_Author>
    <DPM_x0020_Version xmlns="32a1a8c5-2265-4ebc-b7a0-2071e2c5c9bb" xsi:nil="false">DPM_2019.10.22.01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BB4E5-E934-4843-B520-481127847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0AABDB-12A1-4696-9689-37B4B43A43E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A567864-09E0-4686-B5F0-6238C6161D71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996b2e75-67fd-4955-a3b0-5ab9934cb50b"/>
    <ds:schemaRef ds:uri="http://www.w3.org/XML/1998/namespace"/>
    <ds:schemaRef ds:uri="http://schemas.openxmlformats.org/package/2006/metadata/core-properties"/>
    <ds:schemaRef ds:uri="32a1a8c5-2265-4ebc-b7a0-2071e2c5c9b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EA0CCF5-F9DC-4311-B98E-0394E35571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EC2D2E-49AC-4E47-87FB-3985C3EE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236</Words>
  <Characters>1212</Characters>
  <Application>Microsoft Office Word</Application>
  <DocSecurity>0</DocSecurity>
  <Lines>41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R16-WRC19-C-0196!!MSW-A</vt:lpstr>
    </vt:vector>
  </TitlesOfParts>
  <Manager>General Secretariat - Pool</Manager>
  <Company>International Telecommunication Union (ITU)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R16-WRC19-C-0196!!MSW-A</dc:title>
  <dc:creator>Documents Proposals Manager (DPM)</dc:creator>
  <cp:keywords>DPM_v2019.11.4.1_prod</cp:keywords>
  <cp:lastModifiedBy>Arabic</cp:lastModifiedBy>
  <cp:revision>10</cp:revision>
  <cp:lastPrinted>2019-11-04T18:41:00Z</cp:lastPrinted>
  <dcterms:created xsi:type="dcterms:W3CDTF">2019-11-04T18:10:00Z</dcterms:created>
  <dcterms:modified xsi:type="dcterms:W3CDTF">2019-11-04T18:41:00Z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