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566FFBF1" w14:textId="77777777" w:rsidTr="0050008E">
        <w:trPr>
          <w:cantSplit/>
        </w:trPr>
        <w:tc>
          <w:tcPr>
            <w:tcW w:w="6911" w:type="dxa"/>
          </w:tcPr>
          <w:p w14:paraId="62CDB04E" w14:textId="77777777" w:rsidR="00BB1D82" w:rsidRPr="00930FFD" w:rsidRDefault="00851625" w:rsidP="00F10064">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07F17DB3" w14:textId="77777777" w:rsidR="00BB1D82" w:rsidRPr="002A6F8F" w:rsidRDefault="000A55AE" w:rsidP="002C28A4">
            <w:pPr>
              <w:spacing w:before="0" w:line="240" w:lineRule="atLeast"/>
              <w:jc w:val="right"/>
              <w:rPr>
                <w:lang w:val="en-US"/>
              </w:rPr>
            </w:pPr>
            <w:r>
              <w:rPr>
                <w:rFonts w:ascii="Verdana" w:hAnsi="Verdana"/>
                <w:b/>
                <w:bCs/>
                <w:noProof/>
                <w:lang w:val="fr-CH" w:eastAsia="fr-CH"/>
              </w:rPr>
              <w:drawing>
                <wp:inline distT="0" distB="0" distL="0" distR="0" wp14:anchorId="0A46069B" wp14:editId="3B782BE5">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1048B2C8" w14:textId="77777777" w:rsidTr="0050008E">
        <w:trPr>
          <w:cantSplit/>
        </w:trPr>
        <w:tc>
          <w:tcPr>
            <w:tcW w:w="6911" w:type="dxa"/>
            <w:tcBorders>
              <w:bottom w:val="single" w:sz="12" w:space="0" w:color="auto"/>
            </w:tcBorders>
          </w:tcPr>
          <w:p w14:paraId="21212412" w14:textId="77777777" w:rsidR="00BB1D82" w:rsidRPr="002A6F8F" w:rsidRDefault="00BB1D82" w:rsidP="00BB1D82">
            <w:pPr>
              <w:spacing w:before="0" w:after="48" w:line="240" w:lineRule="atLeast"/>
              <w:rPr>
                <w:b/>
                <w:smallCaps/>
                <w:szCs w:val="24"/>
                <w:lang w:val="en-US"/>
              </w:rPr>
            </w:pPr>
          </w:p>
        </w:tc>
        <w:tc>
          <w:tcPr>
            <w:tcW w:w="3120" w:type="dxa"/>
            <w:tcBorders>
              <w:bottom w:val="single" w:sz="12" w:space="0" w:color="auto"/>
            </w:tcBorders>
          </w:tcPr>
          <w:p w14:paraId="0F718003" w14:textId="77777777" w:rsidR="00BB1D82" w:rsidRPr="002A6F8F" w:rsidRDefault="00BB1D82" w:rsidP="00BB1D82">
            <w:pPr>
              <w:spacing w:before="0" w:line="240" w:lineRule="atLeast"/>
              <w:rPr>
                <w:rFonts w:ascii="Verdana" w:hAnsi="Verdana"/>
                <w:szCs w:val="24"/>
                <w:lang w:val="en-US"/>
              </w:rPr>
            </w:pPr>
          </w:p>
        </w:tc>
      </w:tr>
      <w:tr w:rsidR="00BB1D82" w:rsidRPr="002A6F8F" w14:paraId="18D3D57C" w14:textId="77777777" w:rsidTr="00BB1D82">
        <w:trPr>
          <w:cantSplit/>
        </w:trPr>
        <w:tc>
          <w:tcPr>
            <w:tcW w:w="6911" w:type="dxa"/>
            <w:tcBorders>
              <w:top w:val="single" w:sz="12" w:space="0" w:color="auto"/>
            </w:tcBorders>
          </w:tcPr>
          <w:p w14:paraId="4FFF6544" w14:textId="77777777"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14:paraId="13DCCDE7" w14:textId="77777777" w:rsidR="00BB1D82" w:rsidRPr="002A6F8F" w:rsidRDefault="00BB1D82" w:rsidP="00BB1D82">
            <w:pPr>
              <w:spacing w:before="0" w:line="240" w:lineRule="atLeast"/>
              <w:rPr>
                <w:rFonts w:ascii="Verdana" w:hAnsi="Verdana"/>
                <w:sz w:val="20"/>
                <w:lang w:val="en-US"/>
              </w:rPr>
            </w:pPr>
          </w:p>
        </w:tc>
      </w:tr>
      <w:tr w:rsidR="00BB1D82" w:rsidRPr="002A6F8F" w14:paraId="3DCC7595" w14:textId="77777777" w:rsidTr="00BB1D82">
        <w:trPr>
          <w:cantSplit/>
        </w:trPr>
        <w:tc>
          <w:tcPr>
            <w:tcW w:w="6911" w:type="dxa"/>
          </w:tcPr>
          <w:p w14:paraId="11B1C33A" w14:textId="77777777"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6B9B3EFE" w14:textId="77777777" w:rsidR="00BB1D82" w:rsidRPr="007400F3" w:rsidRDefault="006D4724" w:rsidP="00BA5BD0">
            <w:pPr>
              <w:spacing w:before="0"/>
              <w:rPr>
                <w:rFonts w:ascii="Verdana" w:hAnsi="Verdana"/>
                <w:sz w:val="20"/>
                <w:lang w:val="fr-CH"/>
              </w:rPr>
            </w:pPr>
            <w:r w:rsidRPr="007400F3">
              <w:rPr>
                <w:rFonts w:ascii="Verdana" w:hAnsi="Verdana"/>
                <w:b/>
                <w:sz w:val="20"/>
                <w:lang w:val="fr-CH"/>
              </w:rPr>
              <w:t>Addendum 1 au</w:t>
            </w:r>
            <w:r w:rsidRPr="007400F3">
              <w:rPr>
                <w:rFonts w:ascii="Verdana" w:hAnsi="Verdana"/>
                <w:b/>
                <w:sz w:val="20"/>
                <w:lang w:val="fr-CH"/>
              </w:rPr>
              <w:br/>
              <w:t>Document 104(Add.21)</w:t>
            </w:r>
            <w:r w:rsidR="00BB1D82" w:rsidRPr="007400F3">
              <w:rPr>
                <w:rFonts w:ascii="Verdana" w:hAnsi="Verdana"/>
                <w:b/>
                <w:sz w:val="20"/>
                <w:lang w:val="fr-CH"/>
              </w:rPr>
              <w:t>-</w:t>
            </w:r>
            <w:r w:rsidRPr="007400F3">
              <w:rPr>
                <w:rFonts w:ascii="Verdana" w:hAnsi="Verdana"/>
                <w:b/>
                <w:sz w:val="20"/>
                <w:lang w:val="fr-CH"/>
              </w:rPr>
              <w:t>F</w:t>
            </w:r>
          </w:p>
        </w:tc>
      </w:tr>
      <w:tr w:rsidR="00690C7B" w:rsidRPr="002A6F8F" w14:paraId="776BF2F7" w14:textId="77777777" w:rsidTr="00BB1D82">
        <w:trPr>
          <w:cantSplit/>
        </w:trPr>
        <w:tc>
          <w:tcPr>
            <w:tcW w:w="6911" w:type="dxa"/>
          </w:tcPr>
          <w:p w14:paraId="67C7B0C4" w14:textId="77777777" w:rsidR="00690C7B" w:rsidRPr="007400F3" w:rsidRDefault="00690C7B" w:rsidP="00BA5BD0">
            <w:pPr>
              <w:spacing w:before="0"/>
              <w:rPr>
                <w:rFonts w:ascii="Verdana" w:hAnsi="Verdana"/>
                <w:b/>
                <w:sz w:val="20"/>
                <w:lang w:val="fr-CH"/>
              </w:rPr>
            </w:pPr>
          </w:p>
        </w:tc>
        <w:tc>
          <w:tcPr>
            <w:tcW w:w="3120" w:type="dxa"/>
          </w:tcPr>
          <w:p w14:paraId="72D52EA9"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9 octobre 2019</w:t>
            </w:r>
          </w:p>
        </w:tc>
      </w:tr>
      <w:tr w:rsidR="00690C7B" w:rsidRPr="002A6F8F" w14:paraId="3226A01E" w14:textId="77777777" w:rsidTr="00BB1D82">
        <w:trPr>
          <w:cantSplit/>
        </w:trPr>
        <w:tc>
          <w:tcPr>
            <w:tcW w:w="6911" w:type="dxa"/>
          </w:tcPr>
          <w:p w14:paraId="0354EB64" w14:textId="77777777" w:rsidR="00690C7B" w:rsidRPr="002A6F8F" w:rsidRDefault="00690C7B" w:rsidP="00BA5BD0">
            <w:pPr>
              <w:spacing w:before="0" w:after="48"/>
              <w:rPr>
                <w:rFonts w:ascii="Verdana" w:hAnsi="Verdana"/>
                <w:b/>
                <w:smallCaps/>
                <w:sz w:val="20"/>
                <w:lang w:val="en-US"/>
              </w:rPr>
            </w:pPr>
          </w:p>
        </w:tc>
        <w:tc>
          <w:tcPr>
            <w:tcW w:w="3120" w:type="dxa"/>
          </w:tcPr>
          <w:p w14:paraId="6BD6FFF7"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14:paraId="472AC5A5" w14:textId="77777777" w:rsidTr="00C11970">
        <w:trPr>
          <w:cantSplit/>
        </w:trPr>
        <w:tc>
          <w:tcPr>
            <w:tcW w:w="10031" w:type="dxa"/>
            <w:gridSpan w:val="2"/>
          </w:tcPr>
          <w:p w14:paraId="0ED97359" w14:textId="77777777" w:rsidR="00690C7B" w:rsidRPr="002A6F8F" w:rsidRDefault="00690C7B" w:rsidP="00BA5BD0">
            <w:pPr>
              <w:spacing w:before="0"/>
              <w:rPr>
                <w:rFonts w:ascii="Verdana" w:hAnsi="Verdana"/>
                <w:b/>
                <w:sz w:val="20"/>
                <w:lang w:val="en-US"/>
              </w:rPr>
            </w:pPr>
          </w:p>
        </w:tc>
      </w:tr>
      <w:tr w:rsidR="00690C7B" w:rsidRPr="002A6F8F" w14:paraId="7910B0B0" w14:textId="77777777" w:rsidTr="0050008E">
        <w:trPr>
          <w:cantSplit/>
        </w:trPr>
        <w:tc>
          <w:tcPr>
            <w:tcW w:w="10031" w:type="dxa"/>
            <w:gridSpan w:val="2"/>
          </w:tcPr>
          <w:p w14:paraId="4EED1A24" w14:textId="47C3F081" w:rsidR="00690C7B" w:rsidRPr="007400F3" w:rsidRDefault="00690C7B" w:rsidP="00734972">
            <w:pPr>
              <w:pStyle w:val="Source"/>
              <w:rPr>
                <w:lang w:val="fr-CH"/>
              </w:rPr>
            </w:pPr>
            <w:bookmarkStart w:id="0" w:name="dsource" w:colFirst="0" w:colLast="0"/>
            <w:r w:rsidRPr="007400F3">
              <w:rPr>
                <w:lang w:val="fr-CH"/>
              </w:rPr>
              <w:t xml:space="preserve">Burundi (République du)/Kenya (République du)/Ouganda (République </w:t>
            </w:r>
            <w:r w:rsidR="00053E78">
              <w:rPr>
                <w:lang w:val="fr-CH"/>
              </w:rPr>
              <w:br/>
            </w:r>
            <w:r w:rsidRPr="007400F3">
              <w:rPr>
                <w:lang w:val="fr-CH"/>
              </w:rPr>
              <w:t>de l')/Rwanda (République du)/Soudan du Sud (République du)/</w:t>
            </w:r>
            <w:r w:rsidR="00053E78">
              <w:rPr>
                <w:lang w:val="fr-CH"/>
              </w:rPr>
              <w:br/>
            </w:r>
            <w:r w:rsidRPr="007400F3">
              <w:rPr>
                <w:lang w:val="fr-CH"/>
              </w:rPr>
              <w:t>Tanzanie (République-Unie de)</w:t>
            </w:r>
          </w:p>
        </w:tc>
      </w:tr>
      <w:tr w:rsidR="00690C7B" w:rsidRPr="002A6F8F" w14:paraId="020EB6CB" w14:textId="77777777" w:rsidTr="0050008E">
        <w:trPr>
          <w:cantSplit/>
        </w:trPr>
        <w:tc>
          <w:tcPr>
            <w:tcW w:w="10031" w:type="dxa"/>
            <w:gridSpan w:val="2"/>
          </w:tcPr>
          <w:p w14:paraId="1057596F" w14:textId="77777777" w:rsidR="00690C7B" w:rsidRPr="007400F3" w:rsidRDefault="00690C7B" w:rsidP="00734972">
            <w:pPr>
              <w:pStyle w:val="Title1"/>
              <w:rPr>
                <w:lang w:val="fr-CH"/>
              </w:rPr>
            </w:pPr>
            <w:bookmarkStart w:id="1" w:name="dtitle1" w:colFirst="0" w:colLast="0"/>
            <w:bookmarkEnd w:id="0"/>
            <w:r w:rsidRPr="007400F3">
              <w:rPr>
                <w:lang w:val="fr-CH"/>
              </w:rPr>
              <w:t>Propositions pour les travaux de la conférence</w:t>
            </w:r>
          </w:p>
        </w:tc>
      </w:tr>
      <w:tr w:rsidR="00690C7B" w:rsidRPr="002A6F8F" w14:paraId="23672F57" w14:textId="77777777" w:rsidTr="0050008E">
        <w:trPr>
          <w:cantSplit/>
        </w:trPr>
        <w:tc>
          <w:tcPr>
            <w:tcW w:w="10031" w:type="dxa"/>
            <w:gridSpan w:val="2"/>
          </w:tcPr>
          <w:p w14:paraId="09873775" w14:textId="77777777" w:rsidR="00690C7B" w:rsidRPr="007400F3" w:rsidRDefault="00690C7B" w:rsidP="00734972">
            <w:pPr>
              <w:pStyle w:val="Title2"/>
              <w:rPr>
                <w:lang w:val="fr-CH"/>
              </w:rPr>
            </w:pPr>
            <w:bookmarkStart w:id="2" w:name="dtitle2" w:colFirst="0" w:colLast="0"/>
            <w:bookmarkEnd w:id="1"/>
          </w:p>
        </w:tc>
      </w:tr>
      <w:tr w:rsidR="00690C7B" w14:paraId="551EF26C" w14:textId="77777777" w:rsidTr="0050008E">
        <w:trPr>
          <w:cantSplit/>
        </w:trPr>
        <w:tc>
          <w:tcPr>
            <w:tcW w:w="10031" w:type="dxa"/>
            <w:gridSpan w:val="2"/>
          </w:tcPr>
          <w:p w14:paraId="488FF10A" w14:textId="77777777" w:rsidR="00690C7B" w:rsidRDefault="00690C7B" w:rsidP="00734972">
            <w:pPr>
              <w:pStyle w:val="Agendaitem"/>
            </w:pPr>
            <w:bookmarkStart w:id="3" w:name="dtitle3" w:colFirst="0" w:colLast="0"/>
            <w:bookmarkEnd w:id="2"/>
            <w:r w:rsidRPr="006D4724">
              <w:t>Point 9.1(9.1.1) de l'ordre du jour</w:t>
            </w:r>
          </w:p>
        </w:tc>
      </w:tr>
    </w:tbl>
    <w:bookmarkEnd w:id="3"/>
    <w:p w14:paraId="1F46FD0B" w14:textId="77777777" w:rsidR="001C0E40" w:rsidRPr="00404314" w:rsidRDefault="00701B36" w:rsidP="00734972">
      <w:r w:rsidRPr="009B46DD">
        <w:t>9</w:t>
      </w:r>
      <w:r w:rsidRPr="009B46DD">
        <w:tab/>
        <w:t>examiner et approuver le rapport du Directeur du Bureau des radiocommunications, conformément à l'article 7 de la Convention:</w:t>
      </w:r>
    </w:p>
    <w:p w14:paraId="01664061" w14:textId="77777777" w:rsidR="001C0E40" w:rsidRPr="00404314" w:rsidRDefault="00701B36" w:rsidP="00734972">
      <w:r w:rsidRPr="009B46DD">
        <w:t>9.1</w:t>
      </w:r>
      <w:r w:rsidRPr="009B46DD">
        <w:tab/>
        <w:t>sur les activités du Secteur des radiocommunications depuis la CMR</w:t>
      </w:r>
      <w:r w:rsidRPr="009B46DD">
        <w:noBreakHyphen/>
        <w:t>15;</w:t>
      </w:r>
    </w:p>
    <w:p w14:paraId="4AC07140" w14:textId="77777777" w:rsidR="001C0E40" w:rsidRPr="00404314" w:rsidRDefault="00701B36" w:rsidP="00734972">
      <w:r>
        <w:rPr>
          <w:rFonts w:cstheme="majorBidi"/>
          <w:color w:val="000000"/>
          <w:szCs w:val="24"/>
          <w:lang w:eastAsia="zh-CN"/>
        </w:rPr>
        <w:t>9.1 (</w:t>
      </w:r>
      <w:r>
        <w:rPr>
          <w:rFonts w:hint="eastAsia"/>
          <w:lang w:val="fr-CH" w:eastAsia="zh-CN"/>
        </w:rPr>
        <w:t>9.1.</w:t>
      </w:r>
      <w:r>
        <w:rPr>
          <w:lang w:val="fr-CH" w:eastAsia="zh-CN"/>
        </w:rPr>
        <w:t>1</w:t>
      </w:r>
      <w:r w:rsidRPr="003A33A5">
        <w:rPr>
          <w:lang w:val="fr-CH" w:eastAsia="zh-CN"/>
        </w:rPr>
        <w:t>)</w:t>
      </w:r>
      <w:r w:rsidRPr="00FE63F3">
        <w:tab/>
      </w:r>
      <w:hyperlink w:anchor="RES_212" w:history="1">
        <w:r w:rsidRPr="00EF05B9">
          <w:rPr>
            <w:lang w:val="fr-CH"/>
          </w:rPr>
          <w:t xml:space="preserve">Résolution </w:t>
        </w:r>
        <w:r w:rsidRPr="00EF05B9">
          <w:rPr>
            <w:b/>
            <w:bCs/>
            <w:lang w:val="fr-CH"/>
          </w:rPr>
          <w:t>212 (Rév.CMR-15)</w:t>
        </w:r>
      </w:hyperlink>
      <w:r w:rsidRPr="00EF05B9">
        <w:rPr>
          <w:lang w:val="fr-CH"/>
        </w:rPr>
        <w:t xml:space="preserve"> – </w:t>
      </w:r>
      <w:bookmarkStart w:id="4" w:name="_Toc450208643"/>
      <w:r w:rsidRPr="00134885">
        <w:rPr>
          <w:lang w:val="fr-CH"/>
        </w:rPr>
        <w:t>Mise en œuvre des Télécommunications mobiles internationales</w:t>
      </w:r>
      <w:r>
        <w:rPr>
          <w:lang w:val="fr-CH"/>
        </w:rPr>
        <w:t xml:space="preserve"> </w:t>
      </w:r>
      <w:r w:rsidRPr="00134885">
        <w:rPr>
          <w:lang w:val="fr-CH"/>
        </w:rPr>
        <w:t>dans les bandes</w:t>
      </w:r>
      <w:r>
        <w:rPr>
          <w:lang w:val="fr-CH"/>
        </w:rPr>
        <w:t xml:space="preserve"> de fréquences</w:t>
      </w:r>
      <w:r w:rsidRPr="00134885">
        <w:rPr>
          <w:lang w:val="fr-CH"/>
        </w:rPr>
        <w:t xml:space="preserve"> 1 885</w:t>
      </w:r>
      <w:r w:rsidRPr="00134885">
        <w:rPr>
          <w:lang w:val="fr-CH"/>
        </w:rPr>
        <w:noBreakHyphen/>
        <w:t>2 025 MHz et 2 110</w:t>
      </w:r>
      <w:r w:rsidRPr="00134885">
        <w:rPr>
          <w:lang w:val="fr-CH"/>
        </w:rPr>
        <w:noBreakHyphen/>
        <w:t>2 200 MHz</w:t>
      </w:r>
    </w:p>
    <w:p w14:paraId="29B74FAD" w14:textId="113ED50E" w:rsidR="0078451D" w:rsidRPr="00C3178D" w:rsidRDefault="004A4BF3" w:rsidP="00734972">
      <w:pPr>
        <w:pStyle w:val="Headingb"/>
        <w:rPr>
          <w:lang w:val="fr-CH"/>
        </w:rPr>
      </w:pPr>
      <w:r>
        <w:rPr>
          <w:lang w:val="fr-CH"/>
        </w:rPr>
        <w:t>Considérations générales</w:t>
      </w:r>
    </w:p>
    <w:p w14:paraId="4DA6E7BF" w14:textId="24F5B502" w:rsidR="0078451D" w:rsidRPr="003625B1" w:rsidRDefault="003625B1" w:rsidP="00734972">
      <w:pPr>
        <w:rPr>
          <w:lang w:val="fr-CH"/>
        </w:rPr>
      </w:pPr>
      <w:r w:rsidRPr="003625B1">
        <w:rPr>
          <w:lang w:val="fr-CH"/>
        </w:rPr>
        <w:t>Le</w:t>
      </w:r>
      <w:r w:rsidR="000B39EE">
        <w:rPr>
          <w:lang w:val="fr-CH"/>
        </w:rPr>
        <w:t>s États membres de l'EACO, à savoir le</w:t>
      </w:r>
      <w:r w:rsidRPr="003625B1">
        <w:rPr>
          <w:lang w:val="fr-CH"/>
        </w:rPr>
        <w:t xml:space="preserve"> Burundi, le Kenya, l'Ouganda, le Rwanda, le Soudan du Sud et la Tanzanie, </w:t>
      </w:r>
      <w:r>
        <w:rPr>
          <w:lang w:val="fr-CH"/>
        </w:rPr>
        <w:t>ont contribué aux études</w:t>
      </w:r>
      <w:r w:rsidR="0078451D" w:rsidRPr="003625B1">
        <w:rPr>
          <w:lang w:val="fr-CH"/>
        </w:rPr>
        <w:t xml:space="preserve"> </w:t>
      </w:r>
      <w:r>
        <w:rPr>
          <w:lang w:val="fr-CH"/>
        </w:rPr>
        <w:t>de l'UIT-R</w:t>
      </w:r>
      <w:r w:rsidR="0078451D" w:rsidRPr="003625B1">
        <w:rPr>
          <w:lang w:val="fr-CH"/>
        </w:rPr>
        <w:t xml:space="preserve"> </w:t>
      </w:r>
      <w:r>
        <w:rPr>
          <w:lang w:val="fr-CH"/>
        </w:rPr>
        <w:t xml:space="preserve">sur la </w:t>
      </w:r>
      <w:r w:rsidR="00984B90">
        <w:rPr>
          <w:lang w:val="fr-CH"/>
        </w:rPr>
        <w:t>q</w:t>
      </w:r>
      <w:r>
        <w:rPr>
          <w:lang w:val="fr-CH"/>
        </w:rPr>
        <w:t>uestion 9.1.1 du point</w:t>
      </w:r>
      <w:r w:rsidR="0078451D" w:rsidRPr="003625B1">
        <w:rPr>
          <w:lang w:val="fr-CH"/>
        </w:rPr>
        <w:t xml:space="preserve"> 9.1 </w:t>
      </w:r>
      <w:r>
        <w:rPr>
          <w:lang w:val="fr-CH"/>
        </w:rPr>
        <w:t>de l'ordre du jour</w:t>
      </w:r>
      <w:r w:rsidR="0078451D" w:rsidRPr="003625B1">
        <w:rPr>
          <w:lang w:val="fr-CH"/>
        </w:rPr>
        <w:t>.</w:t>
      </w:r>
    </w:p>
    <w:p w14:paraId="239216CF" w14:textId="70805817" w:rsidR="00976B5D" w:rsidRDefault="00976B5D" w:rsidP="00734972">
      <w:pPr>
        <w:rPr>
          <w:lang w:val="fr-CH"/>
        </w:rPr>
      </w:pPr>
      <w:r w:rsidRPr="009000A8">
        <w:rPr>
          <w:lang w:val="fr-CH"/>
        </w:rPr>
        <w:t>Les bandes de fréquences 1</w:t>
      </w:r>
      <w:r w:rsidRPr="009000A8">
        <w:rPr>
          <w:lang w:val="fr-CH" w:eastAsia="ja-JP"/>
        </w:rPr>
        <w:t> </w:t>
      </w:r>
      <w:r w:rsidRPr="009000A8">
        <w:rPr>
          <w:lang w:val="fr-CH"/>
        </w:rPr>
        <w:t>885-2 025</w:t>
      </w:r>
      <w:r w:rsidR="00984B90">
        <w:rPr>
          <w:lang w:val="fr-CH"/>
        </w:rPr>
        <w:t> </w:t>
      </w:r>
      <w:r w:rsidRPr="009000A8">
        <w:rPr>
          <w:lang w:val="fr-CH"/>
        </w:rPr>
        <w:t>MHz et 2 110-2 200</w:t>
      </w:r>
      <w:r w:rsidR="00984B90">
        <w:rPr>
          <w:lang w:val="fr-CH"/>
        </w:rPr>
        <w:t> </w:t>
      </w:r>
      <w:r w:rsidRPr="009000A8">
        <w:rPr>
          <w:lang w:val="fr-CH"/>
        </w:rPr>
        <w:t xml:space="preserve">MHz sont identifiées dans le Règlement des radiocommunications (RR) pour être utilisées par les IMT. </w:t>
      </w:r>
      <w:r w:rsidR="00C3178D">
        <w:rPr>
          <w:lang w:val="fr-CH"/>
        </w:rPr>
        <w:t>À</w:t>
      </w:r>
      <w:r w:rsidRPr="009000A8">
        <w:rPr>
          <w:lang w:val="fr-CH"/>
        </w:rPr>
        <w:t xml:space="preserve"> l'intérieur de ces grandes gammes de fréquences, les bandes de fréquences 1 980</w:t>
      </w:r>
      <w:r w:rsidRPr="009000A8">
        <w:rPr>
          <w:lang w:val="fr-CH"/>
        </w:rPr>
        <w:noBreakHyphen/>
        <w:t>2 010</w:t>
      </w:r>
      <w:r w:rsidR="00984B90">
        <w:rPr>
          <w:lang w:val="fr-CH"/>
        </w:rPr>
        <w:t> </w:t>
      </w:r>
      <w:r w:rsidRPr="009000A8">
        <w:rPr>
          <w:lang w:val="fr-CH"/>
        </w:rPr>
        <w:t>MHz et 2</w:t>
      </w:r>
      <w:r w:rsidR="00984B90">
        <w:rPr>
          <w:lang w:val="fr-CH"/>
        </w:rPr>
        <w:t> </w:t>
      </w:r>
      <w:r w:rsidRPr="009000A8">
        <w:rPr>
          <w:lang w:val="fr-CH"/>
        </w:rPr>
        <w:t>170-2</w:t>
      </w:r>
      <w:r w:rsidR="00984B90">
        <w:rPr>
          <w:lang w:val="fr-CH"/>
        </w:rPr>
        <w:t> </w:t>
      </w:r>
      <w:r w:rsidRPr="009000A8">
        <w:rPr>
          <w:lang w:val="fr-CH"/>
        </w:rPr>
        <w:t>200</w:t>
      </w:r>
      <w:r w:rsidR="00984B90">
        <w:rPr>
          <w:lang w:val="fr-CH"/>
        </w:rPr>
        <w:t> </w:t>
      </w:r>
      <w:r w:rsidRPr="009000A8">
        <w:rPr>
          <w:lang w:val="fr-CH"/>
        </w:rPr>
        <w:t>MHz sont attribuées au</w:t>
      </w:r>
      <w:r w:rsidR="00047FF0">
        <w:rPr>
          <w:lang w:val="fr-CH"/>
        </w:rPr>
        <w:t xml:space="preserve"> service fixe</w:t>
      </w:r>
      <w:r w:rsidRPr="009000A8">
        <w:rPr>
          <w:lang w:val="fr-CH"/>
        </w:rPr>
        <w:t xml:space="preserve"> </w:t>
      </w:r>
      <w:r w:rsidR="00047FF0">
        <w:rPr>
          <w:lang w:val="fr-CH"/>
        </w:rPr>
        <w:t>(</w:t>
      </w:r>
      <w:r w:rsidRPr="009000A8">
        <w:rPr>
          <w:lang w:val="fr-CH"/>
        </w:rPr>
        <w:t>SF</w:t>
      </w:r>
      <w:r w:rsidR="00047FF0">
        <w:rPr>
          <w:lang w:val="fr-CH"/>
        </w:rPr>
        <w:t>)</w:t>
      </w:r>
      <w:r w:rsidRPr="009000A8">
        <w:rPr>
          <w:lang w:val="fr-CH"/>
        </w:rPr>
        <w:t xml:space="preserve">, </w:t>
      </w:r>
      <w:r w:rsidR="00047FF0">
        <w:rPr>
          <w:lang w:val="fr-CH"/>
        </w:rPr>
        <w:t>au service mobile (</w:t>
      </w:r>
      <w:r w:rsidRPr="009000A8">
        <w:rPr>
          <w:lang w:val="fr-CH"/>
        </w:rPr>
        <w:t>SM</w:t>
      </w:r>
      <w:r w:rsidR="00047FF0">
        <w:rPr>
          <w:lang w:val="fr-CH"/>
        </w:rPr>
        <w:t>)</w:t>
      </w:r>
      <w:r w:rsidRPr="009000A8">
        <w:rPr>
          <w:lang w:val="fr-CH"/>
        </w:rPr>
        <w:t xml:space="preserve"> et </w:t>
      </w:r>
      <w:r w:rsidR="009E367C">
        <w:rPr>
          <w:lang w:val="fr-CH"/>
        </w:rPr>
        <w:t>au service mobile par satellite (</w:t>
      </w:r>
      <w:r w:rsidRPr="009000A8">
        <w:rPr>
          <w:lang w:val="fr-CH"/>
        </w:rPr>
        <w:t>SMS</w:t>
      </w:r>
      <w:r w:rsidR="009E367C">
        <w:rPr>
          <w:lang w:val="fr-CH"/>
        </w:rPr>
        <w:t>)</w:t>
      </w:r>
      <w:r w:rsidRPr="009000A8">
        <w:rPr>
          <w:lang w:val="fr-CH"/>
        </w:rPr>
        <w:t xml:space="preserve"> à titre primaire avec égalité des droits.</w:t>
      </w:r>
    </w:p>
    <w:p w14:paraId="265AC168" w14:textId="522CCF13" w:rsidR="00976B5D" w:rsidRPr="009000A8" w:rsidRDefault="00976B5D" w:rsidP="00734972">
      <w:pPr>
        <w:rPr>
          <w:lang w:val="fr-CH"/>
        </w:rPr>
      </w:pPr>
      <w:r w:rsidRPr="009000A8">
        <w:rPr>
          <w:lang w:val="fr-CH"/>
        </w:rPr>
        <w:t>La bande de fréquences 1 980-2 010</w:t>
      </w:r>
      <w:r w:rsidR="00734972">
        <w:rPr>
          <w:lang w:val="fr-CH"/>
        </w:rPr>
        <w:t> </w:t>
      </w:r>
      <w:r w:rsidRPr="009000A8">
        <w:rPr>
          <w:lang w:val="fr-CH"/>
        </w:rPr>
        <w:t>MHz est attribuée au SMS dans le sens Terre vers espace et la bande de fréquences 2 170</w:t>
      </w:r>
      <w:r w:rsidRPr="009000A8">
        <w:rPr>
          <w:lang w:val="fr-CH"/>
        </w:rPr>
        <w:noBreakHyphen/>
        <w:t>2 200</w:t>
      </w:r>
      <w:r w:rsidR="00734972">
        <w:rPr>
          <w:lang w:val="fr-CH"/>
        </w:rPr>
        <w:t> </w:t>
      </w:r>
      <w:r w:rsidRPr="009000A8">
        <w:rPr>
          <w:lang w:val="fr-CH"/>
        </w:rPr>
        <w:t>MHz dans le sens espace vers Terre. Les composantes satellite et de Terre des IMT ont toutes deux été déployées dans les bandes de fréquences 1 980-2 010</w:t>
      </w:r>
      <w:r w:rsidR="00734972">
        <w:rPr>
          <w:lang w:val="fr-CH"/>
        </w:rPr>
        <w:t> </w:t>
      </w:r>
      <w:r w:rsidRPr="009000A8">
        <w:rPr>
          <w:lang w:val="fr-CH"/>
        </w:rPr>
        <w:t>MHz et 2 170</w:t>
      </w:r>
      <w:r w:rsidRPr="009000A8">
        <w:rPr>
          <w:lang w:val="fr-CH"/>
        </w:rPr>
        <w:noBreakHyphen/>
        <w:t>2 200 MHz ou un déploiement ultérieur est actuellement envisagé.</w:t>
      </w:r>
    </w:p>
    <w:p w14:paraId="53C57DF0" w14:textId="5D9EBE7A" w:rsidR="003A583E" w:rsidRDefault="00976B5D" w:rsidP="00734972">
      <w:pPr>
        <w:rPr>
          <w:lang w:val="fr-CH" w:eastAsia="ja-JP"/>
        </w:rPr>
      </w:pPr>
      <w:r w:rsidRPr="009000A8">
        <w:rPr>
          <w:lang w:val="fr-CH" w:eastAsia="ja-JP"/>
        </w:rPr>
        <w:t xml:space="preserve">Aux termes de la Résolution </w:t>
      </w:r>
      <w:r w:rsidRPr="009000A8">
        <w:rPr>
          <w:b/>
          <w:lang w:val="fr-CH" w:eastAsia="ja-JP"/>
        </w:rPr>
        <w:t>212 (Rév.CMR-15)</w:t>
      </w:r>
      <w:r w:rsidRPr="009000A8">
        <w:rPr>
          <w:lang w:val="fr-CH" w:eastAsia="ja-JP"/>
        </w:rPr>
        <w:t>, l'UIT-R est invité «</w:t>
      </w:r>
      <w:r w:rsidRPr="009000A8">
        <w:rPr>
          <w:i/>
          <w:lang w:val="fr-CH" w:eastAsia="ja-JP"/>
        </w:rPr>
        <w:t>à étudier les éventuelles mesures techniques et opérationnelles propres à assurer la coexistence et la compatibilité entre la composante de Terre des IMT (dans le service mobile) et la composante satellite des IMT (dans le service mobile et dans le service mobile par satellite) dans les bandes de fréquences 1 980</w:t>
      </w:r>
      <w:r w:rsidRPr="009000A8">
        <w:rPr>
          <w:i/>
          <w:lang w:val="fr-CH" w:eastAsia="ja-JP"/>
        </w:rPr>
        <w:noBreakHyphen/>
        <w:t>2</w:t>
      </w:r>
      <w:r w:rsidR="00E15084">
        <w:rPr>
          <w:i/>
          <w:lang w:val="fr-CH" w:eastAsia="ja-JP"/>
        </w:rPr>
        <w:t> </w:t>
      </w:r>
      <w:r w:rsidRPr="009000A8">
        <w:rPr>
          <w:i/>
          <w:lang w:val="fr-CH" w:eastAsia="ja-JP"/>
        </w:rPr>
        <w:t>010</w:t>
      </w:r>
      <w:r w:rsidR="00E15084">
        <w:rPr>
          <w:i/>
          <w:lang w:val="fr-CH" w:eastAsia="ja-JP"/>
        </w:rPr>
        <w:t> </w:t>
      </w:r>
      <w:r w:rsidRPr="009000A8">
        <w:rPr>
          <w:i/>
          <w:lang w:val="fr-CH" w:eastAsia="ja-JP"/>
        </w:rPr>
        <w:t>MHz et 2</w:t>
      </w:r>
      <w:r w:rsidR="00E15084">
        <w:rPr>
          <w:i/>
          <w:lang w:val="fr-CH" w:eastAsia="ja-JP"/>
        </w:rPr>
        <w:t> </w:t>
      </w:r>
      <w:r w:rsidRPr="009000A8">
        <w:rPr>
          <w:i/>
          <w:lang w:val="fr-CH" w:eastAsia="ja-JP"/>
        </w:rPr>
        <w:t>170-2</w:t>
      </w:r>
      <w:r w:rsidR="00E15084">
        <w:rPr>
          <w:i/>
          <w:lang w:val="fr-CH" w:eastAsia="ja-JP"/>
        </w:rPr>
        <w:t> </w:t>
      </w:r>
      <w:r w:rsidRPr="009000A8">
        <w:rPr>
          <w:i/>
          <w:lang w:val="fr-CH" w:eastAsia="ja-JP"/>
        </w:rPr>
        <w:t>200</w:t>
      </w:r>
      <w:r w:rsidR="00E15084">
        <w:rPr>
          <w:i/>
          <w:lang w:val="fr-CH" w:eastAsia="ja-JP"/>
        </w:rPr>
        <w:t> </w:t>
      </w:r>
      <w:r w:rsidRPr="009000A8">
        <w:rPr>
          <w:i/>
          <w:lang w:val="fr-CH" w:eastAsia="ja-JP"/>
        </w:rPr>
        <w:t>MHz, lorsque ces bandes de fréquences sont utilisées en partage par le SM et le SMS dans différents pays, en particulier pour le déploiement des composantes indépendantes satellite et de Terre des IMT, et à faciliter le développement à la fois de la composante de Terre et de la composante satellite des IMT</w:t>
      </w:r>
      <w:r w:rsidRPr="009000A8">
        <w:rPr>
          <w:lang w:val="fr-CH" w:eastAsia="ja-JP"/>
        </w:rPr>
        <w:t>».</w:t>
      </w:r>
    </w:p>
    <w:p w14:paraId="629FE400" w14:textId="3A059329" w:rsidR="00976B5D" w:rsidRPr="001F72E1" w:rsidRDefault="001F72E1" w:rsidP="00734972">
      <w:pPr>
        <w:rPr>
          <w:lang w:val="fr-CH"/>
        </w:rPr>
      </w:pPr>
      <w:r w:rsidRPr="001F72E1">
        <w:rPr>
          <w:lang w:val="fr-CH"/>
        </w:rPr>
        <w:lastRenderedPageBreak/>
        <w:t>En outre</w:t>
      </w:r>
      <w:r w:rsidR="0078451D" w:rsidRPr="001F72E1">
        <w:rPr>
          <w:lang w:val="fr-CH"/>
        </w:rPr>
        <w:t xml:space="preserve">, </w:t>
      </w:r>
      <w:r w:rsidRPr="001F72E1">
        <w:rPr>
          <w:lang w:val="fr-CH"/>
        </w:rPr>
        <w:t>lorsque</w:t>
      </w:r>
      <w:r w:rsidR="0078451D" w:rsidRPr="001F72E1">
        <w:rPr>
          <w:lang w:val="fr-CH"/>
        </w:rPr>
        <w:t xml:space="preserve"> </w:t>
      </w:r>
      <w:r w:rsidRPr="001F72E1">
        <w:rPr>
          <w:lang w:val="fr-CH"/>
        </w:rPr>
        <w:t xml:space="preserve">les composantes satellite et de Terre des IMT </w:t>
      </w:r>
      <w:r>
        <w:rPr>
          <w:lang w:val="fr-CH"/>
        </w:rPr>
        <w:t>sont</w:t>
      </w:r>
      <w:r w:rsidRPr="001F72E1">
        <w:rPr>
          <w:lang w:val="fr-CH"/>
        </w:rPr>
        <w:t xml:space="preserve"> déployées dans les bandes</w:t>
      </w:r>
      <w:r w:rsidR="0078451D" w:rsidRPr="001F72E1">
        <w:rPr>
          <w:lang w:val="fr-CH"/>
        </w:rPr>
        <w:t xml:space="preserve"> </w:t>
      </w:r>
      <w:r>
        <w:rPr>
          <w:lang w:val="fr-CH"/>
        </w:rPr>
        <w:t xml:space="preserve">de fréquences </w:t>
      </w:r>
      <w:r w:rsidR="0078451D" w:rsidRPr="001F72E1">
        <w:rPr>
          <w:lang w:val="fr-CH"/>
        </w:rPr>
        <w:t>1</w:t>
      </w:r>
      <w:r w:rsidR="00734972">
        <w:rPr>
          <w:lang w:val="fr-CH"/>
        </w:rPr>
        <w:t> </w:t>
      </w:r>
      <w:r w:rsidR="0078451D" w:rsidRPr="001F72E1">
        <w:rPr>
          <w:lang w:val="fr-CH"/>
        </w:rPr>
        <w:t>980-2</w:t>
      </w:r>
      <w:r w:rsidR="00734972">
        <w:rPr>
          <w:lang w:val="fr-CH"/>
        </w:rPr>
        <w:t> </w:t>
      </w:r>
      <w:r w:rsidR="0078451D" w:rsidRPr="001F72E1">
        <w:rPr>
          <w:lang w:val="fr-CH"/>
        </w:rPr>
        <w:t>010</w:t>
      </w:r>
      <w:r w:rsidR="00734972">
        <w:rPr>
          <w:lang w:val="fr-CH"/>
        </w:rPr>
        <w:t> </w:t>
      </w:r>
      <w:r w:rsidR="0078451D" w:rsidRPr="001F72E1">
        <w:rPr>
          <w:lang w:val="fr-CH"/>
        </w:rPr>
        <w:t xml:space="preserve">MHz </w:t>
      </w:r>
      <w:r>
        <w:rPr>
          <w:lang w:val="fr-CH"/>
        </w:rPr>
        <w:t>et</w:t>
      </w:r>
      <w:r w:rsidR="0078451D" w:rsidRPr="001F72E1">
        <w:rPr>
          <w:lang w:val="fr-CH"/>
        </w:rPr>
        <w:t xml:space="preserve"> 2</w:t>
      </w:r>
      <w:r w:rsidR="00734972">
        <w:rPr>
          <w:lang w:val="fr-CH"/>
        </w:rPr>
        <w:t> </w:t>
      </w:r>
      <w:r w:rsidR="0078451D" w:rsidRPr="001F72E1">
        <w:rPr>
          <w:lang w:val="fr-CH"/>
        </w:rPr>
        <w:t>170-2</w:t>
      </w:r>
      <w:r w:rsidR="00734972">
        <w:rPr>
          <w:lang w:val="fr-CH"/>
        </w:rPr>
        <w:t> </w:t>
      </w:r>
      <w:r w:rsidR="0078451D" w:rsidRPr="001F72E1">
        <w:rPr>
          <w:lang w:val="fr-CH"/>
        </w:rPr>
        <w:t>200</w:t>
      </w:r>
      <w:r w:rsidR="00734972">
        <w:rPr>
          <w:lang w:val="fr-CH"/>
        </w:rPr>
        <w:t> </w:t>
      </w:r>
      <w:r w:rsidR="0078451D" w:rsidRPr="001F72E1">
        <w:rPr>
          <w:lang w:val="fr-CH"/>
        </w:rPr>
        <w:t xml:space="preserve">MHz </w:t>
      </w:r>
      <w:r w:rsidR="00ED76E0" w:rsidRPr="00ED76E0">
        <w:rPr>
          <w:lang w:val="fr-CH"/>
        </w:rPr>
        <w:t>dans des zones géographiques adjacentes, des mesures techniques ou opérationnelles devront peut-être être mises en oeuvre afin d'éviter tout brouillage préjudiciable</w:t>
      </w:r>
      <w:r w:rsidR="0078451D" w:rsidRPr="001F72E1">
        <w:rPr>
          <w:lang w:val="fr-CH"/>
        </w:rPr>
        <w:t>.</w:t>
      </w:r>
    </w:p>
    <w:p w14:paraId="7EF14C2C" w14:textId="0627CBC4" w:rsidR="0078451D" w:rsidRDefault="0078451D" w:rsidP="00734972">
      <w:pPr>
        <w:rPr>
          <w:lang w:val="fr-CH"/>
        </w:rPr>
      </w:pPr>
      <w:r w:rsidRPr="0078451D">
        <w:rPr>
          <w:lang w:val="fr-CH"/>
        </w:rPr>
        <w:t xml:space="preserve">En application de </w:t>
      </w:r>
      <w:r w:rsidR="00ED76E0">
        <w:rPr>
          <w:lang w:val="fr-CH"/>
        </w:rPr>
        <w:t>la</w:t>
      </w:r>
      <w:r w:rsidRPr="0078451D">
        <w:rPr>
          <w:lang w:val="fr-CH"/>
        </w:rPr>
        <w:t xml:space="preserve"> Résolution</w:t>
      </w:r>
      <w:r w:rsidR="00ED76E0">
        <w:rPr>
          <w:lang w:val="fr-CH"/>
        </w:rPr>
        <w:t xml:space="preserve"> </w:t>
      </w:r>
      <w:r w:rsidR="00ED76E0" w:rsidRPr="009000A8">
        <w:rPr>
          <w:b/>
          <w:lang w:val="fr-CH" w:eastAsia="ja-JP"/>
        </w:rPr>
        <w:t>212 (Rév.CMR-15)</w:t>
      </w:r>
      <w:r w:rsidRPr="0078451D">
        <w:rPr>
          <w:lang w:val="fr-CH"/>
        </w:rPr>
        <w:t xml:space="preserve">, des études ont été menées sur la question de la coexistence et de la compatibilité de la composante de Terre des IMT (dans le SM) et de la composante satellite des IMT (dans </w:t>
      </w:r>
      <w:r w:rsidRPr="0078451D">
        <w:rPr>
          <w:iCs/>
          <w:lang w:val="fr-CH"/>
        </w:rPr>
        <w:t>le SM et</w:t>
      </w:r>
      <w:r w:rsidRPr="0078451D">
        <w:rPr>
          <w:i/>
          <w:lang w:val="fr-CH"/>
        </w:rPr>
        <w:t xml:space="preserve"> </w:t>
      </w:r>
      <w:r w:rsidRPr="0078451D">
        <w:rPr>
          <w:lang w:val="fr-CH"/>
        </w:rPr>
        <w:t>le SMS) dans des pays voisins, dans différents pays concernés ou dans des zones géographiques adjacentes s'étendant sur plusieurs pays, afin de faciliter le développement de la composante satellite comme de la composante de Terre des IMT.</w:t>
      </w:r>
    </w:p>
    <w:p w14:paraId="47C20449" w14:textId="1C83D2B7" w:rsidR="0078451D" w:rsidRPr="00ED76E0" w:rsidRDefault="00ED76E0" w:rsidP="00734972">
      <w:pPr>
        <w:rPr>
          <w:lang w:val="fr-CH"/>
        </w:rPr>
      </w:pPr>
      <w:r w:rsidRPr="00ED76E0">
        <w:rPr>
          <w:lang w:val="fr-CH"/>
        </w:rPr>
        <w:t xml:space="preserve">La portée </w:t>
      </w:r>
      <w:r w:rsidR="00734972">
        <w:rPr>
          <w:lang w:val="fr-CH"/>
        </w:rPr>
        <w:t xml:space="preserve">de la question 9.1.1 </w:t>
      </w:r>
      <w:r w:rsidRPr="00ED76E0">
        <w:rPr>
          <w:lang w:val="fr-CH"/>
        </w:rPr>
        <w:t>du</w:t>
      </w:r>
      <w:r w:rsidR="0078451D" w:rsidRPr="00ED76E0">
        <w:rPr>
          <w:lang w:val="fr-CH"/>
        </w:rPr>
        <w:t xml:space="preserve"> </w:t>
      </w:r>
      <w:r w:rsidRPr="00ED76E0">
        <w:rPr>
          <w:lang w:val="fr-CH"/>
        </w:rPr>
        <w:t>point 9.1 de l'ordre du jour de la CMR 19 est strictement limitée à l'étude des éventuelles mesures techniques et opérationnelles propres à assurer la coexistence et la compatibilité entre la composante de Terre des IMT et la composante satellite des IMT dans les bandes de fréquences 1</w:t>
      </w:r>
      <w:r w:rsidR="00B767F3">
        <w:rPr>
          <w:lang w:val="fr-CH"/>
        </w:rPr>
        <w:t> </w:t>
      </w:r>
      <w:r w:rsidRPr="00ED76E0">
        <w:rPr>
          <w:lang w:val="fr-CH"/>
        </w:rPr>
        <w:t>980-2</w:t>
      </w:r>
      <w:r w:rsidR="00B767F3">
        <w:rPr>
          <w:lang w:val="fr-CH"/>
        </w:rPr>
        <w:t> </w:t>
      </w:r>
      <w:r w:rsidRPr="00ED76E0">
        <w:rPr>
          <w:lang w:val="fr-CH"/>
        </w:rPr>
        <w:t>010</w:t>
      </w:r>
      <w:r w:rsidR="00B767F3">
        <w:rPr>
          <w:lang w:val="fr-CH"/>
        </w:rPr>
        <w:t> </w:t>
      </w:r>
      <w:r w:rsidRPr="00ED76E0">
        <w:rPr>
          <w:lang w:val="fr-CH"/>
        </w:rPr>
        <w:t>MHz et 2</w:t>
      </w:r>
      <w:r w:rsidR="00B767F3">
        <w:rPr>
          <w:lang w:val="fr-CH"/>
        </w:rPr>
        <w:t> </w:t>
      </w:r>
      <w:r w:rsidRPr="00ED76E0">
        <w:rPr>
          <w:lang w:val="fr-CH"/>
        </w:rPr>
        <w:t>170-2</w:t>
      </w:r>
      <w:r w:rsidR="00B767F3">
        <w:rPr>
          <w:lang w:val="fr-CH"/>
        </w:rPr>
        <w:t> </w:t>
      </w:r>
      <w:r w:rsidRPr="00ED76E0">
        <w:rPr>
          <w:lang w:val="fr-CH"/>
        </w:rPr>
        <w:t>200</w:t>
      </w:r>
      <w:r w:rsidR="00B767F3">
        <w:rPr>
          <w:lang w:val="fr-CH"/>
        </w:rPr>
        <w:t> </w:t>
      </w:r>
      <w:r w:rsidRPr="00ED76E0">
        <w:rPr>
          <w:lang w:val="fr-CH"/>
        </w:rPr>
        <w:t xml:space="preserve">MHz dans des zones géographiques adjacentes, comme indiqué dans la </w:t>
      </w:r>
      <w:r w:rsidRPr="00053E78">
        <w:rPr>
          <w:bCs/>
          <w:lang w:val="fr-CH"/>
        </w:rPr>
        <w:t>Résolution</w:t>
      </w:r>
      <w:r w:rsidRPr="00ED76E0">
        <w:rPr>
          <w:b/>
          <w:lang w:val="fr-CH"/>
        </w:rPr>
        <w:t xml:space="preserve"> 212 (Rév.CMR-15)</w:t>
      </w:r>
      <w:r w:rsidR="0078451D" w:rsidRPr="00ED76E0">
        <w:rPr>
          <w:b/>
          <w:lang w:val="fr-CH"/>
        </w:rPr>
        <w:t>.</w:t>
      </w:r>
      <w:r w:rsidR="0078451D" w:rsidRPr="00ED76E0">
        <w:rPr>
          <w:lang w:val="fr-CH"/>
        </w:rPr>
        <w:t xml:space="preserve"> </w:t>
      </w:r>
      <w:r w:rsidRPr="00ED76E0">
        <w:rPr>
          <w:lang w:val="fr-CH"/>
        </w:rPr>
        <w:t>En outre, des mesures réglementaires ou d'éventuelles modifications apportées au R</w:t>
      </w:r>
      <w:r>
        <w:rPr>
          <w:lang w:val="fr-CH"/>
        </w:rPr>
        <w:t xml:space="preserve">R </w:t>
      </w:r>
      <w:r w:rsidRPr="00ED76E0">
        <w:rPr>
          <w:lang w:val="fr-CH"/>
        </w:rPr>
        <w:t xml:space="preserve">ne relèvent pas </w:t>
      </w:r>
      <w:r>
        <w:rPr>
          <w:lang w:val="fr-CH"/>
        </w:rPr>
        <w:t>d</w:t>
      </w:r>
      <w:r w:rsidR="00734972">
        <w:rPr>
          <w:lang w:val="fr-CH"/>
        </w:rPr>
        <w:t>'un</w:t>
      </w:r>
      <w:r>
        <w:rPr>
          <w:lang w:val="fr-CH"/>
        </w:rPr>
        <w:t xml:space="preserve">e </w:t>
      </w:r>
      <w:r w:rsidR="00734972">
        <w:rPr>
          <w:lang w:val="fr-CH"/>
        </w:rPr>
        <w:t>q</w:t>
      </w:r>
      <w:r>
        <w:rPr>
          <w:lang w:val="fr-CH"/>
        </w:rPr>
        <w:t xml:space="preserve">uestion </w:t>
      </w:r>
      <w:r w:rsidRPr="00ED76E0">
        <w:rPr>
          <w:lang w:val="fr-CH"/>
        </w:rPr>
        <w:t>du point 9.1 de l'ordre du jour de la CMR-19</w:t>
      </w:r>
      <w:r w:rsidR="0078451D" w:rsidRPr="00ED76E0">
        <w:rPr>
          <w:lang w:val="fr-CH"/>
        </w:rPr>
        <w:t>.</w:t>
      </w:r>
    </w:p>
    <w:p w14:paraId="025B78F0" w14:textId="4746299F" w:rsidR="0078451D" w:rsidRPr="0078451D" w:rsidRDefault="00E10C82" w:rsidP="00734972">
      <w:pPr>
        <w:rPr>
          <w:lang w:val="fr-CH"/>
        </w:rPr>
      </w:pPr>
      <w:r>
        <w:rPr>
          <w:lang w:val="fr-CH"/>
        </w:rPr>
        <w:t>Il ressort des études de l'UIT-</w:t>
      </w:r>
      <w:r w:rsidR="0078451D" w:rsidRPr="0078451D">
        <w:rPr>
          <w:lang w:val="fr-CH"/>
        </w:rPr>
        <w:t xml:space="preserve">R que les mesures techniques et opérationnelles étudiées et élaborées en application de la Résolution </w:t>
      </w:r>
      <w:r w:rsidR="0078451D" w:rsidRPr="0078451D">
        <w:rPr>
          <w:b/>
          <w:bCs/>
          <w:lang w:val="fr-CH"/>
        </w:rPr>
        <w:t xml:space="preserve">212 (Rév.CMR-15) </w:t>
      </w:r>
      <w:r w:rsidR="0078451D" w:rsidRPr="0078451D">
        <w:rPr>
          <w:lang w:val="fr-CH"/>
        </w:rPr>
        <w:t>suffisent pour assurer la coexistence et la compatibilité entre les composantes de Terre et satellite des IMT dans des zones géographiques adjacentes de pays voisins pour tous les scénarios. De plus, des mesures techniques et opérationnelles rendues possibles par la mise à disposition de nouvelles technologies pourraient favoriser encore la compatibilité entre les deux composantes des IMT. En conséquence, il n'y a pas lieu d'apporter des modifications au R</w:t>
      </w:r>
      <w:r w:rsidR="00A07EA7">
        <w:rPr>
          <w:lang w:val="fr-CH"/>
        </w:rPr>
        <w:t xml:space="preserve">R </w:t>
      </w:r>
      <w:r w:rsidR="0078451D" w:rsidRPr="0078451D">
        <w:rPr>
          <w:lang w:val="fr-CH"/>
        </w:rPr>
        <w:t>au titre de la question de ce point de l'ordre du jour. En raison des caractéristiques de système uniques et variables et des scénarios de déploiement des composantes satellite et de Terre des IMT dans des zones géographiques adjacentes dans différents pays, des discussions bilatérales ou multilatérales entre les administrations affectées offrent une plus grande souplesse opérationnelle, tout en assurant la coexistence entre les deux composantes déployées dans différents pays.</w:t>
      </w:r>
    </w:p>
    <w:p w14:paraId="4B1EC00F" w14:textId="42389CFD" w:rsidR="0078451D" w:rsidRPr="00E10C82" w:rsidRDefault="0078451D" w:rsidP="00053E78">
      <w:pPr>
        <w:pStyle w:val="Headingb"/>
        <w:rPr>
          <w:lang w:val="fr-CH"/>
        </w:rPr>
      </w:pPr>
      <w:r w:rsidRPr="00053E78">
        <w:t>Propos</w:t>
      </w:r>
      <w:r w:rsidR="000B39EE" w:rsidRPr="00053E78">
        <w:t>ition</w:t>
      </w:r>
    </w:p>
    <w:p w14:paraId="5A9D6312" w14:textId="77777777" w:rsidR="006439E8" w:rsidRDefault="000B39EE" w:rsidP="00053E78">
      <w:pPr>
        <w:rPr>
          <w:lang w:val="fr-CH"/>
        </w:rPr>
      </w:pPr>
      <w:r w:rsidRPr="00E10C82">
        <w:rPr>
          <w:lang w:val="fr-CH"/>
        </w:rPr>
        <w:t>Les pays membres de l'</w:t>
      </w:r>
      <w:r w:rsidR="0078451D" w:rsidRPr="00E10C82">
        <w:rPr>
          <w:lang w:val="fr-CH"/>
        </w:rPr>
        <w:t xml:space="preserve">EACO </w:t>
      </w:r>
      <w:r w:rsidR="00E10C82" w:rsidRPr="00E10C82">
        <w:rPr>
          <w:lang w:val="fr-CH"/>
        </w:rPr>
        <w:t>sont favorable</w:t>
      </w:r>
      <w:r w:rsidR="001367A1">
        <w:rPr>
          <w:lang w:val="fr-CH"/>
        </w:rPr>
        <w:t>s</w:t>
      </w:r>
      <w:r w:rsidR="00E10C82" w:rsidRPr="00E10C82">
        <w:rPr>
          <w:lang w:val="fr-CH"/>
        </w:rPr>
        <w:t xml:space="preserve"> </w:t>
      </w:r>
      <w:r w:rsidR="00E10C82">
        <w:rPr>
          <w:lang w:val="fr-CH"/>
        </w:rPr>
        <w:t>au point de vue</w:t>
      </w:r>
      <w:r w:rsidR="0078451D" w:rsidRPr="00E10C82">
        <w:rPr>
          <w:lang w:val="fr-CH"/>
        </w:rPr>
        <w:t xml:space="preserve"> 2 </w:t>
      </w:r>
      <w:r w:rsidR="008D2459">
        <w:rPr>
          <w:lang w:val="fr-CH"/>
        </w:rPr>
        <w:t>qui implique de n'apporter aucun changement au</w:t>
      </w:r>
      <w:r w:rsidR="0078451D" w:rsidRPr="00E10C82">
        <w:rPr>
          <w:lang w:val="fr-CH"/>
        </w:rPr>
        <w:t xml:space="preserve"> RR. </w:t>
      </w:r>
      <w:r w:rsidR="008D2459">
        <w:rPr>
          <w:lang w:val="fr-CH"/>
        </w:rPr>
        <w:t>L</w:t>
      </w:r>
      <w:r w:rsidR="008D2459" w:rsidRPr="008D2459">
        <w:rPr>
          <w:lang w:val="fr-CH"/>
        </w:rPr>
        <w:t xml:space="preserve">es mesures techniques et opérationnelles étudiées et élaborées </w:t>
      </w:r>
      <w:r w:rsidR="008D2459" w:rsidRPr="0078451D">
        <w:rPr>
          <w:lang w:val="fr-CH"/>
        </w:rPr>
        <w:t>suffisent pour assurer la coexistence et la compatibilité entre les composantes de Terre et satellite des IMT dans des zones géographiques adjacentes d</w:t>
      </w:r>
      <w:r w:rsidR="00734972">
        <w:rPr>
          <w:lang w:val="fr-CH"/>
        </w:rPr>
        <w:t>ans</w:t>
      </w:r>
      <w:r w:rsidR="008D2459" w:rsidRPr="0078451D">
        <w:rPr>
          <w:lang w:val="fr-CH"/>
        </w:rPr>
        <w:t xml:space="preserve"> </w:t>
      </w:r>
      <w:r w:rsidR="00734972">
        <w:rPr>
          <w:lang w:val="fr-CH"/>
        </w:rPr>
        <w:t xml:space="preserve">différents </w:t>
      </w:r>
      <w:r w:rsidR="008D2459" w:rsidRPr="0078451D">
        <w:rPr>
          <w:lang w:val="fr-CH"/>
        </w:rPr>
        <w:t>pays pour tous les scénarios</w:t>
      </w:r>
      <w:r w:rsidR="0078451D" w:rsidRPr="008D2459">
        <w:rPr>
          <w:lang w:val="fr-CH"/>
        </w:rPr>
        <w:t xml:space="preserve">. </w:t>
      </w:r>
      <w:r w:rsidR="008D2459" w:rsidRPr="008D2459">
        <w:rPr>
          <w:lang w:val="fr-CH"/>
        </w:rPr>
        <w:t>En outre</w:t>
      </w:r>
      <w:r w:rsidR="0078451D" w:rsidRPr="008D2459">
        <w:rPr>
          <w:lang w:val="fr-CH"/>
        </w:rPr>
        <w:t xml:space="preserve">, </w:t>
      </w:r>
      <w:r w:rsidR="008D2459" w:rsidRPr="008D2459">
        <w:rPr>
          <w:lang w:val="fr-CH"/>
        </w:rPr>
        <w:t>la coexistence entre la composante</w:t>
      </w:r>
      <w:r w:rsidR="0078451D" w:rsidRPr="008D2459">
        <w:rPr>
          <w:lang w:val="fr-CH"/>
        </w:rPr>
        <w:t xml:space="preserve"> satellite </w:t>
      </w:r>
      <w:r w:rsidR="008D2459" w:rsidRPr="008D2459">
        <w:rPr>
          <w:lang w:val="fr-CH"/>
        </w:rPr>
        <w:t>et la composante de Terre des IMT</w:t>
      </w:r>
      <w:r w:rsidR="0078451D" w:rsidRPr="008D2459">
        <w:rPr>
          <w:lang w:val="fr-CH"/>
        </w:rPr>
        <w:t xml:space="preserve"> </w:t>
      </w:r>
      <w:r w:rsidR="008D2459">
        <w:rPr>
          <w:lang w:val="fr-CH"/>
        </w:rPr>
        <w:t>pourrait être gérée dans le cadre d'une négo</w:t>
      </w:r>
      <w:bookmarkStart w:id="5" w:name="_GoBack"/>
      <w:bookmarkEnd w:id="5"/>
      <w:r w:rsidR="008D2459">
        <w:rPr>
          <w:lang w:val="fr-CH"/>
        </w:rPr>
        <w:t>ciation</w:t>
      </w:r>
      <w:r w:rsidR="0078451D" w:rsidRPr="008D2459">
        <w:rPr>
          <w:lang w:val="fr-CH"/>
        </w:rPr>
        <w:t xml:space="preserve"> </w:t>
      </w:r>
      <w:r w:rsidR="008D2459">
        <w:rPr>
          <w:lang w:val="fr-CH"/>
        </w:rPr>
        <w:t>bilatérale</w:t>
      </w:r>
      <w:r w:rsidR="006D668E">
        <w:rPr>
          <w:lang w:val="fr-CH"/>
        </w:rPr>
        <w:t xml:space="preserve"> ou </w:t>
      </w:r>
      <w:r w:rsidR="008D2459">
        <w:rPr>
          <w:lang w:val="fr-CH"/>
        </w:rPr>
        <w:t>multilatérale</w:t>
      </w:r>
      <w:r w:rsidR="0078451D" w:rsidRPr="008D2459">
        <w:rPr>
          <w:lang w:val="fr-CH"/>
        </w:rPr>
        <w:t>.</w:t>
      </w:r>
    </w:p>
    <w:p w14:paraId="5A7D55C0" w14:textId="26D87F6E" w:rsidR="0015203F" w:rsidRPr="008D2459" w:rsidRDefault="0015203F" w:rsidP="00734972">
      <w:pPr>
        <w:tabs>
          <w:tab w:val="clear" w:pos="1134"/>
          <w:tab w:val="clear" w:pos="1871"/>
          <w:tab w:val="clear" w:pos="2268"/>
        </w:tabs>
        <w:overflowPunct/>
        <w:autoSpaceDE/>
        <w:autoSpaceDN/>
        <w:adjustRightInd/>
        <w:spacing w:before="0"/>
        <w:textAlignment w:val="auto"/>
        <w:rPr>
          <w:lang w:val="fr-CH"/>
        </w:rPr>
      </w:pPr>
      <w:r w:rsidRPr="008D2459">
        <w:rPr>
          <w:lang w:val="fr-CH"/>
        </w:rPr>
        <w:br w:type="page"/>
      </w:r>
      <w:bookmarkEnd w:id="4"/>
    </w:p>
    <w:p w14:paraId="154F805E" w14:textId="77777777" w:rsidR="004448FD" w:rsidRPr="007400F3" w:rsidRDefault="00701B36" w:rsidP="00242C6A">
      <w:pPr>
        <w:pStyle w:val="Proposal"/>
        <w:rPr>
          <w:lang w:val="en-GB"/>
        </w:rPr>
      </w:pPr>
      <w:r w:rsidRPr="007400F3">
        <w:rPr>
          <w:u w:val="single"/>
          <w:lang w:val="en-GB"/>
        </w:rPr>
        <w:lastRenderedPageBreak/>
        <w:t>NOC</w:t>
      </w:r>
      <w:r w:rsidRPr="007400F3">
        <w:rPr>
          <w:lang w:val="en-GB"/>
        </w:rPr>
        <w:tab/>
        <w:t>BDI/KEN/UGA/RRW/SSD/TZA/104A21A1/1</w:t>
      </w:r>
    </w:p>
    <w:p w14:paraId="25FC52EB" w14:textId="77777777" w:rsidR="00DC48DB" w:rsidRPr="00F116C7" w:rsidRDefault="00701B36" w:rsidP="00242C6A">
      <w:pPr>
        <w:pStyle w:val="Volumetitle"/>
        <w:rPr>
          <w:bCs/>
        </w:rPr>
      </w:pPr>
      <w:bookmarkStart w:id="6" w:name="_Toc455752901"/>
      <w:bookmarkStart w:id="7" w:name="_Toc455756140"/>
      <w:r w:rsidRPr="00F116C7">
        <w:rPr>
          <w:bCs/>
        </w:rPr>
        <w:t>ARTICLES</w:t>
      </w:r>
      <w:bookmarkEnd w:id="6"/>
      <w:bookmarkEnd w:id="7"/>
    </w:p>
    <w:p w14:paraId="5C05C0C2" w14:textId="03DCE63A" w:rsidR="004448FD" w:rsidRPr="0078451D" w:rsidRDefault="00701B36" w:rsidP="00242C6A">
      <w:pPr>
        <w:pStyle w:val="Reasons"/>
        <w:rPr>
          <w:lang w:val="fr-CH"/>
        </w:rPr>
      </w:pPr>
      <w:r w:rsidRPr="0078451D">
        <w:rPr>
          <w:b/>
          <w:lang w:val="fr-CH"/>
        </w:rPr>
        <w:t>Motifs:</w:t>
      </w:r>
      <w:r w:rsidRPr="0078451D">
        <w:rPr>
          <w:lang w:val="fr-CH"/>
        </w:rPr>
        <w:tab/>
      </w:r>
      <w:r w:rsidR="0078451D" w:rsidRPr="0078451D">
        <w:rPr>
          <w:lang w:val="fr-CH"/>
        </w:rPr>
        <w:t>En raison des caractéristiques de système uniques et variables et des scénarios de déploiement des composantes satellite et de Terre des IMT dans des zones géographiques adjacentes dans différents pays, des discussions bilatérales ou multilatérales entre les administrations affectées offrent une plus grande souplesse opérationnelle, tout en assurant la coexistence entre les deux composantes déployées dans différents pays.</w:t>
      </w:r>
      <w:r w:rsidR="004421CF">
        <w:rPr>
          <w:lang w:val="fr-CH"/>
        </w:rPr>
        <w:t xml:space="preserve"> En outre, </w:t>
      </w:r>
      <w:r w:rsidR="004421CF" w:rsidRPr="004421CF">
        <w:rPr>
          <w:lang w:val="fr-CH"/>
        </w:rPr>
        <w:t>des mesures réglementaires ou d'éventuelles modifications apportées au R</w:t>
      </w:r>
      <w:r w:rsidR="004421CF">
        <w:rPr>
          <w:lang w:val="fr-CH"/>
        </w:rPr>
        <w:t xml:space="preserve">R </w:t>
      </w:r>
      <w:r w:rsidR="004421CF" w:rsidRPr="004421CF">
        <w:rPr>
          <w:lang w:val="fr-CH"/>
        </w:rPr>
        <w:t xml:space="preserve">ne relèvent pas </w:t>
      </w:r>
      <w:r w:rsidR="00242C6A">
        <w:rPr>
          <w:lang w:val="fr-CH"/>
        </w:rPr>
        <w:t xml:space="preserve">de la question 9.1.1 </w:t>
      </w:r>
      <w:r w:rsidR="004421CF" w:rsidRPr="004421CF">
        <w:rPr>
          <w:lang w:val="fr-CH"/>
        </w:rPr>
        <w:t>du point 9.1 de l'ordre du jour de la CMR-19</w:t>
      </w:r>
      <w:r w:rsidR="004421CF">
        <w:rPr>
          <w:lang w:val="fr-CH"/>
        </w:rPr>
        <w:t>.</w:t>
      </w:r>
    </w:p>
    <w:p w14:paraId="63C0C5F0" w14:textId="77777777" w:rsidR="004448FD" w:rsidRPr="003625B1" w:rsidRDefault="00701B36" w:rsidP="00242C6A">
      <w:pPr>
        <w:pStyle w:val="Proposal"/>
        <w:rPr>
          <w:lang w:val="en-US"/>
        </w:rPr>
      </w:pPr>
      <w:r w:rsidRPr="003625B1">
        <w:rPr>
          <w:u w:val="single"/>
          <w:lang w:val="en-US"/>
        </w:rPr>
        <w:t>NOC</w:t>
      </w:r>
      <w:r w:rsidRPr="003625B1">
        <w:rPr>
          <w:lang w:val="en-US"/>
        </w:rPr>
        <w:tab/>
        <w:t>BDI/KEN/UGA/RRW/SSD/TZA/104A21A1/2</w:t>
      </w:r>
    </w:p>
    <w:p w14:paraId="757684DE" w14:textId="77777777" w:rsidR="00D5115B" w:rsidRPr="009B1DC0" w:rsidRDefault="00701B36" w:rsidP="00242C6A">
      <w:pPr>
        <w:pStyle w:val="Volumetitle"/>
      </w:pPr>
      <w:bookmarkStart w:id="8" w:name="_Toc327956568"/>
      <w:r w:rsidRPr="00D5115B">
        <w:t>APPENDICES</w:t>
      </w:r>
      <w:bookmarkEnd w:id="8"/>
    </w:p>
    <w:p w14:paraId="3907F7AC" w14:textId="77777777" w:rsidR="00F93308" w:rsidRDefault="00701B36" w:rsidP="00411C49">
      <w:pPr>
        <w:pStyle w:val="Reasons"/>
      </w:pPr>
      <w:r w:rsidRPr="0078451D">
        <w:rPr>
          <w:b/>
          <w:lang w:val="fr-CH"/>
        </w:rPr>
        <w:t>Motifs:</w:t>
      </w:r>
      <w:r w:rsidRPr="0078451D">
        <w:rPr>
          <w:lang w:val="fr-CH"/>
        </w:rPr>
        <w:tab/>
      </w:r>
      <w:r w:rsidR="0078451D" w:rsidRPr="0078451D">
        <w:rPr>
          <w:lang w:val="fr-CH"/>
        </w:rPr>
        <w:t>En raison des caractéristiques de système uniques et variables et des scénarios de déploiement des composantes satellite et de Terre des IMT dans des zones géographiques adjacentes dans différents pays, des discussions bilatérales ou multilatérales entre les administrations affectées offrent une plus grande souplesse opérationnelle, tout en assurant la coexistence entre les deux composantes déployées dans différents pays.</w:t>
      </w:r>
      <w:r w:rsidR="004421CF" w:rsidRPr="004421CF">
        <w:t xml:space="preserve"> </w:t>
      </w:r>
      <w:r w:rsidR="004421CF" w:rsidRPr="004421CF">
        <w:rPr>
          <w:lang w:val="fr-CH"/>
        </w:rPr>
        <w:t xml:space="preserve">En outre, des mesures réglementaires ou d'éventuelles modifications apportées au RR ne relèvent pas </w:t>
      </w:r>
      <w:r w:rsidR="00A4230B">
        <w:rPr>
          <w:lang w:val="fr-CH"/>
        </w:rPr>
        <w:t xml:space="preserve">de la question 9.1.1 </w:t>
      </w:r>
      <w:r w:rsidR="004421CF" w:rsidRPr="004421CF">
        <w:rPr>
          <w:lang w:val="fr-CH"/>
        </w:rPr>
        <w:t>du point 9.1 de l'ordre du jour de la CMR-19</w:t>
      </w:r>
      <w:r w:rsidR="004421CF">
        <w:rPr>
          <w:lang w:val="fr-CH"/>
        </w:rPr>
        <w:t>.</w:t>
      </w:r>
    </w:p>
    <w:p w14:paraId="0CAC2F9C" w14:textId="77777777" w:rsidR="00F93308" w:rsidRDefault="00F93308" w:rsidP="00F93308"/>
    <w:p w14:paraId="01B55BA1" w14:textId="2588D04F" w:rsidR="00F93308" w:rsidRDefault="00F93308">
      <w:pPr>
        <w:jc w:val="center"/>
      </w:pPr>
      <w:r>
        <w:t>______________</w:t>
      </w:r>
    </w:p>
    <w:sectPr w:rsidR="00F93308">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4B9D7" w14:textId="77777777" w:rsidR="0070076C" w:rsidRDefault="0070076C">
      <w:r>
        <w:separator/>
      </w:r>
    </w:p>
  </w:endnote>
  <w:endnote w:type="continuationSeparator" w:id="0">
    <w:p w14:paraId="2BD8FC04"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0AE5A" w14:textId="41E94965" w:rsidR="00936D25" w:rsidRDefault="00936D25">
    <w:pPr>
      <w:rPr>
        <w:lang w:val="en-US"/>
      </w:rPr>
    </w:pPr>
    <w:r>
      <w:fldChar w:fldCharType="begin"/>
    </w:r>
    <w:r>
      <w:rPr>
        <w:lang w:val="en-US"/>
      </w:rPr>
      <w:instrText xml:space="preserve"> FILENAME \p  \* MERGEFORMAT </w:instrText>
    </w:r>
    <w:r>
      <w:fldChar w:fldCharType="separate"/>
    </w:r>
    <w:r w:rsidR="00053E78">
      <w:rPr>
        <w:noProof/>
        <w:lang w:val="en-US"/>
      </w:rPr>
      <w:t>P:\FRA\ITU-R\CONF-R\CMR19\100\104ADD21ADD01F.docx</w:t>
    </w:r>
    <w:r>
      <w:fldChar w:fldCharType="end"/>
    </w:r>
    <w:r>
      <w:rPr>
        <w:lang w:val="en-US"/>
      </w:rPr>
      <w:tab/>
    </w:r>
    <w:r>
      <w:fldChar w:fldCharType="begin"/>
    </w:r>
    <w:r>
      <w:instrText xml:space="preserve"> SAVEDATE \@ DD.MM.YY </w:instrText>
    </w:r>
    <w:r>
      <w:fldChar w:fldCharType="separate"/>
    </w:r>
    <w:r w:rsidR="00053E78">
      <w:rPr>
        <w:noProof/>
      </w:rPr>
      <w:t>22.10.19</w:t>
    </w:r>
    <w:r>
      <w:fldChar w:fldCharType="end"/>
    </w:r>
    <w:r>
      <w:rPr>
        <w:lang w:val="en-US"/>
      </w:rPr>
      <w:tab/>
    </w:r>
    <w:r>
      <w:fldChar w:fldCharType="begin"/>
    </w:r>
    <w:r>
      <w:instrText xml:space="preserve"> PRINTDATE \@ DD.MM.YY </w:instrText>
    </w:r>
    <w:r>
      <w:fldChar w:fldCharType="separate"/>
    </w:r>
    <w:r w:rsidR="00053E78">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88B8A" w14:textId="0DA091A2" w:rsidR="00936D25" w:rsidRPr="007400F3" w:rsidRDefault="00053E78" w:rsidP="00B208A3">
    <w:pPr>
      <w:pStyle w:val="Footer"/>
      <w:rPr>
        <w:lang w:val="en-GB"/>
      </w:rPr>
    </w:pPr>
    <w:r>
      <w:fldChar w:fldCharType="begin"/>
    </w:r>
    <w:r>
      <w:instrText xml:space="preserve"> FILENAME \p  \* MERGEFORMAT </w:instrText>
    </w:r>
    <w:r>
      <w:fldChar w:fldCharType="separate"/>
    </w:r>
    <w:r>
      <w:t>P:\FRA\ITU-R\CONF-R\CMR19\100\104ADD21ADD01F.docx</w:t>
    </w:r>
    <w:r>
      <w:fldChar w:fldCharType="end"/>
    </w:r>
    <w:r w:rsidR="00B208A3">
      <w:t xml:space="preserve"> (462271)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C83F8" w14:textId="635B40D2" w:rsidR="00936D25" w:rsidRDefault="00B208A3" w:rsidP="007400F3">
    <w:pPr>
      <w:pStyle w:val="Footer"/>
      <w:rPr>
        <w:lang w:val="en-US"/>
      </w:rPr>
    </w:pPr>
    <w:fldSimple w:instr=" FILENAME \p  \* MERGEFORMAT ">
      <w:r w:rsidR="00053E78">
        <w:t>P:\FRA\ITU-R\CONF-R\CMR19\100\104ADD21ADD01F.docx</w:t>
      </w:r>
    </w:fldSimple>
    <w:r>
      <w:t xml:space="preserve"> (462271)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FB12E" w14:textId="77777777" w:rsidR="0070076C" w:rsidRDefault="0070076C">
      <w:r>
        <w:rPr>
          <w:b/>
        </w:rPr>
        <w:t>_______________</w:t>
      </w:r>
    </w:p>
  </w:footnote>
  <w:footnote w:type="continuationSeparator" w:id="0">
    <w:p w14:paraId="4745BD34"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FA88E" w14:textId="78A80684" w:rsidR="004F1F8E" w:rsidRDefault="004F1F8E" w:rsidP="004F1F8E">
    <w:pPr>
      <w:pStyle w:val="Header"/>
    </w:pPr>
    <w:r>
      <w:fldChar w:fldCharType="begin"/>
    </w:r>
    <w:r>
      <w:instrText xml:space="preserve"> PAGE </w:instrText>
    </w:r>
    <w:r>
      <w:fldChar w:fldCharType="separate"/>
    </w:r>
    <w:r w:rsidR="004A4BF3">
      <w:rPr>
        <w:noProof/>
      </w:rPr>
      <w:t>2</w:t>
    </w:r>
    <w:r>
      <w:fldChar w:fldCharType="end"/>
    </w:r>
  </w:p>
  <w:p w14:paraId="2F71FAE5" w14:textId="77777777" w:rsidR="004F1F8E" w:rsidRDefault="004F1F8E" w:rsidP="00FD7AA3">
    <w:pPr>
      <w:pStyle w:val="Header"/>
    </w:pPr>
    <w:r>
      <w:t>CMR1</w:t>
    </w:r>
    <w:r w:rsidR="00FD7AA3">
      <w:t>9</w:t>
    </w:r>
    <w:r>
      <w:t>/</w:t>
    </w:r>
    <w:r w:rsidR="006A4B45">
      <w:t>104(Add.21)(Add.1)-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16752"/>
    <w:rsid w:val="0003522F"/>
    <w:rsid w:val="00047FF0"/>
    <w:rsid w:val="00053E78"/>
    <w:rsid w:val="00063A1F"/>
    <w:rsid w:val="00080E2C"/>
    <w:rsid w:val="00081366"/>
    <w:rsid w:val="000863B3"/>
    <w:rsid w:val="000A4755"/>
    <w:rsid w:val="000A55AE"/>
    <w:rsid w:val="000B2E0C"/>
    <w:rsid w:val="000B39EE"/>
    <w:rsid w:val="000B3D0C"/>
    <w:rsid w:val="00113619"/>
    <w:rsid w:val="001167B9"/>
    <w:rsid w:val="001267A0"/>
    <w:rsid w:val="001367A1"/>
    <w:rsid w:val="0015203F"/>
    <w:rsid w:val="00160C64"/>
    <w:rsid w:val="0018169B"/>
    <w:rsid w:val="0019352B"/>
    <w:rsid w:val="001960D0"/>
    <w:rsid w:val="001A11F6"/>
    <w:rsid w:val="001F17E8"/>
    <w:rsid w:val="001F72E1"/>
    <w:rsid w:val="00204306"/>
    <w:rsid w:val="00231C77"/>
    <w:rsid w:val="00232FD2"/>
    <w:rsid w:val="00242C6A"/>
    <w:rsid w:val="0026554E"/>
    <w:rsid w:val="002A4622"/>
    <w:rsid w:val="002A6F8F"/>
    <w:rsid w:val="002B17E5"/>
    <w:rsid w:val="002C0EBF"/>
    <w:rsid w:val="002C28A4"/>
    <w:rsid w:val="002D7E0A"/>
    <w:rsid w:val="00315AFE"/>
    <w:rsid w:val="003606A6"/>
    <w:rsid w:val="003625B1"/>
    <w:rsid w:val="0036650C"/>
    <w:rsid w:val="00393ACD"/>
    <w:rsid w:val="003A583E"/>
    <w:rsid w:val="003E112B"/>
    <w:rsid w:val="003E1D1C"/>
    <w:rsid w:val="003E7B05"/>
    <w:rsid w:val="003F3719"/>
    <w:rsid w:val="003F6F2D"/>
    <w:rsid w:val="004421CF"/>
    <w:rsid w:val="004448FD"/>
    <w:rsid w:val="00466211"/>
    <w:rsid w:val="00483196"/>
    <w:rsid w:val="004834A9"/>
    <w:rsid w:val="004A4BF3"/>
    <w:rsid w:val="004D01FC"/>
    <w:rsid w:val="004D1392"/>
    <w:rsid w:val="004E28C3"/>
    <w:rsid w:val="004F1F8E"/>
    <w:rsid w:val="00512A32"/>
    <w:rsid w:val="005343DA"/>
    <w:rsid w:val="00546C95"/>
    <w:rsid w:val="00560874"/>
    <w:rsid w:val="00586CF2"/>
    <w:rsid w:val="005A7C75"/>
    <w:rsid w:val="005C3768"/>
    <w:rsid w:val="005C6C3F"/>
    <w:rsid w:val="00613635"/>
    <w:rsid w:val="0062093D"/>
    <w:rsid w:val="00637ECF"/>
    <w:rsid w:val="006411EF"/>
    <w:rsid w:val="006439E8"/>
    <w:rsid w:val="00647B59"/>
    <w:rsid w:val="00690C7B"/>
    <w:rsid w:val="006A4B45"/>
    <w:rsid w:val="006D06D8"/>
    <w:rsid w:val="006D4724"/>
    <w:rsid w:val="006D668E"/>
    <w:rsid w:val="006F5FA2"/>
    <w:rsid w:val="0070076C"/>
    <w:rsid w:val="00701B36"/>
    <w:rsid w:val="00701BAE"/>
    <w:rsid w:val="00721F04"/>
    <w:rsid w:val="00730E95"/>
    <w:rsid w:val="00734972"/>
    <w:rsid w:val="007400F3"/>
    <w:rsid w:val="007426B9"/>
    <w:rsid w:val="00764342"/>
    <w:rsid w:val="00774362"/>
    <w:rsid w:val="0078451D"/>
    <w:rsid w:val="00786598"/>
    <w:rsid w:val="00790C74"/>
    <w:rsid w:val="007A04E8"/>
    <w:rsid w:val="007B2C34"/>
    <w:rsid w:val="00830086"/>
    <w:rsid w:val="00851625"/>
    <w:rsid w:val="00863C0A"/>
    <w:rsid w:val="0088635B"/>
    <w:rsid w:val="008A3120"/>
    <w:rsid w:val="008A4B97"/>
    <w:rsid w:val="008C5B8E"/>
    <w:rsid w:val="008C5DD5"/>
    <w:rsid w:val="008D2459"/>
    <w:rsid w:val="008D41BE"/>
    <w:rsid w:val="008D58D3"/>
    <w:rsid w:val="008E3BC9"/>
    <w:rsid w:val="00923064"/>
    <w:rsid w:val="00930FFD"/>
    <w:rsid w:val="00936D25"/>
    <w:rsid w:val="00941EA5"/>
    <w:rsid w:val="00964700"/>
    <w:rsid w:val="00966C16"/>
    <w:rsid w:val="00976B5D"/>
    <w:rsid w:val="00984B90"/>
    <w:rsid w:val="0098732F"/>
    <w:rsid w:val="009A045F"/>
    <w:rsid w:val="009A6A2B"/>
    <w:rsid w:val="009C7E7C"/>
    <w:rsid w:val="009E367C"/>
    <w:rsid w:val="00A00473"/>
    <w:rsid w:val="00A03C9B"/>
    <w:rsid w:val="00A07EA7"/>
    <w:rsid w:val="00A37105"/>
    <w:rsid w:val="00A4230B"/>
    <w:rsid w:val="00A606C3"/>
    <w:rsid w:val="00A83B09"/>
    <w:rsid w:val="00A84541"/>
    <w:rsid w:val="00AE36A0"/>
    <w:rsid w:val="00B00294"/>
    <w:rsid w:val="00B208A3"/>
    <w:rsid w:val="00B3749C"/>
    <w:rsid w:val="00B64FD0"/>
    <w:rsid w:val="00B767F3"/>
    <w:rsid w:val="00BA5BD0"/>
    <w:rsid w:val="00BB1D82"/>
    <w:rsid w:val="00BD51C5"/>
    <w:rsid w:val="00BF26E7"/>
    <w:rsid w:val="00C3178D"/>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3C19"/>
    <w:rsid w:val="00E049F1"/>
    <w:rsid w:val="00E10C82"/>
    <w:rsid w:val="00E15084"/>
    <w:rsid w:val="00E37A25"/>
    <w:rsid w:val="00E537FF"/>
    <w:rsid w:val="00E6539B"/>
    <w:rsid w:val="00E70A31"/>
    <w:rsid w:val="00E723A7"/>
    <w:rsid w:val="00EA3F38"/>
    <w:rsid w:val="00EA5AB6"/>
    <w:rsid w:val="00EC7615"/>
    <w:rsid w:val="00ED16AA"/>
    <w:rsid w:val="00ED6B8D"/>
    <w:rsid w:val="00ED76E0"/>
    <w:rsid w:val="00EE3D7B"/>
    <w:rsid w:val="00EF662E"/>
    <w:rsid w:val="00F10064"/>
    <w:rsid w:val="00F148F1"/>
    <w:rsid w:val="00F711A7"/>
    <w:rsid w:val="00F93308"/>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BF1D6B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R16-WRC19-C-0104!A21-A1!MSW-F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BB578-0ED6-4994-8BDF-A831AC686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E9DCF0-94DA-489E-B854-CD01C2A98683}">
  <ds:schemaRefs>
    <ds:schemaRef ds:uri="http://schemas.microsoft.com/sharepoint/v3/contenttype/forms"/>
  </ds:schemaRefs>
</ds:datastoreItem>
</file>

<file path=customXml/itemProps3.xml><?xml version="1.0" encoding="utf-8"?>
<ds:datastoreItem xmlns:ds="http://schemas.openxmlformats.org/officeDocument/2006/customXml" ds:itemID="{250BF166-914D-45B2-83D7-54C97C38381C}">
  <ds:schemaRefs>
    <ds:schemaRef ds:uri="http://www.w3.org/XML/1998/namespace"/>
    <ds:schemaRef ds:uri="32a1a8c5-2265-4ebc-b7a0-2071e2c5c9bb"/>
    <ds:schemaRef ds:uri="http://schemas.microsoft.com/office/2006/metadata/properties"/>
    <ds:schemaRef ds:uri="http://purl.org/dc/terms/"/>
    <ds:schemaRef ds:uri="996b2e75-67fd-4955-a3b0-5ab9934cb50b"/>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7E5DAC2C-50EA-415A-B9CD-11F24539E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1074</Words>
  <Characters>5856</Characters>
  <Application>Microsoft Office Word</Application>
  <DocSecurity>0</DocSecurity>
  <Lines>104</Lines>
  <Paragraphs>34</Paragraphs>
  <ScaleCrop>false</ScaleCrop>
  <HeadingPairs>
    <vt:vector size="2" baseType="variant">
      <vt:variant>
        <vt:lpstr>Title</vt:lpstr>
      </vt:variant>
      <vt:variant>
        <vt:i4>1</vt:i4>
      </vt:variant>
    </vt:vector>
  </HeadingPairs>
  <TitlesOfParts>
    <vt:vector size="1" baseType="lpstr">
      <vt:lpstr>R16-WRC19-C-0104!A21-A1!MSW-F</vt:lpstr>
    </vt:vector>
  </TitlesOfParts>
  <Manager>Secrétariat général - Pool</Manager>
  <Company>Union internationale des télécommunications (UIT)</Company>
  <LinksUpToDate>false</LinksUpToDate>
  <CharactersWithSpaces>6896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R16-WRC19-C-0104!A21-A1!MSW-F</dc:title>
  <dc:subject>Conférence mondiale des radiocommunications - 2019</dc:subject>
  <dc:creator>Documents Proposals Manager (DPM)</dc:creator>
  <cp:keywords>DPM_v2019.10.14.1_prod</cp:keywords>
  <dc:description/>
  <cp:lastModifiedBy>French</cp:lastModifiedBy>
  <cp:revision>18</cp:revision>
  <cp:lastPrinted>2019-10-22T12:06:00Z</cp:lastPrinted>
  <dcterms:created xsi:type="dcterms:W3CDTF">2019-10-22T09:49:00Z</dcterms:created>
  <dcterms:modified xsi:type="dcterms:W3CDTF">2019-10-22T12:06:00Z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