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9D183A" w14:paraId="0AB7E358" w14:textId="77777777" w:rsidTr="0050008E">
        <w:trPr>
          <w:cantSplit/>
        </w:trPr>
        <w:tc>
          <w:tcPr>
            <w:tcW w:w="6911" w:type="dxa"/>
          </w:tcPr>
          <w:p w14:paraId="76CCFACB" w14:textId="77777777" w:rsidR="0090121B" w:rsidRPr="009D183A" w:rsidRDefault="005D46FB" w:rsidP="009D183A">
            <w:pPr>
              <w:spacing w:before="400" w:after="48"/>
              <w:rPr>
                <w:rFonts w:ascii="Verdana" w:hAnsi="Verdana"/>
                <w:position w:val="6"/>
              </w:rPr>
            </w:pPr>
            <w:r w:rsidRPr="009D183A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9D183A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9D183A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9D183A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9D183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9D183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9D183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9D183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9D183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9D183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9D183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9D183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9D183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30BE2C57" w14:textId="77777777" w:rsidR="0090121B" w:rsidRPr="009D183A" w:rsidRDefault="00DA71A3" w:rsidP="009D183A">
            <w:pPr>
              <w:spacing w:before="0"/>
              <w:jc w:val="right"/>
            </w:pPr>
            <w:bookmarkStart w:id="0" w:name="ditulogo"/>
            <w:bookmarkEnd w:id="0"/>
            <w:r w:rsidRPr="009D183A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6A96CC8A" wp14:editId="3631AC84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9D183A" w14:paraId="60CBF35E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B99635C" w14:textId="77777777" w:rsidR="0090121B" w:rsidRPr="009D183A" w:rsidRDefault="0090121B" w:rsidP="009D183A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685A9B2" w14:textId="77777777" w:rsidR="0090121B" w:rsidRPr="009D183A" w:rsidRDefault="0090121B" w:rsidP="009D183A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9D183A" w14:paraId="0BC5826A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B4457F6" w14:textId="77777777" w:rsidR="0090121B" w:rsidRPr="009D183A" w:rsidRDefault="0090121B" w:rsidP="009D183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7EF20AD" w14:textId="77777777" w:rsidR="0090121B" w:rsidRPr="009D183A" w:rsidRDefault="0090121B" w:rsidP="009D183A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9D183A" w14:paraId="709DA80F" w14:textId="77777777" w:rsidTr="0090121B">
        <w:trPr>
          <w:cantSplit/>
        </w:trPr>
        <w:tc>
          <w:tcPr>
            <w:tcW w:w="6911" w:type="dxa"/>
          </w:tcPr>
          <w:p w14:paraId="3328CFC3" w14:textId="77777777" w:rsidR="0090121B" w:rsidRPr="009D183A" w:rsidRDefault="001E7D42" w:rsidP="009D183A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9D183A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3FB7289B" w14:textId="77777777" w:rsidR="0090121B" w:rsidRPr="009D183A" w:rsidRDefault="00AE658F" w:rsidP="009D183A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9D183A">
              <w:rPr>
                <w:rFonts w:ascii="Verdana" w:hAnsi="Verdana"/>
                <w:b/>
                <w:sz w:val="18"/>
                <w:szCs w:val="18"/>
              </w:rPr>
              <w:t>Documento 97</w:t>
            </w:r>
            <w:r w:rsidR="0090121B" w:rsidRPr="009D183A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9D183A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1"/>
      <w:tr w:rsidR="000A5B9A" w:rsidRPr="009D183A" w14:paraId="32F9A887" w14:textId="77777777" w:rsidTr="0090121B">
        <w:trPr>
          <w:cantSplit/>
        </w:trPr>
        <w:tc>
          <w:tcPr>
            <w:tcW w:w="6911" w:type="dxa"/>
          </w:tcPr>
          <w:p w14:paraId="6B453AE9" w14:textId="77777777" w:rsidR="000A5B9A" w:rsidRPr="009D183A" w:rsidRDefault="000A5B9A" w:rsidP="009D183A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59F1F966" w14:textId="77777777" w:rsidR="000A5B9A" w:rsidRPr="009D183A" w:rsidRDefault="000A5B9A" w:rsidP="009D183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D183A">
              <w:rPr>
                <w:rFonts w:ascii="Verdana" w:hAnsi="Verdana"/>
                <w:b/>
                <w:sz w:val="18"/>
                <w:szCs w:val="18"/>
              </w:rPr>
              <w:t>10 de octubre de 2019</w:t>
            </w:r>
          </w:p>
        </w:tc>
      </w:tr>
      <w:tr w:rsidR="000A5B9A" w:rsidRPr="009D183A" w14:paraId="1DA4A817" w14:textId="77777777" w:rsidTr="0090121B">
        <w:trPr>
          <w:cantSplit/>
        </w:trPr>
        <w:tc>
          <w:tcPr>
            <w:tcW w:w="6911" w:type="dxa"/>
          </w:tcPr>
          <w:p w14:paraId="2EC32127" w14:textId="77777777" w:rsidR="000A5B9A" w:rsidRPr="009D183A" w:rsidRDefault="000A5B9A" w:rsidP="009D183A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0EDBB468" w14:textId="77777777" w:rsidR="000A5B9A" w:rsidRPr="009D183A" w:rsidRDefault="000A5B9A" w:rsidP="009D183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D183A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9D183A" w14:paraId="054DC53E" w14:textId="77777777" w:rsidTr="006744FC">
        <w:trPr>
          <w:cantSplit/>
        </w:trPr>
        <w:tc>
          <w:tcPr>
            <w:tcW w:w="10031" w:type="dxa"/>
            <w:gridSpan w:val="2"/>
          </w:tcPr>
          <w:p w14:paraId="50D13792" w14:textId="77777777" w:rsidR="000A5B9A" w:rsidRPr="009D183A" w:rsidRDefault="000A5B9A" w:rsidP="009D183A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9D183A" w14:paraId="4561431F" w14:textId="77777777" w:rsidTr="0050008E">
        <w:trPr>
          <w:cantSplit/>
        </w:trPr>
        <w:tc>
          <w:tcPr>
            <w:tcW w:w="10031" w:type="dxa"/>
            <w:gridSpan w:val="2"/>
          </w:tcPr>
          <w:p w14:paraId="13948FE7" w14:textId="665E9909" w:rsidR="000A5B9A" w:rsidRPr="009D183A" w:rsidRDefault="000A5B9A" w:rsidP="009D183A">
            <w:pPr>
              <w:pStyle w:val="Source"/>
            </w:pPr>
            <w:bookmarkStart w:id="2" w:name="dsource" w:colFirst="0" w:colLast="0"/>
            <w:r w:rsidRPr="009D183A">
              <w:t>Angola (República de)/Botswana (República de)/Burundi (República de)/</w:t>
            </w:r>
            <w:r w:rsidR="00D65E1E">
              <w:br/>
            </w:r>
            <w:r w:rsidRPr="009D183A">
              <w:t>Comoras (Unión de las)/</w:t>
            </w:r>
            <w:r w:rsidR="00D65E1E" w:rsidRPr="009D183A">
              <w:t>Eswatini (Reino de)/</w:t>
            </w:r>
            <w:r w:rsidRPr="009D183A">
              <w:t>Kenya (República de)/Lesotho (Reino de)/Madagascar (República de)/Malawi/Mauricio (República de)/</w:t>
            </w:r>
            <w:r w:rsidR="00D65E1E">
              <w:br/>
            </w:r>
            <w:r w:rsidRPr="009D183A">
              <w:t>Mozambique (República de)/Namibia (República de)/Uganda (República de)</w:t>
            </w:r>
            <w:r w:rsidR="00D65E1E">
              <w:br/>
            </w:r>
            <w:r w:rsidRPr="009D183A">
              <w:t>/República Democrática del Congo/Rwanda (República de)/Seychelles</w:t>
            </w:r>
            <w:r w:rsidR="00D65E1E">
              <w:br/>
            </w:r>
            <w:r w:rsidRPr="009D183A">
              <w:t>(República de)/Sudán del Sur (República de)/Sudafricana (República)</w:t>
            </w:r>
            <w:r w:rsidR="00D03AE4" w:rsidRPr="009D183A">
              <w:t>/</w:t>
            </w:r>
            <w:r w:rsidRPr="009D183A">
              <w:t>Tanzanía</w:t>
            </w:r>
            <w:r w:rsidR="00D65E1E">
              <w:t xml:space="preserve"> </w:t>
            </w:r>
            <w:r w:rsidRPr="009D183A">
              <w:t>(República Unida de)/Zambia (República de)/Zimbabwe (República de)</w:t>
            </w:r>
          </w:p>
        </w:tc>
      </w:tr>
      <w:tr w:rsidR="000A5B9A" w:rsidRPr="009D183A" w14:paraId="4C5FC908" w14:textId="77777777" w:rsidTr="0050008E">
        <w:trPr>
          <w:cantSplit/>
        </w:trPr>
        <w:tc>
          <w:tcPr>
            <w:tcW w:w="10031" w:type="dxa"/>
            <w:gridSpan w:val="2"/>
          </w:tcPr>
          <w:p w14:paraId="3F58CA90" w14:textId="77777777" w:rsidR="000A5B9A" w:rsidRPr="009D183A" w:rsidRDefault="000A5B9A" w:rsidP="009D183A">
            <w:pPr>
              <w:pStyle w:val="Title1"/>
            </w:pPr>
            <w:bookmarkStart w:id="3" w:name="dtitle1" w:colFirst="0" w:colLast="0"/>
            <w:bookmarkEnd w:id="2"/>
            <w:r w:rsidRPr="009D183A">
              <w:t>Propuestas para los trabajos de la Conferencia</w:t>
            </w:r>
          </w:p>
        </w:tc>
      </w:tr>
      <w:tr w:rsidR="000A5B9A" w:rsidRPr="009D183A" w14:paraId="2DB37AE2" w14:textId="77777777" w:rsidTr="0050008E">
        <w:trPr>
          <w:cantSplit/>
        </w:trPr>
        <w:tc>
          <w:tcPr>
            <w:tcW w:w="10031" w:type="dxa"/>
            <w:gridSpan w:val="2"/>
          </w:tcPr>
          <w:p w14:paraId="11B02621" w14:textId="1BF75369" w:rsidR="000A5B9A" w:rsidRPr="009D183A" w:rsidRDefault="00DC469F" w:rsidP="009D183A">
            <w:pPr>
              <w:pStyle w:val="Title2"/>
            </w:pPr>
            <w:bookmarkStart w:id="4" w:name="dtitle2" w:colFirst="0" w:colLast="0"/>
            <w:bookmarkEnd w:id="3"/>
            <w:r w:rsidRPr="009D183A">
              <w:t>Estudios sobre asuntos relacionados con las frecuencias para la identificación de las telecomunicaciones móviles internacionales en la</w:t>
            </w:r>
            <w:r w:rsidR="00361FC5" w:rsidRPr="009D183A">
              <w:t>s bandas de la</w:t>
            </w:r>
            <w:r w:rsidRPr="009D183A">
              <w:t xml:space="preserve"> gama</w:t>
            </w:r>
            <w:r w:rsidR="00D03AE4" w:rsidRPr="009D183A">
              <w:t xml:space="preserve"> 4-18 GHZ</w:t>
            </w:r>
          </w:p>
        </w:tc>
      </w:tr>
      <w:tr w:rsidR="000A5B9A" w:rsidRPr="009D183A" w14:paraId="51FD037B" w14:textId="77777777" w:rsidTr="0050008E">
        <w:trPr>
          <w:cantSplit/>
        </w:trPr>
        <w:tc>
          <w:tcPr>
            <w:tcW w:w="10031" w:type="dxa"/>
            <w:gridSpan w:val="2"/>
          </w:tcPr>
          <w:p w14:paraId="597E0119" w14:textId="77777777" w:rsidR="000A5B9A" w:rsidRPr="009D183A" w:rsidRDefault="000A5B9A" w:rsidP="009D183A">
            <w:pPr>
              <w:pStyle w:val="Agendaitem"/>
            </w:pPr>
            <w:bookmarkStart w:id="5" w:name="dtitle3" w:colFirst="0" w:colLast="0"/>
            <w:bookmarkEnd w:id="4"/>
            <w:r w:rsidRPr="009D183A">
              <w:t>Punto 10 del orden del día</w:t>
            </w:r>
          </w:p>
        </w:tc>
      </w:tr>
    </w:tbl>
    <w:bookmarkEnd w:id="5"/>
    <w:p w14:paraId="28671256" w14:textId="7F9A50DA" w:rsidR="00363A65" w:rsidRPr="009D183A" w:rsidRDefault="009A7B4D" w:rsidP="009D183A">
      <w:r w:rsidRPr="009D183A">
        <w:t>10</w:t>
      </w:r>
      <w:r w:rsidRPr="009D183A">
        <w:tab/>
        <w:t>recomendar al Consejo los puntos que han de incluirse en el orden del día de la próxima CMR, y formular opiniones sobre el orden del día preliminar de la conferencia subsiguiente y sobre los posibles órdenes del día de futuras conferencias,</w:t>
      </w:r>
    </w:p>
    <w:p w14:paraId="42624D75" w14:textId="7965F0E8" w:rsidR="00D03AE4" w:rsidRPr="009D183A" w:rsidRDefault="00D03AE4" w:rsidP="009D183A">
      <w:pPr>
        <w:pStyle w:val="Heading1"/>
      </w:pPr>
      <w:r w:rsidRPr="009D183A">
        <w:t>1</w:t>
      </w:r>
      <w:r w:rsidRPr="009D183A">
        <w:tab/>
        <w:t>Introducción</w:t>
      </w:r>
    </w:p>
    <w:p w14:paraId="24159D9D" w14:textId="49C49045" w:rsidR="00FE2049" w:rsidRPr="009D183A" w:rsidRDefault="00FE2049" w:rsidP="009D183A">
      <w:r w:rsidRPr="009D183A">
        <w:t>La informaci</w:t>
      </w:r>
      <w:r w:rsidR="008468C3" w:rsidRPr="009D183A">
        <w:t>ón es el motor del mundo actual. L</w:t>
      </w:r>
      <w:r w:rsidRPr="009D183A">
        <w:t xml:space="preserve">as oportunidades creadas gracias al desarrollo de las tecnologías de la información y la comunicación (TIC) han sido uno de los principales factores determinantes del modo de evolución de la sociedad en los últimos decenios. </w:t>
      </w:r>
      <w:r w:rsidR="004F7EF2" w:rsidRPr="009D183A">
        <w:t xml:space="preserve">El uso de las nuevas tecnologías, incluidas las </w:t>
      </w:r>
      <w:r w:rsidRPr="009D183A">
        <w:t xml:space="preserve">IMT-2020, </w:t>
      </w:r>
      <w:r w:rsidR="004F7EF2" w:rsidRPr="009D183A">
        <w:t xml:space="preserve">aumentará la productividad, creará nuevas oportunidades y generará nuevos servicios y empleo, todo lo cual puede redundar en </w:t>
      </w:r>
      <w:r w:rsidR="003D5EB9" w:rsidRPr="009D183A">
        <w:t>el</w:t>
      </w:r>
      <w:r w:rsidR="004F7EF2" w:rsidRPr="009D183A">
        <w:t xml:space="preserve"> bienestar</w:t>
      </w:r>
      <w:r w:rsidR="003D5EB9" w:rsidRPr="009D183A">
        <w:t xml:space="preserve"> y la</w:t>
      </w:r>
      <w:r w:rsidR="004F7EF2" w:rsidRPr="009D183A">
        <w:t xml:space="preserve"> integración de la sociedad</w:t>
      </w:r>
      <w:r w:rsidRPr="009D183A">
        <w:t>.</w:t>
      </w:r>
    </w:p>
    <w:p w14:paraId="014071E6" w14:textId="6560ED14" w:rsidR="00FE2049" w:rsidRPr="009D183A" w:rsidRDefault="00FE2049" w:rsidP="009D183A">
      <w:r w:rsidRPr="009D183A">
        <w:t xml:space="preserve">Los sistemas IMT </w:t>
      </w:r>
      <w:r w:rsidR="003D5EB9" w:rsidRPr="009D183A">
        <w:t xml:space="preserve">soportan </w:t>
      </w:r>
      <w:r w:rsidRPr="009D183A">
        <w:t>diversas posibilidades de utilización y aplicaciones como las comunicaciones móviles de banda ancha mejoradas (</w:t>
      </w:r>
      <w:proofErr w:type="spellStart"/>
      <w:r w:rsidRPr="009D183A">
        <w:t>eMBB</w:t>
      </w:r>
      <w:proofErr w:type="spellEnd"/>
      <w:r w:rsidRPr="009D183A">
        <w:t>), las comunicaciones masivas tipo máquina (</w:t>
      </w:r>
      <w:proofErr w:type="spellStart"/>
      <w:r w:rsidRPr="009D183A">
        <w:t>mMTC</w:t>
      </w:r>
      <w:proofErr w:type="spellEnd"/>
      <w:r w:rsidRPr="009D183A">
        <w:t>) y las comunicaciones ultrafiables y de baja latencia</w:t>
      </w:r>
      <w:r w:rsidRPr="009D183A">
        <w:rPr>
          <w:b/>
        </w:rPr>
        <w:t xml:space="preserve"> </w:t>
      </w:r>
      <w:r w:rsidRPr="009D183A">
        <w:t xml:space="preserve">(URLLC). </w:t>
      </w:r>
      <w:r w:rsidR="003D5EB9" w:rsidRPr="009D183A">
        <w:t xml:space="preserve">Las aplicaciones basadas en las IMT-2020 han ido abarcando nuevos segmentos de mercado, en particular las redes inteligentes, la cibersanidad, los sistemas inteligentes de transporte (STI), el control del tráfico y la seguridad. </w:t>
      </w:r>
      <w:r w:rsidRPr="009D183A">
        <w:t>Habida cuenta del ritmo de comercialización de las IMT</w:t>
      </w:r>
      <w:r w:rsidRPr="009D183A">
        <w:noBreakHyphen/>
        <w:t>2020 a escala mundial, la demanda de mercado de servicios y aplicaciones de las IMT será cada vez mayor</w:t>
      </w:r>
      <w:r w:rsidR="00AF7094" w:rsidRPr="009D183A">
        <w:t xml:space="preserve"> y</w:t>
      </w:r>
      <w:r w:rsidRPr="009D183A">
        <w:t xml:space="preserve"> se necesitará más espectro para facilitar los nuevos tipos de aplicaciones de las IMT</w:t>
      </w:r>
      <w:r w:rsidRPr="009D183A">
        <w:noBreakHyphen/>
        <w:t>2020, a tenor del aumento de la capacidad de red a lo largo de los próximos años.</w:t>
      </w:r>
    </w:p>
    <w:p w14:paraId="190B1689" w14:textId="04BD2EDD" w:rsidR="00FE2049" w:rsidRPr="009D183A" w:rsidRDefault="009E6F14" w:rsidP="009D183A">
      <w:pPr>
        <w:rPr>
          <w:lang w:eastAsia="zh-CN"/>
        </w:rPr>
      </w:pPr>
      <w:bookmarkStart w:id="6" w:name="OLE_LINK34"/>
      <w:bookmarkStart w:id="7" w:name="OLE_LINK33"/>
      <w:r w:rsidRPr="009D183A">
        <w:rPr>
          <w:lang w:eastAsia="zh-CN"/>
        </w:rPr>
        <w:lastRenderedPageBreak/>
        <w:t>L</w:t>
      </w:r>
      <w:r w:rsidR="0072530D" w:rsidRPr="009D183A">
        <w:rPr>
          <w:lang w:eastAsia="zh-CN"/>
        </w:rPr>
        <w:t xml:space="preserve">a armonización del espectro de las IMT a escala mundial </w:t>
      </w:r>
      <w:r w:rsidRPr="009D183A">
        <w:rPr>
          <w:lang w:eastAsia="zh-CN"/>
        </w:rPr>
        <w:t xml:space="preserve">es esencial para las economías de escala, la itinerancia y la interoperabilidad, así como para la coexistencia con otros servicios, que es uno de los objetivos </w:t>
      </w:r>
      <w:r w:rsidR="00602AA4" w:rsidRPr="009D183A">
        <w:rPr>
          <w:lang w:eastAsia="zh-CN"/>
        </w:rPr>
        <w:t>que persigue el UIT-R mediante la identificación de espectro para las IMT además de la atribución al servicio móvil</w:t>
      </w:r>
      <w:r w:rsidR="00FE2049" w:rsidRPr="009D183A">
        <w:rPr>
          <w:lang w:eastAsia="zh-CN"/>
        </w:rPr>
        <w:t>.</w:t>
      </w:r>
      <w:bookmarkEnd w:id="6"/>
      <w:bookmarkEnd w:id="7"/>
    </w:p>
    <w:p w14:paraId="596C325A" w14:textId="28CADC26" w:rsidR="00FE2049" w:rsidRPr="009D183A" w:rsidRDefault="00A11006" w:rsidP="009D183A">
      <w:pPr>
        <w:rPr>
          <w:lang w:eastAsia="zh-CN"/>
        </w:rPr>
      </w:pPr>
      <w:r w:rsidRPr="009D183A">
        <w:rPr>
          <w:lang w:eastAsia="zh-CN"/>
        </w:rPr>
        <w:t xml:space="preserve">Las bandas de ondas milimétricas en el marco del punto </w:t>
      </w:r>
      <w:r w:rsidR="00FE2049" w:rsidRPr="009D183A">
        <w:rPr>
          <w:lang w:eastAsia="zh-CN"/>
        </w:rPr>
        <w:t xml:space="preserve">1.13 </w:t>
      </w:r>
      <w:r w:rsidRPr="009D183A">
        <w:rPr>
          <w:lang w:eastAsia="zh-CN"/>
        </w:rPr>
        <w:t>del orden del día están llamadas a ser las bandas fundamentales para la prestación de servicios</w:t>
      </w:r>
      <w:r w:rsidRPr="009D183A">
        <w:t xml:space="preserve"> 5G </w:t>
      </w:r>
      <w:r w:rsidRPr="009D183A">
        <w:rPr>
          <w:lang w:eastAsia="zh-CN"/>
        </w:rPr>
        <w:t>de ultraalta velocidad y alta capacidad</w:t>
      </w:r>
      <w:r w:rsidR="00FE2049" w:rsidRPr="009D183A">
        <w:rPr>
          <w:lang w:eastAsia="zh-CN"/>
        </w:rPr>
        <w:t xml:space="preserve">. </w:t>
      </w:r>
      <w:r w:rsidR="00A720DE" w:rsidRPr="009D183A">
        <w:rPr>
          <w:lang w:eastAsia="zh-CN"/>
        </w:rPr>
        <w:t>Está previsto que l</w:t>
      </w:r>
      <w:r w:rsidRPr="009D183A">
        <w:rPr>
          <w:lang w:eastAsia="zh-CN"/>
        </w:rPr>
        <w:t>as redes</w:t>
      </w:r>
      <w:r w:rsidR="00FE2049" w:rsidRPr="009D183A">
        <w:rPr>
          <w:lang w:eastAsia="zh-CN"/>
        </w:rPr>
        <w:t xml:space="preserve"> 5G </w:t>
      </w:r>
      <w:r w:rsidRPr="009D183A">
        <w:rPr>
          <w:lang w:eastAsia="zh-CN"/>
        </w:rPr>
        <w:t xml:space="preserve">en bandas de ondas milimétricas se </w:t>
      </w:r>
      <w:r w:rsidR="00A720DE" w:rsidRPr="009D183A">
        <w:rPr>
          <w:lang w:eastAsia="zh-CN"/>
        </w:rPr>
        <w:t>desplieguen</w:t>
      </w:r>
      <w:r w:rsidRPr="009D183A">
        <w:rPr>
          <w:lang w:eastAsia="zh-CN"/>
        </w:rPr>
        <w:t xml:space="preserve"> principalmente en</w:t>
      </w:r>
      <w:r w:rsidRPr="009D183A">
        <w:t xml:space="preserve"> </w:t>
      </w:r>
      <w:r w:rsidRPr="009D183A">
        <w:rPr>
          <w:lang w:eastAsia="zh-CN"/>
        </w:rPr>
        <w:t xml:space="preserve">puntos de acceso público </w:t>
      </w:r>
      <w:r w:rsidR="00A720DE" w:rsidRPr="009D183A">
        <w:rPr>
          <w:lang w:eastAsia="zh-CN"/>
        </w:rPr>
        <w:t>de</w:t>
      </w:r>
      <w:r w:rsidRPr="009D183A">
        <w:rPr>
          <w:lang w:eastAsia="zh-CN"/>
        </w:rPr>
        <w:t xml:space="preserve"> grandes ciudades y otras zonas </w:t>
      </w:r>
      <w:r w:rsidR="00A720DE" w:rsidRPr="009D183A">
        <w:rPr>
          <w:lang w:eastAsia="zh-CN"/>
        </w:rPr>
        <w:t>con alta densidad de población</w:t>
      </w:r>
      <w:r w:rsidR="00FE2049" w:rsidRPr="009D183A">
        <w:rPr>
          <w:lang w:eastAsia="zh-CN"/>
        </w:rPr>
        <w:t>.</w:t>
      </w:r>
    </w:p>
    <w:p w14:paraId="26D48375" w14:textId="26A38835" w:rsidR="00FE2049" w:rsidRPr="009D183A" w:rsidRDefault="00A720DE" w:rsidP="009D183A">
      <w:pPr>
        <w:rPr>
          <w:lang w:eastAsia="zh-CN"/>
        </w:rPr>
      </w:pPr>
      <w:r w:rsidRPr="009D183A">
        <w:rPr>
          <w:lang w:eastAsia="zh-CN"/>
        </w:rPr>
        <w:t xml:space="preserve">Sin embargo, </w:t>
      </w:r>
      <w:r w:rsidR="007C4A70" w:rsidRPr="009D183A">
        <w:rPr>
          <w:lang w:eastAsia="zh-CN"/>
        </w:rPr>
        <w:t>a fin de</w:t>
      </w:r>
      <w:r w:rsidRPr="009D183A">
        <w:rPr>
          <w:lang w:eastAsia="zh-CN"/>
        </w:rPr>
        <w:t xml:space="preserve"> aprovechar al máximo las capacidades de la tecnología </w:t>
      </w:r>
      <w:r w:rsidR="00FE2049" w:rsidRPr="009D183A">
        <w:rPr>
          <w:lang w:eastAsia="zh-CN"/>
        </w:rPr>
        <w:t>5G,</w:t>
      </w:r>
      <w:r w:rsidRPr="009D183A">
        <w:rPr>
          <w:lang w:eastAsia="zh-CN"/>
        </w:rPr>
        <w:t xml:space="preserve"> en particular la cobertura</w:t>
      </w:r>
      <w:r w:rsidR="007C4A70" w:rsidRPr="009D183A">
        <w:rPr>
          <w:lang w:eastAsia="zh-CN"/>
        </w:rPr>
        <w:t xml:space="preserve"> ampliada</w:t>
      </w:r>
      <w:r w:rsidRPr="009D183A">
        <w:rPr>
          <w:lang w:eastAsia="zh-CN"/>
        </w:rPr>
        <w:t xml:space="preserve">, se </w:t>
      </w:r>
      <w:r w:rsidRPr="009D183A">
        <w:rPr>
          <w:rFonts w:ascii="inherit" w:hAnsi="inherit"/>
          <w:color w:val="000000"/>
          <w:shd w:val="clear" w:color="auto" w:fill="FFFFFF"/>
        </w:rPr>
        <w:t xml:space="preserve">requerirá </w:t>
      </w:r>
      <w:r w:rsidRPr="009D183A">
        <w:rPr>
          <w:lang w:eastAsia="zh-CN"/>
        </w:rPr>
        <w:t>espectro adicional. En parte, esta necesidad podría satisfacerse con las bandas móviles existentes inferiores a 3,</w:t>
      </w:r>
      <w:r w:rsidR="00FE2049" w:rsidRPr="009D183A">
        <w:rPr>
          <w:lang w:eastAsia="zh-CN"/>
        </w:rPr>
        <w:t xml:space="preserve">6 GHz. </w:t>
      </w:r>
      <w:r w:rsidRPr="009D183A">
        <w:rPr>
          <w:lang w:eastAsia="zh-CN"/>
        </w:rPr>
        <w:t xml:space="preserve">Aunque las bandas de frecuencias más bajas son más eficientes para </w:t>
      </w:r>
      <w:r w:rsidR="00AF7094" w:rsidRPr="009D183A">
        <w:rPr>
          <w:lang w:eastAsia="zh-CN"/>
        </w:rPr>
        <w:t>dar</w:t>
      </w:r>
      <w:r w:rsidRPr="009D183A">
        <w:rPr>
          <w:lang w:eastAsia="zh-CN"/>
        </w:rPr>
        <w:t xml:space="preserve"> cobertura </w:t>
      </w:r>
      <w:r w:rsidR="00AF7094" w:rsidRPr="009D183A">
        <w:rPr>
          <w:lang w:eastAsia="zh-CN"/>
        </w:rPr>
        <w:t>a</w:t>
      </w:r>
      <w:r w:rsidRPr="009D183A">
        <w:rPr>
          <w:lang w:eastAsia="zh-CN"/>
        </w:rPr>
        <w:t xml:space="preserve"> zonas más amplias y también para </w:t>
      </w:r>
      <w:r w:rsidR="005945BF" w:rsidRPr="009D183A">
        <w:rPr>
          <w:lang w:eastAsia="zh-CN"/>
        </w:rPr>
        <w:t xml:space="preserve">que </w:t>
      </w:r>
      <w:r w:rsidR="007C4A70" w:rsidRPr="009D183A">
        <w:rPr>
          <w:lang w:eastAsia="zh-CN"/>
        </w:rPr>
        <w:t xml:space="preserve">las </w:t>
      </w:r>
      <w:r w:rsidR="005945BF" w:rsidRPr="009D183A">
        <w:rPr>
          <w:lang w:eastAsia="zh-CN"/>
        </w:rPr>
        <w:t>estaciones de base en exteriores puedan ofrecer</w:t>
      </w:r>
      <w:r w:rsidRPr="009D183A">
        <w:rPr>
          <w:lang w:eastAsia="zh-CN"/>
        </w:rPr>
        <w:t xml:space="preserve"> cobertura en interiores,</w:t>
      </w:r>
      <w:r w:rsidR="005945BF" w:rsidRPr="009D183A">
        <w:rPr>
          <w:lang w:eastAsia="zh-CN"/>
        </w:rPr>
        <w:t xml:space="preserve"> </w:t>
      </w:r>
      <w:r w:rsidR="00AF7094" w:rsidRPr="009D183A">
        <w:rPr>
          <w:lang w:eastAsia="zh-CN"/>
        </w:rPr>
        <w:t xml:space="preserve">aumentará la demanda de </w:t>
      </w:r>
      <w:r w:rsidR="005945BF" w:rsidRPr="009D183A">
        <w:rPr>
          <w:lang w:eastAsia="zh-CN"/>
        </w:rPr>
        <w:t>las bandas 5G existentes</w:t>
      </w:r>
      <w:r w:rsidR="00AF7094" w:rsidRPr="009D183A">
        <w:rPr>
          <w:lang w:eastAsia="zh-CN"/>
        </w:rPr>
        <w:t>,</w:t>
      </w:r>
      <w:r w:rsidR="005945BF" w:rsidRPr="009D183A">
        <w:rPr>
          <w:lang w:eastAsia="zh-CN"/>
        </w:rPr>
        <w:t xml:space="preserve"> como la banda C</w:t>
      </w:r>
      <w:r w:rsidR="00AF7094" w:rsidRPr="009D183A">
        <w:rPr>
          <w:lang w:eastAsia="zh-CN"/>
        </w:rPr>
        <w:t>,</w:t>
      </w:r>
      <w:r w:rsidR="005945BF" w:rsidRPr="009D183A">
        <w:rPr>
          <w:lang w:eastAsia="zh-CN"/>
        </w:rPr>
        <w:t xml:space="preserve"> con miras a la implantación eficaz de redes 5G. Cabe prever que muy pronto se requiera espectro adicional para </w:t>
      </w:r>
      <w:r w:rsidR="00FE2049" w:rsidRPr="009D183A">
        <w:rPr>
          <w:lang w:eastAsia="zh-CN"/>
        </w:rPr>
        <w:t xml:space="preserve">5G </w:t>
      </w:r>
      <w:r w:rsidR="007C4A70" w:rsidRPr="009D183A">
        <w:rPr>
          <w:lang w:eastAsia="zh-CN"/>
        </w:rPr>
        <w:t>en la gama de frecuencias medias, concretamente entre 4 GHz y</w:t>
      </w:r>
      <w:r w:rsidR="00FE2049" w:rsidRPr="009D183A">
        <w:rPr>
          <w:lang w:eastAsia="zh-CN"/>
        </w:rPr>
        <w:t xml:space="preserve"> 18 GHz.</w:t>
      </w:r>
    </w:p>
    <w:p w14:paraId="41C3F466" w14:textId="49538B98" w:rsidR="00FE2049" w:rsidRPr="009D183A" w:rsidRDefault="007C4A70" w:rsidP="009D183A">
      <w:pPr>
        <w:rPr>
          <w:lang w:eastAsia="zh-CN"/>
        </w:rPr>
      </w:pPr>
      <w:r w:rsidRPr="009D183A">
        <w:rPr>
          <w:lang w:eastAsia="zh-CN"/>
        </w:rPr>
        <w:t>La CEAC</w:t>
      </w:r>
      <w:r w:rsidR="00FE2049" w:rsidRPr="009D183A">
        <w:rPr>
          <w:lang w:eastAsia="zh-CN"/>
        </w:rPr>
        <w:t>,</w:t>
      </w:r>
      <w:r w:rsidRPr="009D183A">
        <w:rPr>
          <w:lang w:eastAsia="zh-CN"/>
        </w:rPr>
        <w:t xml:space="preserve"> la</w:t>
      </w:r>
      <w:r w:rsidR="00FE2049" w:rsidRPr="009D183A">
        <w:rPr>
          <w:lang w:eastAsia="zh-CN"/>
        </w:rPr>
        <w:t xml:space="preserve"> SADC </w:t>
      </w:r>
      <w:r w:rsidRPr="009D183A">
        <w:rPr>
          <w:lang w:eastAsia="zh-CN"/>
        </w:rPr>
        <w:t>y la</w:t>
      </w:r>
      <w:r w:rsidR="00FE2049" w:rsidRPr="009D183A">
        <w:rPr>
          <w:lang w:eastAsia="zh-CN"/>
        </w:rPr>
        <w:t xml:space="preserve"> EACO </w:t>
      </w:r>
      <w:r w:rsidRPr="009D183A">
        <w:rPr>
          <w:lang w:eastAsia="zh-CN"/>
        </w:rPr>
        <w:t>han presentado propuestas en la</w:t>
      </w:r>
      <w:r w:rsidR="00FE2049" w:rsidRPr="009D183A">
        <w:rPr>
          <w:lang w:eastAsia="zh-CN"/>
        </w:rPr>
        <w:t xml:space="preserve"> </w:t>
      </w:r>
      <w:r w:rsidRPr="009D183A">
        <w:rPr>
          <w:lang w:eastAsia="zh-CN"/>
        </w:rPr>
        <w:t>4ª Reunión Preparatoria de la UAT</w:t>
      </w:r>
      <w:r w:rsidR="00FE2049" w:rsidRPr="009D183A">
        <w:rPr>
          <w:lang w:eastAsia="zh-CN"/>
        </w:rPr>
        <w:t xml:space="preserve"> </w:t>
      </w:r>
      <w:r w:rsidRPr="009D183A">
        <w:rPr>
          <w:lang w:eastAsia="zh-CN"/>
        </w:rPr>
        <w:t>para la CMR</w:t>
      </w:r>
      <w:r w:rsidR="00FE2049" w:rsidRPr="009D183A">
        <w:rPr>
          <w:lang w:eastAsia="zh-CN"/>
        </w:rPr>
        <w:t>-19 (APM19-4)</w:t>
      </w:r>
      <w:r w:rsidRPr="009D183A">
        <w:rPr>
          <w:lang w:eastAsia="zh-CN"/>
        </w:rPr>
        <w:t>, celebrada</w:t>
      </w:r>
      <w:r w:rsidR="00FE2049" w:rsidRPr="009D183A">
        <w:rPr>
          <w:lang w:eastAsia="zh-CN"/>
        </w:rPr>
        <w:t xml:space="preserve"> </w:t>
      </w:r>
      <w:r w:rsidRPr="009D183A">
        <w:rPr>
          <w:lang w:eastAsia="zh-CN"/>
        </w:rPr>
        <w:t>en</w:t>
      </w:r>
      <w:r w:rsidR="00FE2049" w:rsidRPr="009D183A">
        <w:rPr>
          <w:lang w:eastAsia="zh-CN"/>
        </w:rPr>
        <w:t xml:space="preserve"> East London</w:t>
      </w:r>
      <w:r w:rsidRPr="009D183A">
        <w:rPr>
          <w:lang w:eastAsia="zh-CN"/>
        </w:rPr>
        <w:t xml:space="preserve">, </w:t>
      </w:r>
      <w:r w:rsidR="00AF7094" w:rsidRPr="009D183A">
        <w:rPr>
          <w:lang w:eastAsia="zh-CN"/>
        </w:rPr>
        <w:t>con el objeto de</w:t>
      </w:r>
      <w:r w:rsidRPr="009D183A">
        <w:rPr>
          <w:lang w:eastAsia="zh-CN"/>
        </w:rPr>
        <w:t xml:space="preserve"> estudiar la posible identificación de las bandas </w:t>
      </w:r>
      <w:r w:rsidR="00AF7094" w:rsidRPr="009D183A">
        <w:rPr>
          <w:lang w:eastAsia="zh-CN"/>
        </w:rPr>
        <w:t>de</w:t>
      </w:r>
      <w:r w:rsidRPr="009D183A">
        <w:rPr>
          <w:lang w:eastAsia="zh-CN"/>
        </w:rPr>
        <w:t xml:space="preserve"> la gama </w:t>
      </w:r>
      <w:r w:rsidR="00FE2049" w:rsidRPr="009D183A">
        <w:rPr>
          <w:lang w:eastAsia="zh-CN"/>
        </w:rPr>
        <w:t xml:space="preserve">6-24 GHz </w:t>
      </w:r>
      <w:r w:rsidRPr="009D183A">
        <w:rPr>
          <w:lang w:eastAsia="zh-CN"/>
        </w:rPr>
        <w:t>para las</w:t>
      </w:r>
      <w:r w:rsidR="00FE2049" w:rsidRPr="009D183A">
        <w:rPr>
          <w:lang w:eastAsia="zh-CN"/>
        </w:rPr>
        <w:t xml:space="preserve"> IMT. </w:t>
      </w:r>
      <w:r w:rsidRPr="009D183A">
        <w:rPr>
          <w:lang w:eastAsia="zh-CN"/>
        </w:rPr>
        <w:t xml:space="preserve">Las organizaciones regionales y algunos países de fuera de África han propuesto también que se estudie esta gama. Tras los debates mantenidos en la </w:t>
      </w:r>
      <w:r w:rsidR="00FE2049" w:rsidRPr="009D183A">
        <w:rPr>
          <w:lang w:eastAsia="zh-CN"/>
        </w:rPr>
        <w:t xml:space="preserve">APM19-4, </w:t>
      </w:r>
      <w:r w:rsidRPr="009D183A">
        <w:rPr>
          <w:lang w:eastAsia="zh-CN"/>
        </w:rPr>
        <w:t xml:space="preserve">los miembros de la UAT acordaron examinar la identificación de las siguientes bandas para las </w:t>
      </w:r>
      <w:r w:rsidR="00FE2049" w:rsidRPr="009D183A">
        <w:rPr>
          <w:lang w:eastAsia="zh-CN"/>
        </w:rPr>
        <w:t>IMT:</w:t>
      </w:r>
    </w:p>
    <w:p w14:paraId="1583BF2E" w14:textId="05AC2901" w:rsidR="00FE2049" w:rsidRPr="009D183A" w:rsidRDefault="00FE2049" w:rsidP="009D183A">
      <w:pPr>
        <w:pStyle w:val="enumlev1"/>
        <w:rPr>
          <w:lang w:eastAsia="zh-CN"/>
        </w:rPr>
      </w:pPr>
      <w:bookmarkStart w:id="8" w:name="OLE_LINK4"/>
      <w:r w:rsidRPr="009D183A">
        <w:rPr>
          <w:lang w:eastAsia="zh-CN"/>
        </w:rPr>
        <w:t>•</w:t>
      </w:r>
      <w:r w:rsidRPr="009D183A">
        <w:rPr>
          <w:lang w:eastAsia="zh-CN"/>
        </w:rPr>
        <w:tab/>
        <w:t>4 800-4 990 MHz</w:t>
      </w:r>
    </w:p>
    <w:p w14:paraId="7A49FE2E" w14:textId="0605DDA8" w:rsidR="00FE2049" w:rsidRPr="009D183A" w:rsidRDefault="00FE2049" w:rsidP="009D183A">
      <w:pPr>
        <w:pStyle w:val="enumlev1"/>
        <w:rPr>
          <w:szCs w:val="28"/>
          <w:lang w:eastAsia="zh-CN"/>
        </w:rPr>
      </w:pPr>
      <w:r w:rsidRPr="009D183A">
        <w:rPr>
          <w:lang w:eastAsia="zh-CN"/>
        </w:rPr>
        <w:t>•</w:t>
      </w:r>
      <w:r w:rsidRPr="009D183A">
        <w:rPr>
          <w:lang w:eastAsia="zh-CN"/>
        </w:rPr>
        <w:tab/>
      </w:r>
      <w:r w:rsidRPr="009D183A">
        <w:rPr>
          <w:szCs w:val="28"/>
          <w:lang w:eastAsia="zh-CN"/>
        </w:rPr>
        <w:t>5 925-</w:t>
      </w:r>
      <w:r w:rsidRPr="009D183A">
        <w:t>7 125</w:t>
      </w:r>
      <w:r w:rsidRPr="009D183A">
        <w:rPr>
          <w:szCs w:val="28"/>
          <w:lang w:eastAsia="zh-CN"/>
        </w:rPr>
        <w:t xml:space="preserve"> MHz </w:t>
      </w:r>
    </w:p>
    <w:p w14:paraId="03A92CF1" w14:textId="0A4FFB91" w:rsidR="00FE2049" w:rsidRPr="009D183A" w:rsidRDefault="00FE2049" w:rsidP="009D183A">
      <w:pPr>
        <w:pStyle w:val="enumlev1"/>
        <w:rPr>
          <w:szCs w:val="28"/>
          <w:lang w:eastAsia="zh-CN"/>
        </w:rPr>
      </w:pPr>
      <w:r w:rsidRPr="009D183A">
        <w:rPr>
          <w:lang w:eastAsia="zh-CN"/>
        </w:rPr>
        <w:t>•</w:t>
      </w:r>
      <w:r w:rsidRPr="009D183A">
        <w:rPr>
          <w:lang w:eastAsia="zh-CN"/>
        </w:rPr>
        <w:tab/>
      </w:r>
      <w:r w:rsidRPr="009D183A">
        <w:rPr>
          <w:szCs w:val="28"/>
          <w:lang w:eastAsia="zh-CN"/>
        </w:rPr>
        <w:t>7 125-</w:t>
      </w:r>
      <w:r w:rsidRPr="009D183A">
        <w:t>8 500</w:t>
      </w:r>
      <w:r w:rsidRPr="009D183A">
        <w:rPr>
          <w:szCs w:val="28"/>
          <w:lang w:eastAsia="zh-CN"/>
        </w:rPr>
        <w:t xml:space="preserve"> MHz</w:t>
      </w:r>
    </w:p>
    <w:p w14:paraId="0C2DC157" w14:textId="5C474F71" w:rsidR="00FE2049" w:rsidRPr="009D183A" w:rsidRDefault="00FE2049" w:rsidP="009D183A">
      <w:pPr>
        <w:pStyle w:val="enumlev1"/>
        <w:rPr>
          <w:szCs w:val="28"/>
          <w:lang w:eastAsia="zh-CN"/>
        </w:rPr>
      </w:pPr>
      <w:r w:rsidRPr="009D183A">
        <w:rPr>
          <w:lang w:eastAsia="zh-CN"/>
        </w:rPr>
        <w:t>•</w:t>
      </w:r>
      <w:r w:rsidRPr="009D183A">
        <w:rPr>
          <w:lang w:eastAsia="zh-CN"/>
        </w:rPr>
        <w:tab/>
      </w:r>
      <w:r w:rsidRPr="009D183A">
        <w:rPr>
          <w:szCs w:val="28"/>
          <w:lang w:eastAsia="zh-CN"/>
        </w:rPr>
        <w:t>8,5-10 GHz</w:t>
      </w:r>
    </w:p>
    <w:p w14:paraId="525EEB64" w14:textId="24B1F369" w:rsidR="00FE2049" w:rsidRPr="009D183A" w:rsidRDefault="00FE2049" w:rsidP="009D183A">
      <w:pPr>
        <w:pStyle w:val="enumlev1"/>
        <w:rPr>
          <w:szCs w:val="28"/>
          <w:lang w:eastAsia="zh-CN"/>
        </w:rPr>
      </w:pPr>
      <w:r w:rsidRPr="009D183A">
        <w:rPr>
          <w:lang w:eastAsia="zh-CN"/>
        </w:rPr>
        <w:t>•</w:t>
      </w:r>
      <w:r w:rsidRPr="009D183A">
        <w:rPr>
          <w:lang w:eastAsia="zh-CN"/>
        </w:rPr>
        <w:tab/>
      </w:r>
      <w:r w:rsidRPr="009D183A">
        <w:rPr>
          <w:szCs w:val="28"/>
          <w:lang w:eastAsia="zh-CN"/>
        </w:rPr>
        <w:t>10-10,5 GHz</w:t>
      </w:r>
    </w:p>
    <w:p w14:paraId="1E792B6E" w14:textId="4E5613D7" w:rsidR="00FE2049" w:rsidRPr="009D183A" w:rsidRDefault="00FE2049" w:rsidP="009D183A">
      <w:pPr>
        <w:pStyle w:val="enumlev1"/>
        <w:rPr>
          <w:szCs w:val="28"/>
          <w:lang w:eastAsia="zh-CN"/>
        </w:rPr>
      </w:pPr>
      <w:r w:rsidRPr="009D183A">
        <w:rPr>
          <w:lang w:eastAsia="zh-CN"/>
        </w:rPr>
        <w:t>•</w:t>
      </w:r>
      <w:r w:rsidRPr="009D183A">
        <w:rPr>
          <w:lang w:eastAsia="zh-CN"/>
        </w:rPr>
        <w:tab/>
      </w:r>
      <w:r w:rsidRPr="009D183A">
        <w:rPr>
          <w:szCs w:val="28"/>
          <w:lang w:eastAsia="zh-CN"/>
        </w:rPr>
        <w:t>14,3/14,8-15,35 GHz</w:t>
      </w:r>
    </w:p>
    <w:p w14:paraId="2D53FB19" w14:textId="1E2EE701" w:rsidR="00FE2049" w:rsidRPr="009D183A" w:rsidRDefault="00FE2049" w:rsidP="009D183A">
      <w:pPr>
        <w:pStyle w:val="enumlev1"/>
        <w:rPr>
          <w:szCs w:val="28"/>
          <w:lang w:eastAsia="zh-CN"/>
        </w:rPr>
      </w:pPr>
      <w:r w:rsidRPr="009D183A">
        <w:rPr>
          <w:lang w:eastAsia="zh-CN"/>
        </w:rPr>
        <w:t>•</w:t>
      </w:r>
      <w:r w:rsidRPr="009D183A">
        <w:rPr>
          <w:lang w:eastAsia="zh-CN"/>
        </w:rPr>
        <w:tab/>
      </w:r>
      <w:r w:rsidRPr="009D183A">
        <w:rPr>
          <w:szCs w:val="28"/>
          <w:lang w:eastAsia="zh-CN"/>
        </w:rPr>
        <w:t>15,35-15,63 GHz</w:t>
      </w:r>
    </w:p>
    <w:p w14:paraId="5743F3B3" w14:textId="50CB986E" w:rsidR="00FE2049" w:rsidRPr="009D183A" w:rsidRDefault="00FE2049" w:rsidP="009D183A">
      <w:pPr>
        <w:pStyle w:val="enumlev1"/>
        <w:rPr>
          <w:szCs w:val="28"/>
          <w:lang w:eastAsia="zh-CN"/>
        </w:rPr>
      </w:pPr>
      <w:r w:rsidRPr="009D183A">
        <w:rPr>
          <w:lang w:eastAsia="zh-CN"/>
        </w:rPr>
        <w:t>•</w:t>
      </w:r>
      <w:r w:rsidRPr="009D183A">
        <w:rPr>
          <w:lang w:eastAsia="zh-CN"/>
        </w:rPr>
        <w:tab/>
      </w:r>
      <w:r w:rsidRPr="009D183A">
        <w:rPr>
          <w:szCs w:val="28"/>
          <w:lang w:eastAsia="zh-CN"/>
        </w:rPr>
        <w:t>15,63-17,3 GHz</w:t>
      </w:r>
    </w:p>
    <w:bookmarkEnd w:id="8"/>
    <w:p w14:paraId="49C52314" w14:textId="2BBBEE86" w:rsidR="00FE2049" w:rsidRPr="009D183A" w:rsidRDefault="007C4A70" w:rsidP="009D183A">
      <w:pPr>
        <w:rPr>
          <w:lang w:eastAsia="zh-CN"/>
        </w:rPr>
      </w:pPr>
      <w:r w:rsidRPr="009D183A">
        <w:rPr>
          <w:lang w:eastAsia="zh-CN"/>
        </w:rPr>
        <w:t>A fin de ofrecer a los Miembros de la UIT la flexibilidad necesaria para adoptar la banda de frecuencias adecuada para la futura implantación de las IMT</w:t>
      </w:r>
      <w:r w:rsidR="00FE2049" w:rsidRPr="009D183A">
        <w:rPr>
          <w:lang w:eastAsia="zh-CN"/>
        </w:rPr>
        <w:t xml:space="preserve">, </w:t>
      </w:r>
      <w:r w:rsidRPr="009D183A">
        <w:rPr>
          <w:lang w:eastAsia="zh-CN"/>
        </w:rPr>
        <w:t xml:space="preserve">la UAT es partidaria de que se realicen estudios sobre asuntos relacionados con las frecuencias </w:t>
      </w:r>
      <w:r w:rsidR="002A6818" w:rsidRPr="009D183A">
        <w:rPr>
          <w:lang w:eastAsia="zh-CN"/>
        </w:rPr>
        <w:t>para</w:t>
      </w:r>
      <w:r w:rsidRPr="009D183A">
        <w:rPr>
          <w:lang w:eastAsia="zh-CN"/>
        </w:rPr>
        <w:t xml:space="preserve"> la identificación de las IMT en las bandas de frecuencias enumeradas </w:t>
      </w:r>
      <w:r w:rsidRPr="009D183A">
        <w:rPr>
          <w:i/>
          <w:iCs/>
          <w:lang w:eastAsia="zh-CN"/>
        </w:rPr>
        <w:t>supra</w:t>
      </w:r>
      <w:r w:rsidR="00FE2049" w:rsidRPr="009D183A">
        <w:rPr>
          <w:lang w:eastAsia="zh-CN"/>
        </w:rPr>
        <w:t xml:space="preserve">. </w:t>
      </w:r>
    </w:p>
    <w:p w14:paraId="2ADFA5D6" w14:textId="7D05FE25" w:rsidR="00FE2049" w:rsidRPr="009D183A" w:rsidRDefault="002A6818" w:rsidP="009D183A">
      <w:pPr>
        <w:pStyle w:val="Headingb"/>
      </w:pPr>
      <w:r w:rsidRPr="009D183A">
        <w:t>Propuesta para la CMR-</w:t>
      </w:r>
      <w:r w:rsidR="00FE2049" w:rsidRPr="009D183A">
        <w:t>19</w:t>
      </w:r>
    </w:p>
    <w:p w14:paraId="03A9955F" w14:textId="34D631B8" w:rsidR="00FE2049" w:rsidRPr="009D183A" w:rsidRDefault="00784375" w:rsidP="009D183A">
      <w:pPr>
        <w:pStyle w:val="enumlev1"/>
      </w:pPr>
      <w:bookmarkStart w:id="9" w:name="OLE_LINK5"/>
      <w:r w:rsidRPr="009D183A">
        <w:t>1)</w:t>
      </w:r>
      <w:r w:rsidRPr="009D183A">
        <w:tab/>
      </w:r>
      <w:r w:rsidR="0041662F" w:rsidRPr="009D183A">
        <w:t xml:space="preserve">Convenir en la nueva Resolución de la CMR recogida en el Adjunto </w:t>
      </w:r>
      <w:r w:rsidR="00FE2049" w:rsidRPr="009D183A">
        <w:t xml:space="preserve">1 </w:t>
      </w:r>
      <w:r w:rsidR="0041662F" w:rsidRPr="009D183A">
        <w:t>al presente documento para pedir al UIT</w:t>
      </w:r>
      <w:r w:rsidR="00FE2049" w:rsidRPr="009D183A">
        <w:t xml:space="preserve">-R </w:t>
      </w:r>
      <w:r w:rsidR="0041662F" w:rsidRPr="009D183A">
        <w:t xml:space="preserve">que estudie la coexistencia de los sistemas de las </w:t>
      </w:r>
      <w:r w:rsidR="00FE2049" w:rsidRPr="009D183A">
        <w:t xml:space="preserve">IMT-2020 </w:t>
      </w:r>
      <w:r w:rsidR="0041662F" w:rsidRPr="009D183A">
        <w:t xml:space="preserve">con los servicios existentes en las bandas enumeradas </w:t>
      </w:r>
      <w:r w:rsidR="0041662F" w:rsidRPr="009D183A">
        <w:rPr>
          <w:i/>
          <w:iCs/>
        </w:rPr>
        <w:t>supra</w:t>
      </w:r>
      <w:r w:rsidR="00FE2049" w:rsidRPr="009D183A">
        <w:t xml:space="preserve">. </w:t>
      </w:r>
    </w:p>
    <w:p w14:paraId="1BD3FEEF" w14:textId="183E20A9" w:rsidR="00FE2049" w:rsidRPr="009D183A" w:rsidRDefault="00784375" w:rsidP="009D183A">
      <w:pPr>
        <w:pStyle w:val="enumlev1"/>
      </w:pPr>
      <w:r w:rsidRPr="009D183A">
        <w:t>2)</w:t>
      </w:r>
      <w:r w:rsidRPr="009D183A">
        <w:tab/>
      </w:r>
      <w:r w:rsidR="0041662F" w:rsidRPr="009D183A">
        <w:t>Añadir un punto al orden del día de la CMR</w:t>
      </w:r>
      <w:r w:rsidR="00FE2049" w:rsidRPr="009D183A">
        <w:t xml:space="preserve">-23 </w:t>
      </w:r>
      <w:r w:rsidR="0041662F" w:rsidRPr="009D183A">
        <w:t xml:space="preserve">sobre la posible identificación de las bandas enumeradas </w:t>
      </w:r>
      <w:r w:rsidR="0041662F" w:rsidRPr="009D183A">
        <w:rPr>
          <w:i/>
          <w:iCs/>
        </w:rPr>
        <w:t>supra</w:t>
      </w:r>
      <w:r w:rsidR="00FE2049" w:rsidRPr="009D183A">
        <w:t xml:space="preserve"> </w:t>
      </w:r>
      <w:r w:rsidR="0041662F" w:rsidRPr="009D183A">
        <w:t xml:space="preserve">para las IMT, tomando en consideración los estudios realizados por el UIT-R, según se recoge en el Adjunto </w:t>
      </w:r>
      <w:r w:rsidR="00FE2049" w:rsidRPr="009D183A">
        <w:t xml:space="preserve">2 </w:t>
      </w:r>
      <w:r w:rsidR="0041662F" w:rsidRPr="009D183A">
        <w:t>al presente documento.</w:t>
      </w:r>
    </w:p>
    <w:bookmarkEnd w:id="9"/>
    <w:p w14:paraId="153748A8" w14:textId="56D7E8A5" w:rsidR="008750A8" w:rsidRPr="009D183A" w:rsidRDefault="008750A8" w:rsidP="009D183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9D183A">
        <w:br w:type="page"/>
      </w:r>
    </w:p>
    <w:p w14:paraId="39BE86F1" w14:textId="7B51958C" w:rsidR="00784375" w:rsidRPr="009D183A" w:rsidRDefault="00784375" w:rsidP="009D183A">
      <w:pPr>
        <w:pStyle w:val="AnnexNo"/>
      </w:pPr>
      <w:r w:rsidRPr="009D183A">
        <w:lastRenderedPageBreak/>
        <w:t>A</w:t>
      </w:r>
      <w:r w:rsidR="009B754C" w:rsidRPr="009D183A">
        <w:t>DJUNTO</w:t>
      </w:r>
      <w:r w:rsidRPr="009D183A">
        <w:t xml:space="preserve"> 1</w:t>
      </w:r>
    </w:p>
    <w:p w14:paraId="04EB1F97" w14:textId="483FA40E" w:rsidR="001A7145" w:rsidRPr="009D183A" w:rsidRDefault="009A7B4D" w:rsidP="009D183A">
      <w:pPr>
        <w:pStyle w:val="Proposal"/>
      </w:pPr>
      <w:r w:rsidRPr="009D183A">
        <w:t>ADD</w:t>
      </w:r>
      <w:r w:rsidRPr="009D183A">
        <w:tab/>
        <w:t>AGL/BOT/BDI/COM/</w:t>
      </w:r>
      <w:r w:rsidR="00D65E1E" w:rsidRPr="009D183A">
        <w:t>SWZ/</w:t>
      </w:r>
      <w:r w:rsidRPr="009D183A">
        <w:t>KEN/LSO/MDG/MWI/MAU/MOZ/NMB/UGA/COD/RRW/SEY/SSD/AFS/TZA/ZMB/ZWE/97/1</w:t>
      </w:r>
    </w:p>
    <w:p w14:paraId="4B278D11" w14:textId="262EC697" w:rsidR="001A7145" w:rsidRPr="009D183A" w:rsidRDefault="009A7B4D" w:rsidP="009D183A">
      <w:pPr>
        <w:pStyle w:val="ResNo"/>
      </w:pPr>
      <w:r w:rsidRPr="009D183A">
        <w:t>Proyecto de nueva Resolución [AGL/BOT/BDI/COM/KEN/LSO/MDG/MWI/MAU/MOZ/NMB/UGA/COD/RRW/SEY/SSD/AFS/</w:t>
      </w:r>
      <w:r w:rsidR="00784375" w:rsidRPr="009D183A">
        <w:t>SWZ/</w:t>
      </w:r>
      <w:r w:rsidRPr="009D183A">
        <w:t>TZA/ZMB/ZWE-A10]</w:t>
      </w:r>
    </w:p>
    <w:p w14:paraId="06CDB334" w14:textId="2147619B" w:rsidR="00784375" w:rsidRPr="00730BF7" w:rsidRDefault="009B754C" w:rsidP="00730BF7">
      <w:pPr>
        <w:pStyle w:val="Restitle"/>
      </w:pPr>
      <w:r w:rsidRPr="00730BF7">
        <w:t>Estudios sobre asuntos relacionados con las frecuencias para</w:t>
      </w:r>
      <w:r w:rsidR="00730BF7" w:rsidRPr="00730BF7">
        <w:br/>
      </w:r>
      <w:r w:rsidRPr="00730BF7">
        <w:t>la identificación</w:t>
      </w:r>
      <w:r w:rsidR="00730BF7" w:rsidRPr="00730BF7">
        <w:t xml:space="preserve"> </w:t>
      </w:r>
      <w:r w:rsidRPr="00730BF7">
        <w:t>de las telecomunicaciones móviles</w:t>
      </w:r>
      <w:r w:rsidR="00730BF7" w:rsidRPr="00730BF7">
        <w:br/>
      </w:r>
      <w:r w:rsidRPr="00730BF7">
        <w:t>internacionales en bandas específicas</w:t>
      </w:r>
      <w:r w:rsidR="00730BF7" w:rsidRPr="00730BF7">
        <w:br/>
      </w:r>
      <w:r w:rsidRPr="00730BF7">
        <w:t xml:space="preserve">de la gama 4-18 </w:t>
      </w:r>
      <w:r w:rsidR="00784375" w:rsidRPr="00730BF7">
        <w:t>GHz</w:t>
      </w:r>
    </w:p>
    <w:p w14:paraId="1C6075EF" w14:textId="45356855" w:rsidR="00784375" w:rsidRPr="009D183A" w:rsidRDefault="00784375" w:rsidP="009D183A">
      <w:pPr>
        <w:pStyle w:val="Normalaftertitle"/>
      </w:pPr>
      <w:r w:rsidRPr="009D183A">
        <w:t>La Conferencia Mundial de Radiocomunicaciones (Sharm el-Sheikh, 2019),</w:t>
      </w:r>
    </w:p>
    <w:p w14:paraId="475B9B45" w14:textId="655AA15A" w:rsidR="001A7145" w:rsidRPr="009D183A" w:rsidRDefault="00784375" w:rsidP="009D183A">
      <w:pPr>
        <w:pStyle w:val="Call"/>
      </w:pPr>
      <w:r w:rsidRPr="009D183A">
        <w:t>considerando</w:t>
      </w:r>
    </w:p>
    <w:p w14:paraId="1247AC81" w14:textId="77777777" w:rsidR="00E92F01" w:rsidRPr="009D183A" w:rsidRDefault="00E92F01" w:rsidP="009D183A">
      <w:r w:rsidRPr="009D183A">
        <w:rPr>
          <w:i/>
        </w:rPr>
        <w:t>a)</w:t>
      </w:r>
      <w:r w:rsidRPr="009D183A">
        <w:tab/>
        <w:t>que las Telecomunicaciones Móviles Internacionales (IMT) son fundamentales para proporcionar conectividad inalámbrica de banda ancha a escala mundial y contribuir al desarrollo económico en los planos económico y social en todo el mundo;</w:t>
      </w:r>
    </w:p>
    <w:p w14:paraId="62B17B0C" w14:textId="77777777" w:rsidR="00E92F01" w:rsidRPr="009D183A" w:rsidRDefault="00E92F01" w:rsidP="009D183A">
      <w:r w:rsidRPr="009D183A">
        <w:rPr>
          <w:i/>
          <w:iCs/>
        </w:rPr>
        <w:t>b)</w:t>
      </w:r>
      <w:r w:rsidRPr="009D183A">
        <w:tab/>
        <w:t>que el tráfico de datos en las redes de telecomunicaciones móviles de todos los países aumenta ininterrumpidamente;</w:t>
      </w:r>
    </w:p>
    <w:p w14:paraId="4DCA5F50" w14:textId="77777777" w:rsidR="00E92F01" w:rsidRPr="009D183A" w:rsidRDefault="00E92F01" w:rsidP="009D183A">
      <w:r w:rsidRPr="009D183A">
        <w:rPr>
          <w:i/>
          <w:iCs/>
        </w:rPr>
        <w:t>c)</w:t>
      </w:r>
      <w:r w:rsidRPr="009D183A">
        <w:tab/>
        <w:t>que la asignación de una gran anchura de banda espectral contigua reduce la complejidad de los sistemas en relación con la agregación de portadoras, lo que mejorará la eficiencia energética y reducirá el costo de la red;</w:t>
      </w:r>
    </w:p>
    <w:p w14:paraId="67B765BD" w14:textId="77777777" w:rsidR="00E92F01" w:rsidRPr="009D183A" w:rsidRDefault="00E92F01" w:rsidP="009D183A">
      <w:r w:rsidRPr="009D183A">
        <w:rPr>
          <w:i/>
        </w:rPr>
        <w:t>d)</w:t>
      </w:r>
      <w:r w:rsidRPr="009D183A">
        <w:tab/>
        <w:t>que la adecuada y oportuna disponibilidad de espectro y de disposiciones reglamentarias pertinentes resulta indispensable para facilitar el futuro desarrollo de las IMT;</w:t>
      </w:r>
    </w:p>
    <w:p w14:paraId="60ECF9BF" w14:textId="440914A5" w:rsidR="00784375" w:rsidRPr="009D183A" w:rsidRDefault="00E92F01" w:rsidP="009D183A">
      <w:r w:rsidRPr="009D183A">
        <w:rPr>
          <w:i/>
        </w:rPr>
        <w:t>e)</w:t>
      </w:r>
      <w:r w:rsidRPr="009D183A">
        <w:tab/>
        <w:t>que es necesario velar por la protección de los servicios establecidos frente a los futuros sistemas de las IMT, habida cuenta de la utilización actual y del desarrollo futuro de esos servicios establecidos sin imponer restricciones adicionales;</w:t>
      </w:r>
    </w:p>
    <w:p w14:paraId="2B69D589" w14:textId="22A00E34" w:rsidR="00E92F01" w:rsidRPr="009D183A" w:rsidRDefault="00E92F01" w:rsidP="009D183A">
      <w:r w:rsidRPr="009D183A">
        <w:rPr>
          <w:i/>
          <w:iCs/>
        </w:rPr>
        <w:t>f)</w:t>
      </w:r>
      <w:r w:rsidRPr="009D183A">
        <w:tab/>
      </w:r>
      <w:r w:rsidR="009B754C" w:rsidRPr="009D183A">
        <w:t>que la banda</w:t>
      </w:r>
      <w:r w:rsidRPr="009D183A">
        <w:t xml:space="preserve"> 6 725-7 025 MHz </w:t>
      </w:r>
      <w:r w:rsidR="00AF7094" w:rsidRPr="009D183A">
        <w:t>está sujeta a</w:t>
      </w:r>
      <w:r w:rsidR="009B754C" w:rsidRPr="009D183A">
        <w:t xml:space="preserve"> las disposiciones del Apéndice</w:t>
      </w:r>
      <w:r w:rsidRPr="009D183A">
        <w:t xml:space="preserve"> </w:t>
      </w:r>
      <w:r w:rsidRPr="009D183A">
        <w:rPr>
          <w:b/>
          <w:bCs/>
        </w:rPr>
        <w:t>30B</w:t>
      </w:r>
      <w:r w:rsidRPr="009D183A">
        <w:t xml:space="preserve"> </w:t>
      </w:r>
      <w:r w:rsidR="009B754C" w:rsidRPr="009D183A">
        <w:t>del Reglamento de Radiocomunicaciones</w:t>
      </w:r>
      <w:r w:rsidRPr="009D183A">
        <w:t>,</w:t>
      </w:r>
    </w:p>
    <w:p w14:paraId="503D4511" w14:textId="77777777" w:rsidR="00E92F01" w:rsidRPr="009D183A" w:rsidRDefault="00E92F01" w:rsidP="009D183A">
      <w:pPr>
        <w:pStyle w:val="Call"/>
      </w:pPr>
      <w:r w:rsidRPr="009D183A">
        <w:t>reconociendo</w:t>
      </w:r>
    </w:p>
    <w:p w14:paraId="598F7E48" w14:textId="77777777" w:rsidR="00E92F01" w:rsidRPr="009D183A" w:rsidRDefault="00E92F01" w:rsidP="009D183A">
      <w:r w:rsidRPr="009D183A">
        <w:rPr>
          <w:i/>
        </w:rPr>
        <w:t>a)</w:t>
      </w:r>
      <w:r w:rsidRPr="009D183A">
        <w:tab/>
        <w:t>que para lograr itinerancia mundial y aprovechar las ventajas de un despliegue rentable de los sistemas IMT, es necesario lograr la armonización del espectro de las IMT a escalas mundial/regional;</w:t>
      </w:r>
    </w:p>
    <w:p w14:paraId="70EC7994" w14:textId="77777777" w:rsidR="00E92F01" w:rsidRPr="009D183A" w:rsidRDefault="00E92F01" w:rsidP="009D183A">
      <w:r w:rsidRPr="009D183A">
        <w:rPr>
          <w:i/>
          <w:iCs/>
        </w:rPr>
        <w:t>b)</w:t>
      </w:r>
      <w:r w:rsidRPr="009D183A">
        <w:tab/>
        <w:t>que los servicios establecidos ya utilizan parcialmente la gama de frecuencias de 5 925</w:t>
      </w:r>
      <w:r w:rsidRPr="009D183A">
        <w:noBreakHyphen/>
        <w:t>7 125 MHz y que esos servicios, incluido su desarrollo ulterior, requieren una protección adecuada que conlleva una gran inversión en infraestructuras</w:t>
      </w:r>
      <w:bookmarkStart w:id="10" w:name="OLE_LINK90"/>
      <w:bookmarkStart w:id="11" w:name="OLE_LINK91"/>
      <w:r w:rsidRPr="009D183A">
        <w:t>,</w:t>
      </w:r>
    </w:p>
    <w:bookmarkEnd w:id="10"/>
    <w:bookmarkEnd w:id="11"/>
    <w:p w14:paraId="3B011269" w14:textId="77777777" w:rsidR="00E92F01" w:rsidRPr="009D183A" w:rsidRDefault="00E92F01" w:rsidP="009D183A">
      <w:pPr>
        <w:pStyle w:val="Call"/>
      </w:pPr>
      <w:r w:rsidRPr="009D183A">
        <w:t>observando</w:t>
      </w:r>
    </w:p>
    <w:p w14:paraId="332C127F" w14:textId="77777777" w:rsidR="00E92F01" w:rsidRPr="009D183A" w:rsidRDefault="00E92F01" w:rsidP="009D183A">
      <w:r w:rsidRPr="009D183A">
        <w:t>que, con respecto a las bandas de frecuencias bajas o altas, la gama de 7 GHz puede proporcionar un mejor equilibrio a los efectos de satisfacción de las necesidades de cobertura y de capacidad,</w:t>
      </w:r>
    </w:p>
    <w:p w14:paraId="3CCE6F7F" w14:textId="77777777" w:rsidR="00E92F01" w:rsidRPr="009D183A" w:rsidRDefault="00E92F01" w:rsidP="009D183A">
      <w:pPr>
        <w:pStyle w:val="Call"/>
      </w:pPr>
      <w:r w:rsidRPr="009D183A">
        <w:lastRenderedPageBreak/>
        <w:t>resuelve invitar a la Conferencia Mundial de Radiocomunicaciones de 2023</w:t>
      </w:r>
    </w:p>
    <w:p w14:paraId="20607498" w14:textId="3D67FAFF" w:rsidR="001A7145" w:rsidRPr="009D183A" w:rsidRDefault="00E92F01" w:rsidP="00730BF7">
      <w:r w:rsidRPr="009D183A">
        <w:t>a que considere, sobre la base de los resultados de los estudios del UIT</w:t>
      </w:r>
      <w:r w:rsidRPr="009D183A">
        <w:noBreakHyphen/>
        <w:t xml:space="preserve">R mencionados en el </w:t>
      </w:r>
      <w:r w:rsidRPr="009D183A">
        <w:rPr>
          <w:i/>
          <w:iCs/>
        </w:rPr>
        <w:t>resuelve invitar al UIT</w:t>
      </w:r>
      <w:r w:rsidRPr="009D183A">
        <w:rPr>
          <w:i/>
          <w:iCs/>
        </w:rPr>
        <w:noBreakHyphen/>
        <w:t>R</w:t>
      </w:r>
      <w:r w:rsidRPr="009D183A">
        <w:t xml:space="preserve"> que figura continuación, la identificación de la componente terrenal de las IMT en la gama de frecuencias de 7 025-7 125 MHz, teniendo en cuenta el </w:t>
      </w:r>
      <w:r w:rsidRPr="009D183A">
        <w:rPr>
          <w:i/>
          <w:iCs/>
        </w:rPr>
        <w:t>reconociendo b)</w:t>
      </w:r>
      <w:r w:rsidRPr="009D183A">
        <w:t xml:space="preserve"> anterior:</w:t>
      </w:r>
    </w:p>
    <w:p w14:paraId="5D24AE60" w14:textId="77777777" w:rsidR="00E92F01" w:rsidRPr="009D183A" w:rsidRDefault="00E92F01" w:rsidP="009D183A">
      <w:pPr>
        <w:pStyle w:val="enumlev1"/>
        <w:rPr>
          <w:lang w:eastAsia="zh-CN"/>
        </w:rPr>
      </w:pPr>
      <w:r w:rsidRPr="009D183A">
        <w:rPr>
          <w:lang w:eastAsia="zh-CN"/>
        </w:rPr>
        <w:t>•</w:t>
      </w:r>
      <w:r w:rsidRPr="009D183A">
        <w:rPr>
          <w:lang w:eastAsia="zh-CN"/>
        </w:rPr>
        <w:tab/>
        <w:t>4 800-4 990 MHz</w:t>
      </w:r>
    </w:p>
    <w:p w14:paraId="634290D5" w14:textId="77777777" w:rsidR="00E92F01" w:rsidRPr="009D183A" w:rsidRDefault="00E92F01" w:rsidP="009D183A">
      <w:pPr>
        <w:pStyle w:val="enumlev1"/>
        <w:rPr>
          <w:szCs w:val="28"/>
          <w:lang w:eastAsia="zh-CN"/>
        </w:rPr>
      </w:pPr>
      <w:r w:rsidRPr="009D183A">
        <w:rPr>
          <w:lang w:eastAsia="zh-CN"/>
        </w:rPr>
        <w:t>•</w:t>
      </w:r>
      <w:r w:rsidRPr="009D183A">
        <w:rPr>
          <w:lang w:eastAsia="zh-CN"/>
        </w:rPr>
        <w:tab/>
      </w:r>
      <w:r w:rsidRPr="009D183A">
        <w:rPr>
          <w:szCs w:val="28"/>
          <w:lang w:eastAsia="zh-CN"/>
        </w:rPr>
        <w:t>5 925-</w:t>
      </w:r>
      <w:r w:rsidRPr="009D183A">
        <w:t>7 125</w:t>
      </w:r>
      <w:r w:rsidRPr="009D183A">
        <w:rPr>
          <w:szCs w:val="28"/>
          <w:lang w:eastAsia="zh-CN"/>
        </w:rPr>
        <w:t xml:space="preserve"> MHz </w:t>
      </w:r>
    </w:p>
    <w:p w14:paraId="0BBB342B" w14:textId="77777777" w:rsidR="00E92F01" w:rsidRPr="009D183A" w:rsidRDefault="00E92F01" w:rsidP="009D183A">
      <w:pPr>
        <w:pStyle w:val="enumlev1"/>
        <w:rPr>
          <w:szCs w:val="28"/>
          <w:lang w:eastAsia="zh-CN"/>
        </w:rPr>
      </w:pPr>
      <w:r w:rsidRPr="009D183A">
        <w:rPr>
          <w:lang w:eastAsia="zh-CN"/>
        </w:rPr>
        <w:t>•</w:t>
      </w:r>
      <w:r w:rsidRPr="009D183A">
        <w:rPr>
          <w:lang w:eastAsia="zh-CN"/>
        </w:rPr>
        <w:tab/>
      </w:r>
      <w:r w:rsidRPr="009D183A">
        <w:rPr>
          <w:szCs w:val="28"/>
          <w:lang w:eastAsia="zh-CN"/>
        </w:rPr>
        <w:t>7 125-</w:t>
      </w:r>
      <w:r w:rsidRPr="009D183A">
        <w:t>8 500</w:t>
      </w:r>
      <w:r w:rsidRPr="009D183A">
        <w:rPr>
          <w:szCs w:val="28"/>
          <w:lang w:eastAsia="zh-CN"/>
        </w:rPr>
        <w:t xml:space="preserve"> MHz</w:t>
      </w:r>
    </w:p>
    <w:p w14:paraId="27CD019B" w14:textId="77777777" w:rsidR="00E92F01" w:rsidRPr="009D183A" w:rsidRDefault="00E92F01" w:rsidP="009D183A">
      <w:pPr>
        <w:pStyle w:val="enumlev1"/>
        <w:rPr>
          <w:szCs w:val="28"/>
          <w:lang w:eastAsia="zh-CN"/>
        </w:rPr>
      </w:pPr>
      <w:r w:rsidRPr="009D183A">
        <w:rPr>
          <w:lang w:eastAsia="zh-CN"/>
        </w:rPr>
        <w:t>•</w:t>
      </w:r>
      <w:r w:rsidRPr="009D183A">
        <w:rPr>
          <w:lang w:eastAsia="zh-CN"/>
        </w:rPr>
        <w:tab/>
      </w:r>
      <w:r w:rsidRPr="009D183A">
        <w:rPr>
          <w:szCs w:val="28"/>
          <w:lang w:eastAsia="zh-CN"/>
        </w:rPr>
        <w:t>8,5-10 GHz</w:t>
      </w:r>
    </w:p>
    <w:p w14:paraId="7EC362AF" w14:textId="77777777" w:rsidR="00E92F01" w:rsidRPr="009D183A" w:rsidRDefault="00E92F01" w:rsidP="009D183A">
      <w:pPr>
        <w:pStyle w:val="enumlev1"/>
        <w:rPr>
          <w:szCs w:val="28"/>
          <w:lang w:eastAsia="zh-CN"/>
        </w:rPr>
      </w:pPr>
      <w:r w:rsidRPr="009D183A">
        <w:rPr>
          <w:lang w:eastAsia="zh-CN"/>
        </w:rPr>
        <w:t>•</w:t>
      </w:r>
      <w:r w:rsidRPr="009D183A">
        <w:rPr>
          <w:lang w:eastAsia="zh-CN"/>
        </w:rPr>
        <w:tab/>
      </w:r>
      <w:r w:rsidRPr="009D183A">
        <w:rPr>
          <w:szCs w:val="28"/>
          <w:lang w:eastAsia="zh-CN"/>
        </w:rPr>
        <w:t>10-10,5 GHz</w:t>
      </w:r>
    </w:p>
    <w:p w14:paraId="28ADC970" w14:textId="77777777" w:rsidR="00E92F01" w:rsidRPr="009D183A" w:rsidRDefault="00E92F01" w:rsidP="009D183A">
      <w:pPr>
        <w:pStyle w:val="enumlev1"/>
        <w:rPr>
          <w:szCs w:val="28"/>
          <w:lang w:eastAsia="zh-CN"/>
        </w:rPr>
      </w:pPr>
      <w:r w:rsidRPr="009D183A">
        <w:rPr>
          <w:lang w:eastAsia="zh-CN"/>
        </w:rPr>
        <w:t>•</w:t>
      </w:r>
      <w:r w:rsidRPr="009D183A">
        <w:rPr>
          <w:lang w:eastAsia="zh-CN"/>
        </w:rPr>
        <w:tab/>
      </w:r>
      <w:r w:rsidRPr="009D183A">
        <w:rPr>
          <w:szCs w:val="28"/>
          <w:lang w:eastAsia="zh-CN"/>
        </w:rPr>
        <w:t>14,3/14,8-15,35 GHz</w:t>
      </w:r>
    </w:p>
    <w:p w14:paraId="2E159CE3" w14:textId="77777777" w:rsidR="00E92F01" w:rsidRPr="009D183A" w:rsidRDefault="00E92F01" w:rsidP="009D183A">
      <w:pPr>
        <w:pStyle w:val="enumlev1"/>
        <w:rPr>
          <w:szCs w:val="28"/>
          <w:lang w:eastAsia="zh-CN"/>
        </w:rPr>
      </w:pPr>
      <w:r w:rsidRPr="009D183A">
        <w:rPr>
          <w:lang w:eastAsia="zh-CN"/>
        </w:rPr>
        <w:t>•</w:t>
      </w:r>
      <w:r w:rsidRPr="009D183A">
        <w:rPr>
          <w:lang w:eastAsia="zh-CN"/>
        </w:rPr>
        <w:tab/>
      </w:r>
      <w:r w:rsidRPr="009D183A">
        <w:rPr>
          <w:szCs w:val="28"/>
          <w:lang w:eastAsia="zh-CN"/>
        </w:rPr>
        <w:t>15,35-15,63 GHz</w:t>
      </w:r>
    </w:p>
    <w:p w14:paraId="0E308A15" w14:textId="77777777" w:rsidR="00E92F01" w:rsidRPr="009D183A" w:rsidRDefault="00E92F01" w:rsidP="009D183A">
      <w:pPr>
        <w:pStyle w:val="enumlev1"/>
        <w:rPr>
          <w:szCs w:val="28"/>
          <w:lang w:eastAsia="zh-CN"/>
        </w:rPr>
      </w:pPr>
      <w:r w:rsidRPr="009D183A">
        <w:rPr>
          <w:lang w:eastAsia="zh-CN"/>
        </w:rPr>
        <w:t>•</w:t>
      </w:r>
      <w:r w:rsidRPr="009D183A">
        <w:rPr>
          <w:lang w:eastAsia="zh-CN"/>
        </w:rPr>
        <w:tab/>
      </w:r>
      <w:r w:rsidRPr="009D183A">
        <w:rPr>
          <w:szCs w:val="28"/>
          <w:lang w:eastAsia="zh-CN"/>
        </w:rPr>
        <w:t>15,63-17,3 GHz</w:t>
      </w:r>
    </w:p>
    <w:p w14:paraId="42A95DA8" w14:textId="77777777" w:rsidR="00E92F01" w:rsidRPr="009D183A" w:rsidRDefault="00E92F01" w:rsidP="009D183A">
      <w:pPr>
        <w:pStyle w:val="Call"/>
      </w:pPr>
      <w:r w:rsidRPr="009D183A">
        <w:t>resuelve invitar al UIT-R</w:t>
      </w:r>
    </w:p>
    <w:p w14:paraId="767AD244" w14:textId="77777777" w:rsidR="00E92F01" w:rsidRPr="009D183A" w:rsidRDefault="00E92F01" w:rsidP="009D183A">
      <w:r w:rsidRPr="009D183A">
        <w:t>1</w:t>
      </w:r>
      <w:r w:rsidRPr="009D183A">
        <w:tab/>
        <w:t>a que estudie nuevas necesidades de espectro asociadas a las capacidades necesarias para la componente terrenal de las IMT, teniendo en cuenta:</w:t>
      </w:r>
    </w:p>
    <w:p w14:paraId="60E1828C" w14:textId="77777777" w:rsidR="00E92F01" w:rsidRPr="009D183A" w:rsidRDefault="00E92F01" w:rsidP="009D183A">
      <w:pPr>
        <w:pStyle w:val="enumlev1"/>
      </w:pPr>
      <w:r w:rsidRPr="009D183A">
        <w:t>–</w:t>
      </w:r>
      <w:r w:rsidRPr="009D183A">
        <w:tab/>
        <w:t>la evolución de las necesidades para atender a las nuevas demandas en materia de IMT;</w:t>
      </w:r>
    </w:p>
    <w:p w14:paraId="465A1AD6" w14:textId="77777777" w:rsidR="00E92F01" w:rsidRPr="009D183A" w:rsidRDefault="00E92F01" w:rsidP="009D183A">
      <w:pPr>
        <w:pStyle w:val="enumlev1"/>
      </w:pPr>
      <w:r w:rsidRPr="009D183A">
        <w:t>–</w:t>
      </w:r>
      <w:r w:rsidRPr="009D183A">
        <w:tab/>
        <w:t>las características técnicas y operacionales de los sistemas de las IMT en la gama de frecuencias de 6 GHz, en particular, la evolución de las IMT a través de avances tecnológicos y técnicas eficaces desde el punto de vista de la utilización del espectro, incluida su implantación;</w:t>
      </w:r>
    </w:p>
    <w:p w14:paraId="09C465C1" w14:textId="77777777" w:rsidR="00E92F01" w:rsidRPr="009D183A" w:rsidRDefault="00E92F01" w:rsidP="009D183A">
      <w:pPr>
        <w:pStyle w:val="enumlev1"/>
        <w:rPr>
          <w:b/>
        </w:rPr>
      </w:pPr>
      <w:r w:rsidRPr="009D183A">
        <w:t>–</w:t>
      </w:r>
      <w:r w:rsidRPr="009D183A">
        <w:tab/>
        <w:t>el periodo de tiempo en el que se necesitaría el espectro;</w:t>
      </w:r>
    </w:p>
    <w:p w14:paraId="4E8040B4" w14:textId="77777777" w:rsidR="00E92F01" w:rsidRPr="009D183A" w:rsidRDefault="00E92F01" w:rsidP="009D183A">
      <w:r w:rsidRPr="009D183A">
        <w:t>2</w:t>
      </w:r>
      <w:r w:rsidRPr="009D183A">
        <w:tab/>
        <w:t>a que lleve a cabo estudios de compartición y de compatibilidad entre las IMT y los servicios establecidos, teniendo en cuenta la necesidad de garantizar la protección de dichos servicios y su desarrollo ulterior sin imponer restricciones adicionales que tengan atribuciones a título primario en las posibles bandas consideradas y en las bandas adyacentes;</w:t>
      </w:r>
    </w:p>
    <w:p w14:paraId="293F1DF2" w14:textId="77777777" w:rsidR="00E92F01" w:rsidRPr="009D183A" w:rsidRDefault="00E92F01" w:rsidP="009D183A">
      <w:r w:rsidRPr="009D183A">
        <w:t>3</w:t>
      </w:r>
      <w:r w:rsidRPr="009D183A">
        <w:tab/>
        <w:t>estudiar la posibilidad de una nueva identificación para las IMT en la gama de frecuencias de 7 025</w:t>
      </w:r>
      <w:r w:rsidRPr="009D183A">
        <w:noBreakHyphen/>
        <w:t>7 125 MHz si los resultados de los estudios de compartición y compatibilidad demuestran una protección satisfactoria de la utilización actual de los servicios establecidos, incluido su desarrollo ulterior,</w:t>
      </w:r>
    </w:p>
    <w:p w14:paraId="756C9D9C" w14:textId="77777777" w:rsidR="00E92F01" w:rsidRPr="009D183A" w:rsidRDefault="00E92F01" w:rsidP="009D183A">
      <w:pPr>
        <w:pStyle w:val="Call"/>
      </w:pPr>
      <w:r w:rsidRPr="009D183A">
        <w:t>invita a las Administraciones</w:t>
      </w:r>
    </w:p>
    <w:p w14:paraId="62E75B90" w14:textId="6C81E7E1" w:rsidR="00E92F01" w:rsidRDefault="00E92F01" w:rsidP="009D183A">
      <w:r w:rsidRPr="009D183A">
        <w:t>a que participen activamente en los estudios presentando contribuciones al UIT</w:t>
      </w:r>
      <w:r w:rsidRPr="009D183A">
        <w:noBreakHyphen/>
        <w:t>R.</w:t>
      </w:r>
    </w:p>
    <w:p w14:paraId="4EA98319" w14:textId="77777777" w:rsidR="00DF030B" w:rsidRPr="009D183A" w:rsidRDefault="00DF030B" w:rsidP="00DF030B">
      <w:pPr>
        <w:pStyle w:val="Reasons"/>
      </w:pPr>
      <w:bookmarkStart w:id="12" w:name="_GoBack"/>
      <w:bookmarkEnd w:id="12"/>
    </w:p>
    <w:p w14:paraId="5914CE2B" w14:textId="5D19763F" w:rsidR="00E92F01" w:rsidRPr="009D183A" w:rsidRDefault="00E92F01" w:rsidP="009D183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9D183A">
        <w:br w:type="page"/>
      </w:r>
    </w:p>
    <w:p w14:paraId="333248AC" w14:textId="53A5284D" w:rsidR="00E92F01" w:rsidRPr="009D183A" w:rsidRDefault="009B754C" w:rsidP="009D183A">
      <w:pPr>
        <w:pStyle w:val="AnnexNo"/>
      </w:pPr>
      <w:r w:rsidRPr="009D183A">
        <w:lastRenderedPageBreak/>
        <w:t>ADJUNTo</w:t>
      </w:r>
      <w:r w:rsidR="00E92F01" w:rsidRPr="009D183A">
        <w:t xml:space="preserve"> 2</w:t>
      </w:r>
    </w:p>
    <w:p w14:paraId="2B1ABE6F" w14:textId="7728BC72" w:rsidR="00E92F01" w:rsidRPr="009D183A" w:rsidRDefault="00A41D6E" w:rsidP="009D183A">
      <w:pPr>
        <w:pStyle w:val="Annextitle"/>
      </w:pPr>
      <w:r w:rsidRPr="009D183A">
        <w:t xml:space="preserve">PROPUESTA DE UN NUEVO PUNTO DEL ORDEN DEL DÍA CON EL OBJETO DE IDENTIFICAR LAS BANDAS </w:t>
      </w:r>
      <w:r w:rsidR="006F4D2F" w:rsidRPr="009D183A">
        <w:t>DE</w:t>
      </w:r>
      <w:r w:rsidRPr="009D183A">
        <w:t xml:space="preserve"> LA GAMA 4-18 GHZ PARA LAS IMT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567"/>
        <w:gridCol w:w="4819"/>
      </w:tblGrid>
      <w:tr w:rsidR="00E92F01" w:rsidRPr="009D183A" w14:paraId="5713DBBB" w14:textId="77777777" w:rsidTr="00404F9F">
        <w:trPr>
          <w:jc w:val="center"/>
        </w:trPr>
        <w:tc>
          <w:tcPr>
            <w:tcW w:w="9638" w:type="dxa"/>
            <w:gridSpan w:val="3"/>
          </w:tcPr>
          <w:p w14:paraId="1B6A4633" w14:textId="4D730931" w:rsidR="00E92F01" w:rsidRPr="009D183A" w:rsidRDefault="00E92F01" w:rsidP="001A2F75">
            <w:r w:rsidRPr="001A2F75">
              <w:rPr>
                <w:b/>
                <w:bCs/>
                <w:i/>
                <w:iCs/>
              </w:rPr>
              <w:t>Asunto:</w:t>
            </w:r>
            <w:r w:rsidR="001A2F75">
              <w:t xml:space="preserve"> </w:t>
            </w:r>
            <w:r w:rsidR="00A41D6E" w:rsidRPr="001A2F75">
              <w:t xml:space="preserve">Propuesta de punto del orden del día de la CMR-23 con el objeto de identificar las bandas </w:t>
            </w:r>
            <w:r w:rsidR="006F4D2F" w:rsidRPr="001A2F75">
              <w:t>de</w:t>
            </w:r>
            <w:r w:rsidR="00A41D6E" w:rsidRPr="001A2F75">
              <w:t xml:space="preserve"> la gama 4-18 GHz para las IMT</w:t>
            </w:r>
          </w:p>
        </w:tc>
      </w:tr>
      <w:tr w:rsidR="00E92F01" w:rsidRPr="009D183A" w14:paraId="7786BC6B" w14:textId="77777777" w:rsidTr="00404F9F">
        <w:trPr>
          <w:jc w:val="center"/>
        </w:trPr>
        <w:tc>
          <w:tcPr>
            <w:tcW w:w="9638" w:type="dxa"/>
            <w:gridSpan w:val="3"/>
            <w:tcBorders>
              <w:bottom w:val="single" w:sz="12" w:space="0" w:color="auto"/>
            </w:tcBorders>
          </w:tcPr>
          <w:p w14:paraId="2FE18088" w14:textId="77777777" w:rsidR="00E92F01" w:rsidRPr="001A2F75" w:rsidRDefault="00E92F01" w:rsidP="009D183A">
            <w:pPr>
              <w:pStyle w:val="Headingb"/>
              <w:rPr>
                <w:i/>
                <w:iCs/>
              </w:rPr>
            </w:pPr>
            <w:r w:rsidRPr="001A2F75">
              <w:rPr>
                <w:i/>
                <w:iCs/>
              </w:rPr>
              <w:t>Origen:</w:t>
            </w:r>
          </w:p>
          <w:p w14:paraId="790CB4F3" w14:textId="56570A6B" w:rsidR="00E92F01" w:rsidRPr="009D183A" w:rsidRDefault="00A41D6E" w:rsidP="00404F9F">
            <w:pPr>
              <w:spacing w:after="240"/>
            </w:pPr>
            <w:r w:rsidRPr="009D183A">
              <w:t>UAT</w:t>
            </w:r>
          </w:p>
        </w:tc>
      </w:tr>
      <w:tr w:rsidR="00E92F01" w:rsidRPr="009D183A" w14:paraId="32388ECA" w14:textId="77777777" w:rsidTr="00404F9F">
        <w:trPr>
          <w:jc w:val="center"/>
        </w:trPr>
        <w:tc>
          <w:tcPr>
            <w:tcW w:w="963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99E8A9D" w14:textId="62DB18B7" w:rsidR="00E92F01" w:rsidRPr="001A2F75" w:rsidRDefault="00E92F01" w:rsidP="001A2F75">
            <w:pPr>
              <w:rPr>
                <w:i/>
                <w:iCs/>
              </w:rPr>
            </w:pPr>
            <w:r w:rsidRPr="001A2F75">
              <w:rPr>
                <w:b/>
                <w:bCs/>
                <w:i/>
                <w:iCs/>
              </w:rPr>
              <w:t>Propuesta:</w:t>
            </w:r>
            <w:r w:rsidR="001A2F75" w:rsidRPr="001A2F75">
              <w:rPr>
                <w:i/>
                <w:iCs/>
              </w:rPr>
              <w:t xml:space="preserve"> </w:t>
            </w:r>
            <w:r w:rsidR="00A41D6E" w:rsidRPr="001A2F75">
              <w:rPr>
                <w:i/>
                <w:iCs/>
              </w:rPr>
              <w:t xml:space="preserve">Realizar estudios de compartición entre las IMT y los servicios existentes en las bandas </w:t>
            </w:r>
            <w:r w:rsidR="006F4D2F" w:rsidRPr="001A2F75">
              <w:rPr>
                <w:i/>
                <w:iCs/>
              </w:rPr>
              <w:t>de</w:t>
            </w:r>
            <w:r w:rsidR="00A41D6E" w:rsidRPr="001A2F75">
              <w:rPr>
                <w:i/>
                <w:iCs/>
              </w:rPr>
              <w:t xml:space="preserve"> la gama </w:t>
            </w:r>
            <w:r w:rsidRPr="001A2F75">
              <w:rPr>
                <w:i/>
                <w:iCs/>
              </w:rPr>
              <w:t xml:space="preserve">4-18 GHz </w:t>
            </w:r>
            <w:r w:rsidR="00A41D6E" w:rsidRPr="001A2F75">
              <w:rPr>
                <w:i/>
                <w:iCs/>
              </w:rPr>
              <w:t>antes de</w:t>
            </w:r>
            <w:r w:rsidRPr="001A2F75">
              <w:rPr>
                <w:i/>
                <w:iCs/>
              </w:rPr>
              <w:t xml:space="preserve"> 2023 </w:t>
            </w:r>
            <w:r w:rsidR="00A41D6E" w:rsidRPr="001A2F75">
              <w:rPr>
                <w:i/>
                <w:iCs/>
              </w:rPr>
              <w:t>y considerar una posible identificación de las</w:t>
            </w:r>
            <w:r w:rsidRPr="001A2F75">
              <w:rPr>
                <w:i/>
                <w:iCs/>
              </w:rPr>
              <w:t xml:space="preserve"> IMT </w:t>
            </w:r>
            <w:r w:rsidR="00A41D6E" w:rsidRPr="001A2F75">
              <w:rPr>
                <w:i/>
                <w:iCs/>
              </w:rPr>
              <w:t>en esas bandas en la CMR</w:t>
            </w:r>
            <w:r w:rsidRPr="001A2F75">
              <w:rPr>
                <w:i/>
                <w:iCs/>
              </w:rPr>
              <w:t>-23.</w:t>
            </w:r>
          </w:p>
        </w:tc>
      </w:tr>
      <w:tr w:rsidR="00E92F01" w:rsidRPr="009D183A" w14:paraId="47050B51" w14:textId="77777777" w:rsidTr="00404F9F">
        <w:trPr>
          <w:jc w:val="center"/>
        </w:trPr>
        <w:tc>
          <w:tcPr>
            <w:tcW w:w="963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ECAA87C" w14:textId="77777777" w:rsidR="00E92F01" w:rsidRPr="009D183A" w:rsidRDefault="00E92F01" w:rsidP="009D183A">
            <w:pPr>
              <w:pStyle w:val="Headingb"/>
              <w:keepNext w:val="0"/>
              <w:rPr>
                <w:bCs/>
                <w:i/>
                <w:iCs/>
              </w:rPr>
            </w:pPr>
            <w:r w:rsidRPr="009D183A">
              <w:rPr>
                <w:i/>
              </w:rPr>
              <w:t>Antecedentes/motivos</w:t>
            </w:r>
            <w:r w:rsidRPr="009D183A">
              <w:rPr>
                <w:bCs/>
                <w:i/>
                <w:iCs/>
              </w:rPr>
              <w:t>:</w:t>
            </w:r>
          </w:p>
          <w:p w14:paraId="5B072117" w14:textId="3933AC79" w:rsidR="00E92F01" w:rsidRPr="009D183A" w:rsidRDefault="00A41D6E" w:rsidP="009D183A">
            <w:pPr>
              <w:tabs>
                <w:tab w:val="clear" w:pos="1134"/>
                <w:tab w:val="clear" w:pos="1871"/>
                <w:tab w:val="clear" w:pos="2268"/>
              </w:tabs>
            </w:pPr>
            <w:r w:rsidRPr="009D183A">
              <w:t>Las bandas de ondas milimétricas en el marco del punto 1.13 del orden del día están llamadas a ser las bandas fundamentales para la prestación de servicios 5G de ultraalta velocidad y alta capacidad. Está previsto que las redes 5G en bandas de ondas milimétricas se desplieguen principalmente en puntos de acceso público de grandes ciudades y otras zonas con alta densidad de población.</w:t>
            </w:r>
          </w:p>
          <w:p w14:paraId="4D7458FF" w14:textId="77777777" w:rsidR="006F4D2F" w:rsidRPr="009D183A" w:rsidRDefault="006F4D2F" w:rsidP="009D183A">
            <w:pPr>
              <w:rPr>
                <w:lang w:eastAsia="zh-CN"/>
              </w:rPr>
            </w:pPr>
            <w:r w:rsidRPr="009D183A">
              <w:rPr>
                <w:lang w:eastAsia="zh-CN"/>
              </w:rPr>
              <w:t xml:space="preserve">Sin embargo, a fin de aprovechar al máximo las capacidades de la tecnología 5G, en particular la cobertura ampliada, se </w:t>
            </w:r>
            <w:r w:rsidRPr="009D183A">
              <w:rPr>
                <w:rFonts w:ascii="inherit" w:hAnsi="inherit"/>
                <w:color w:val="000000"/>
                <w:shd w:val="clear" w:color="auto" w:fill="FFFFFF"/>
              </w:rPr>
              <w:t xml:space="preserve">requerirá </w:t>
            </w:r>
            <w:r w:rsidRPr="009D183A">
              <w:rPr>
                <w:lang w:eastAsia="zh-CN"/>
              </w:rPr>
              <w:t>espectro adicional. En parte, esta necesidad podría satisfacerse con las bandas móviles existentes inferiores a 3,6 GHz. Aunque las bandas de frecuencias más bajas son más eficientes para dar cobertura a zonas más amplias y también para que las estaciones de base en exteriores puedan ofrecer cobertura en interiores, aumentará la demanda de las bandas 5G existentes, como la banda C, con miras a la implantación eficaz de redes 5G. Cabe prever que muy pronto se requiera espectro adicional para 5G en la gama de frecuencias medias, concretamente entre 4 GHz y 18 GHz.</w:t>
            </w:r>
          </w:p>
          <w:p w14:paraId="253AD907" w14:textId="24A3711E" w:rsidR="00E92F01" w:rsidRPr="009D183A" w:rsidRDefault="00944ECB" w:rsidP="009D183A">
            <w:pPr>
              <w:pStyle w:val="enumlev1"/>
            </w:pPr>
            <w:r w:rsidRPr="009D183A">
              <w:t>Se propone la identificación de l</w:t>
            </w:r>
            <w:r w:rsidR="00A41D6E" w:rsidRPr="009D183A">
              <w:t xml:space="preserve">as siguientes bandas </w:t>
            </w:r>
            <w:r w:rsidRPr="009D183A">
              <w:t xml:space="preserve">como posibles candidatas </w:t>
            </w:r>
            <w:r w:rsidR="00A41D6E" w:rsidRPr="009D183A">
              <w:t>para las IMT</w:t>
            </w:r>
            <w:r w:rsidR="00E92F01" w:rsidRPr="009D183A">
              <w:t>:</w:t>
            </w:r>
          </w:p>
          <w:p w14:paraId="5DA4B2EA" w14:textId="77777777" w:rsidR="00E92F01" w:rsidRPr="009D183A" w:rsidRDefault="00E92F01" w:rsidP="009D183A">
            <w:pPr>
              <w:pStyle w:val="enumlev1"/>
              <w:rPr>
                <w:lang w:eastAsia="zh-CN"/>
              </w:rPr>
            </w:pPr>
            <w:r w:rsidRPr="009D183A">
              <w:rPr>
                <w:lang w:eastAsia="zh-CN"/>
              </w:rPr>
              <w:t>•</w:t>
            </w:r>
            <w:r w:rsidRPr="009D183A">
              <w:rPr>
                <w:lang w:eastAsia="zh-CN"/>
              </w:rPr>
              <w:tab/>
              <w:t>4 800-4 990 MHz</w:t>
            </w:r>
          </w:p>
          <w:p w14:paraId="12709EE4" w14:textId="77777777" w:rsidR="00E92F01" w:rsidRPr="009D183A" w:rsidRDefault="00E92F01" w:rsidP="009D183A">
            <w:pPr>
              <w:pStyle w:val="enumlev1"/>
              <w:rPr>
                <w:szCs w:val="28"/>
                <w:lang w:eastAsia="zh-CN"/>
              </w:rPr>
            </w:pPr>
            <w:r w:rsidRPr="009D183A">
              <w:rPr>
                <w:lang w:eastAsia="zh-CN"/>
              </w:rPr>
              <w:t>•</w:t>
            </w:r>
            <w:r w:rsidRPr="009D183A">
              <w:rPr>
                <w:lang w:eastAsia="zh-CN"/>
              </w:rPr>
              <w:tab/>
            </w:r>
            <w:r w:rsidRPr="009D183A">
              <w:rPr>
                <w:szCs w:val="28"/>
                <w:lang w:eastAsia="zh-CN"/>
              </w:rPr>
              <w:t>5 925-</w:t>
            </w:r>
            <w:r w:rsidRPr="009D183A">
              <w:t>7 125</w:t>
            </w:r>
            <w:r w:rsidRPr="009D183A">
              <w:rPr>
                <w:szCs w:val="28"/>
                <w:lang w:eastAsia="zh-CN"/>
              </w:rPr>
              <w:t xml:space="preserve"> MHz </w:t>
            </w:r>
          </w:p>
          <w:p w14:paraId="058C492E" w14:textId="77777777" w:rsidR="00E92F01" w:rsidRPr="009D183A" w:rsidRDefault="00E92F01" w:rsidP="009D183A">
            <w:pPr>
              <w:pStyle w:val="enumlev1"/>
              <w:rPr>
                <w:szCs w:val="28"/>
                <w:lang w:eastAsia="zh-CN"/>
              </w:rPr>
            </w:pPr>
            <w:r w:rsidRPr="009D183A">
              <w:rPr>
                <w:lang w:eastAsia="zh-CN"/>
              </w:rPr>
              <w:t>•</w:t>
            </w:r>
            <w:r w:rsidRPr="009D183A">
              <w:rPr>
                <w:lang w:eastAsia="zh-CN"/>
              </w:rPr>
              <w:tab/>
            </w:r>
            <w:r w:rsidRPr="009D183A">
              <w:rPr>
                <w:szCs w:val="28"/>
                <w:lang w:eastAsia="zh-CN"/>
              </w:rPr>
              <w:t>7 125-</w:t>
            </w:r>
            <w:r w:rsidRPr="009D183A">
              <w:t>8 500</w:t>
            </w:r>
            <w:r w:rsidRPr="009D183A">
              <w:rPr>
                <w:szCs w:val="28"/>
                <w:lang w:eastAsia="zh-CN"/>
              </w:rPr>
              <w:t xml:space="preserve"> MHz</w:t>
            </w:r>
          </w:p>
          <w:p w14:paraId="71E00D99" w14:textId="77777777" w:rsidR="00E92F01" w:rsidRPr="009D183A" w:rsidRDefault="00E92F01" w:rsidP="009D183A">
            <w:pPr>
              <w:pStyle w:val="enumlev1"/>
              <w:rPr>
                <w:szCs w:val="28"/>
                <w:lang w:eastAsia="zh-CN"/>
              </w:rPr>
            </w:pPr>
            <w:r w:rsidRPr="009D183A">
              <w:rPr>
                <w:lang w:eastAsia="zh-CN"/>
              </w:rPr>
              <w:t>•</w:t>
            </w:r>
            <w:r w:rsidRPr="009D183A">
              <w:rPr>
                <w:lang w:eastAsia="zh-CN"/>
              </w:rPr>
              <w:tab/>
            </w:r>
            <w:r w:rsidRPr="009D183A">
              <w:rPr>
                <w:szCs w:val="28"/>
                <w:lang w:eastAsia="zh-CN"/>
              </w:rPr>
              <w:t>8,5-10 GHz</w:t>
            </w:r>
          </w:p>
          <w:p w14:paraId="3B76A702" w14:textId="77777777" w:rsidR="00E92F01" w:rsidRPr="009D183A" w:rsidRDefault="00E92F01" w:rsidP="009D183A">
            <w:pPr>
              <w:pStyle w:val="enumlev1"/>
              <w:rPr>
                <w:szCs w:val="28"/>
                <w:lang w:eastAsia="zh-CN"/>
              </w:rPr>
            </w:pPr>
            <w:r w:rsidRPr="009D183A">
              <w:rPr>
                <w:lang w:eastAsia="zh-CN"/>
              </w:rPr>
              <w:t>•</w:t>
            </w:r>
            <w:r w:rsidRPr="009D183A">
              <w:rPr>
                <w:lang w:eastAsia="zh-CN"/>
              </w:rPr>
              <w:tab/>
            </w:r>
            <w:r w:rsidRPr="009D183A">
              <w:rPr>
                <w:szCs w:val="28"/>
                <w:lang w:eastAsia="zh-CN"/>
              </w:rPr>
              <w:t>10-10,5 GHz</w:t>
            </w:r>
          </w:p>
          <w:p w14:paraId="51F1DE74" w14:textId="77777777" w:rsidR="00E92F01" w:rsidRPr="009D183A" w:rsidRDefault="00E92F01" w:rsidP="009D183A">
            <w:pPr>
              <w:pStyle w:val="enumlev1"/>
              <w:rPr>
                <w:szCs w:val="28"/>
                <w:lang w:eastAsia="zh-CN"/>
              </w:rPr>
            </w:pPr>
            <w:r w:rsidRPr="009D183A">
              <w:rPr>
                <w:lang w:eastAsia="zh-CN"/>
              </w:rPr>
              <w:t>•</w:t>
            </w:r>
            <w:r w:rsidRPr="009D183A">
              <w:rPr>
                <w:lang w:eastAsia="zh-CN"/>
              </w:rPr>
              <w:tab/>
            </w:r>
            <w:r w:rsidRPr="009D183A">
              <w:rPr>
                <w:szCs w:val="28"/>
                <w:lang w:eastAsia="zh-CN"/>
              </w:rPr>
              <w:t>14,3/14,8-15,35 GHz</w:t>
            </w:r>
          </w:p>
          <w:p w14:paraId="46EFE31A" w14:textId="77777777" w:rsidR="00E92F01" w:rsidRPr="009D183A" w:rsidRDefault="00E92F01" w:rsidP="009D183A">
            <w:pPr>
              <w:pStyle w:val="enumlev1"/>
              <w:rPr>
                <w:szCs w:val="28"/>
                <w:lang w:eastAsia="zh-CN"/>
              </w:rPr>
            </w:pPr>
            <w:r w:rsidRPr="009D183A">
              <w:rPr>
                <w:lang w:eastAsia="zh-CN"/>
              </w:rPr>
              <w:t>•</w:t>
            </w:r>
            <w:r w:rsidRPr="009D183A">
              <w:rPr>
                <w:lang w:eastAsia="zh-CN"/>
              </w:rPr>
              <w:tab/>
            </w:r>
            <w:r w:rsidRPr="009D183A">
              <w:rPr>
                <w:szCs w:val="28"/>
                <w:lang w:eastAsia="zh-CN"/>
              </w:rPr>
              <w:t>15,35-15,63 GHz</w:t>
            </w:r>
          </w:p>
          <w:p w14:paraId="628C9A37" w14:textId="19687E50" w:rsidR="00E92F01" w:rsidRPr="009D183A" w:rsidRDefault="00E92F01" w:rsidP="00404F9F">
            <w:pPr>
              <w:pStyle w:val="enumlev1"/>
              <w:spacing w:before="120" w:after="240"/>
            </w:pPr>
            <w:r w:rsidRPr="009D183A">
              <w:rPr>
                <w:lang w:eastAsia="zh-CN"/>
              </w:rPr>
              <w:t>•</w:t>
            </w:r>
            <w:r w:rsidRPr="009D183A">
              <w:rPr>
                <w:lang w:eastAsia="zh-CN"/>
              </w:rPr>
              <w:tab/>
            </w:r>
            <w:r w:rsidRPr="009D183A">
              <w:rPr>
                <w:szCs w:val="28"/>
                <w:lang w:eastAsia="zh-CN"/>
              </w:rPr>
              <w:t>15,63-17,3 GHz</w:t>
            </w:r>
          </w:p>
        </w:tc>
      </w:tr>
      <w:tr w:rsidR="00E92F01" w:rsidRPr="009D183A" w14:paraId="5AFEC0C1" w14:textId="77777777" w:rsidTr="00404F9F">
        <w:trPr>
          <w:jc w:val="center"/>
        </w:trPr>
        <w:tc>
          <w:tcPr>
            <w:tcW w:w="963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C379292" w14:textId="4E0AA6C0" w:rsidR="00E92F01" w:rsidRPr="0072300F" w:rsidRDefault="00E92F01" w:rsidP="0072300F">
            <w:pPr>
              <w:spacing w:after="240"/>
              <w:rPr>
                <w:bCs/>
                <w:iCs/>
              </w:rPr>
            </w:pPr>
            <w:r w:rsidRPr="0072300F">
              <w:rPr>
                <w:b/>
                <w:bCs/>
                <w:i/>
                <w:iCs/>
              </w:rPr>
              <w:t>Servicios de radiocomunicaciones en cuestión:</w:t>
            </w:r>
            <w:r w:rsidR="0072300F">
              <w:rPr>
                <w:bCs/>
                <w:iCs/>
              </w:rPr>
              <w:t xml:space="preserve"> </w:t>
            </w:r>
            <w:r w:rsidR="00944ECB" w:rsidRPr="009D183A">
              <w:t>SFS</w:t>
            </w:r>
            <w:r w:rsidRPr="009D183A">
              <w:t xml:space="preserve">, </w:t>
            </w:r>
            <w:r w:rsidR="00944ECB" w:rsidRPr="009D183A">
              <w:t>SF</w:t>
            </w:r>
            <w:r w:rsidRPr="009D183A">
              <w:t xml:space="preserve">, </w:t>
            </w:r>
            <w:r w:rsidR="00944ECB" w:rsidRPr="009D183A">
              <w:t>SM y otros</w:t>
            </w:r>
          </w:p>
        </w:tc>
      </w:tr>
      <w:tr w:rsidR="00E92F01" w:rsidRPr="009D183A" w14:paraId="4304A0FE" w14:textId="77777777" w:rsidTr="00404F9F">
        <w:trPr>
          <w:jc w:val="center"/>
        </w:trPr>
        <w:tc>
          <w:tcPr>
            <w:tcW w:w="963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6F57E8B" w14:textId="6F2E97A3" w:rsidR="00E92F01" w:rsidRPr="0072300F" w:rsidRDefault="00E92F01" w:rsidP="0072300F">
            <w:pPr>
              <w:spacing w:after="240"/>
              <w:rPr>
                <w:bCs/>
                <w:i/>
                <w:iCs/>
              </w:rPr>
            </w:pPr>
            <w:r w:rsidRPr="0072300F">
              <w:rPr>
                <w:b/>
                <w:bCs/>
                <w:i/>
              </w:rPr>
              <w:t>Indicación de posibles dificultades</w:t>
            </w:r>
            <w:r w:rsidRPr="0072300F">
              <w:rPr>
                <w:b/>
                <w:bCs/>
                <w:i/>
                <w:iCs/>
              </w:rPr>
              <w:t>:</w:t>
            </w:r>
            <w:r w:rsidR="0072300F" w:rsidRPr="0072300F">
              <w:rPr>
                <w:b/>
                <w:bCs/>
                <w:i/>
                <w:iCs/>
              </w:rPr>
              <w:t xml:space="preserve"> </w:t>
            </w:r>
            <w:r w:rsidR="00944ECB" w:rsidRPr="009D183A">
              <w:t>Las bandas consideradas tienen otros usos. Es preciso estudiar la coexistencia de las IMT con esos servicios</w:t>
            </w:r>
            <w:r w:rsidR="006F4D2F" w:rsidRPr="009D183A">
              <w:t>. E</w:t>
            </w:r>
            <w:r w:rsidR="00944ECB" w:rsidRPr="009D183A">
              <w:t>n función de los resultados, la identificación de las IMT podría no ser viable en algunas de esas bandas</w:t>
            </w:r>
            <w:r w:rsidRPr="009D183A">
              <w:t>.</w:t>
            </w:r>
          </w:p>
        </w:tc>
      </w:tr>
      <w:tr w:rsidR="00E92F01" w:rsidRPr="009D183A" w14:paraId="26F9D405" w14:textId="77777777" w:rsidTr="00404F9F">
        <w:trPr>
          <w:jc w:val="center"/>
        </w:trPr>
        <w:tc>
          <w:tcPr>
            <w:tcW w:w="9638" w:type="dxa"/>
            <w:gridSpan w:val="3"/>
            <w:tcBorders>
              <w:top w:val="single" w:sz="12" w:space="0" w:color="auto"/>
            </w:tcBorders>
          </w:tcPr>
          <w:p w14:paraId="23A10BEA" w14:textId="77777777" w:rsidR="00E92F01" w:rsidRPr="009D183A" w:rsidRDefault="00E92F01" w:rsidP="009D183A">
            <w:pPr>
              <w:pStyle w:val="Headingb"/>
              <w:keepNext w:val="0"/>
              <w:rPr>
                <w:bCs/>
                <w:i/>
                <w:iCs/>
              </w:rPr>
            </w:pPr>
            <w:r w:rsidRPr="009D183A">
              <w:rPr>
                <w:i/>
              </w:rPr>
              <w:lastRenderedPageBreak/>
              <w:t>Estudios previos o en curso sobre el tema</w:t>
            </w:r>
            <w:r w:rsidRPr="009D183A">
              <w:rPr>
                <w:bCs/>
                <w:i/>
                <w:iCs/>
              </w:rPr>
              <w:t>:</w:t>
            </w:r>
          </w:p>
          <w:p w14:paraId="7452C91A" w14:textId="01E883C3" w:rsidR="00E92F01" w:rsidRPr="009D183A" w:rsidRDefault="00E92F01" w:rsidP="00404F9F">
            <w:pPr>
              <w:spacing w:after="240"/>
            </w:pPr>
            <w:r w:rsidRPr="009D183A">
              <w:t>En la banda de frecuencias de 5 925</w:t>
            </w:r>
            <w:r w:rsidRPr="009D183A">
              <w:noBreakHyphen/>
              <w:t>6 425 MHz, el resultado de los estudios de compartición y compatibilidad para las IMT, entre otros servicios, figura en el Informe UIT</w:t>
            </w:r>
            <w:r w:rsidRPr="009D183A">
              <w:noBreakHyphen/>
              <w:t>R F.2326</w:t>
            </w:r>
            <w:r w:rsidRPr="009D183A">
              <w:noBreakHyphen/>
              <w:t>0 (para</w:t>
            </w:r>
            <w:r w:rsidR="00393B5E">
              <w:t xml:space="preserve"> </w:t>
            </w:r>
            <w:r w:rsidRPr="009D183A">
              <w:t>los estudios de compartición con el servicio fijo) y en el Informe UIT</w:t>
            </w:r>
            <w:r w:rsidRPr="009D183A">
              <w:noBreakHyphen/>
              <w:t>R S.2367 (para los estudios de compartición con el SFS, en enlace ascendente).</w:t>
            </w:r>
          </w:p>
        </w:tc>
      </w:tr>
      <w:tr w:rsidR="00E92F01" w:rsidRPr="009D183A" w14:paraId="3BDE024F" w14:textId="77777777" w:rsidTr="00404F9F">
        <w:trPr>
          <w:jc w:val="center"/>
        </w:trPr>
        <w:tc>
          <w:tcPr>
            <w:tcW w:w="48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DF43" w14:textId="77777777" w:rsidR="00E92F01" w:rsidRPr="009D183A" w:rsidRDefault="00E92F01" w:rsidP="009D183A">
            <w:pPr>
              <w:pStyle w:val="Headingb"/>
              <w:keepNext w:val="0"/>
              <w:rPr>
                <w:i/>
                <w:iCs/>
              </w:rPr>
            </w:pPr>
            <w:r w:rsidRPr="009D183A">
              <w:rPr>
                <w:i/>
                <w:iCs/>
              </w:rPr>
              <w:t>Estudios que han de efectuarse a cargo de:</w:t>
            </w:r>
          </w:p>
          <w:p w14:paraId="2B164C1A" w14:textId="196DBA90" w:rsidR="00E92F01" w:rsidRPr="009D183A" w:rsidRDefault="00E92F01" w:rsidP="00730BF7">
            <w:r w:rsidRPr="009D183A">
              <w:t>GT 5D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724D80" w14:textId="77777777" w:rsidR="00E92F01" w:rsidRPr="009D183A" w:rsidRDefault="00E92F01" w:rsidP="009D183A">
            <w:pPr>
              <w:pStyle w:val="Headingb"/>
              <w:keepNext w:val="0"/>
              <w:rPr>
                <w:i/>
              </w:rPr>
            </w:pPr>
            <w:r w:rsidRPr="009D183A">
              <w:rPr>
                <w:i/>
              </w:rPr>
              <w:t>con participación de:</w:t>
            </w:r>
          </w:p>
          <w:p w14:paraId="6913E8FC" w14:textId="3A2A3CAF" w:rsidR="00E92F01" w:rsidRPr="009D183A" w:rsidRDefault="00944ECB" w:rsidP="00404F9F">
            <w:pPr>
              <w:spacing w:after="240"/>
            </w:pPr>
            <w:r w:rsidRPr="009D183A">
              <w:t>Administraciones y Miembros de Sector del</w:t>
            </w:r>
            <w:r w:rsidR="00404F9F">
              <w:t> </w:t>
            </w:r>
            <w:r w:rsidRPr="009D183A">
              <w:t>UIT-R</w:t>
            </w:r>
          </w:p>
        </w:tc>
      </w:tr>
      <w:tr w:rsidR="00E92F01" w:rsidRPr="009D183A" w14:paraId="0A61FCCE" w14:textId="77777777" w:rsidTr="00404F9F">
        <w:trPr>
          <w:jc w:val="center"/>
        </w:trPr>
        <w:tc>
          <w:tcPr>
            <w:tcW w:w="9638" w:type="dxa"/>
            <w:gridSpan w:val="3"/>
            <w:tcBorders>
              <w:bottom w:val="single" w:sz="12" w:space="0" w:color="auto"/>
            </w:tcBorders>
          </w:tcPr>
          <w:p w14:paraId="4F0B66B7" w14:textId="77777777" w:rsidR="00E92F01" w:rsidRPr="009D183A" w:rsidRDefault="00E92F01" w:rsidP="009D183A">
            <w:pPr>
              <w:pStyle w:val="Headingb"/>
              <w:keepNext w:val="0"/>
              <w:rPr>
                <w:bCs/>
                <w:i/>
                <w:iCs/>
              </w:rPr>
            </w:pPr>
            <w:r w:rsidRPr="009D183A">
              <w:rPr>
                <w:i/>
              </w:rPr>
              <w:t>Comisiones de Estudio del UIT-R interesadas</w:t>
            </w:r>
            <w:r w:rsidRPr="009D183A">
              <w:rPr>
                <w:bCs/>
                <w:i/>
                <w:iCs/>
              </w:rPr>
              <w:t>:</w:t>
            </w:r>
          </w:p>
          <w:p w14:paraId="03706867" w14:textId="605AF1AE" w:rsidR="00E92F01" w:rsidRPr="009D183A" w:rsidRDefault="00E92F01" w:rsidP="00404F9F">
            <w:pPr>
              <w:spacing w:after="240"/>
            </w:pPr>
            <w:r w:rsidRPr="009D183A">
              <w:t>CE</w:t>
            </w:r>
            <w:r w:rsidR="009A7B4D" w:rsidRPr="009D183A">
              <w:t xml:space="preserve">5, CE 4 </w:t>
            </w:r>
            <w:r w:rsidR="00944ECB" w:rsidRPr="009D183A">
              <w:t>y otras comisiones</w:t>
            </w:r>
          </w:p>
        </w:tc>
      </w:tr>
      <w:tr w:rsidR="00E92F01" w:rsidRPr="009D183A" w14:paraId="74979A88" w14:textId="77777777" w:rsidTr="00404F9F">
        <w:trPr>
          <w:jc w:val="center"/>
        </w:trPr>
        <w:tc>
          <w:tcPr>
            <w:tcW w:w="9638" w:type="dxa"/>
            <w:gridSpan w:val="3"/>
            <w:tcBorders>
              <w:top w:val="single" w:sz="12" w:space="0" w:color="auto"/>
            </w:tcBorders>
          </w:tcPr>
          <w:p w14:paraId="6C2C25F4" w14:textId="278D028F" w:rsidR="00E92F01" w:rsidRPr="009D183A" w:rsidRDefault="00E92F01" w:rsidP="009D183A">
            <w:pPr>
              <w:pStyle w:val="Headingb"/>
              <w:keepNext w:val="0"/>
              <w:rPr>
                <w:bCs/>
                <w:i/>
              </w:rPr>
            </w:pPr>
            <w:r w:rsidRPr="009D183A">
              <w:rPr>
                <w:i/>
              </w:rPr>
              <w:t>Consecuencias en los recursos de la UIT, incluidas las implicaciones financieras</w:t>
            </w:r>
            <w:r w:rsidR="00730BF7">
              <w:rPr>
                <w:i/>
              </w:rPr>
              <w:br/>
            </w:r>
            <w:r w:rsidRPr="009D183A">
              <w:rPr>
                <w:i/>
              </w:rPr>
              <w:t>(véase el CV126):</w:t>
            </w:r>
          </w:p>
          <w:p w14:paraId="74B8E78A" w14:textId="70799110" w:rsidR="00E92F01" w:rsidRPr="009D183A" w:rsidRDefault="00E226AE" w:rsidP="00404F9F">
            <w:pPr>
              <w:spacing w:after="240"/>
            </w:pPr>
            <w:r w:rsidRPr="009D183A">
              <w:t>POR DETERMINAR</w:t>
            </w:r>
          </w:p>
        </w:tc>
      </w:tr>
      <w:tr w:rsidR="00E92F01" w:rsidRPr="009D183A" w14:paraId="2F5BD197" w14:textId="77777777" w:rsidTr="00404F9F">
        <w:trPr>
          <w:jc w:val="center"/>
        </w:trPr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14:paraId="771047EB" w14:textId="6AC480E2" w:rsidR="00E92F01" w:rsidRPr="009D183A" w:rsidRDefault="00E92F01" w:rsidP="00404F9F">
            <w:pPr>
              <w:pStyle w:val="Headingb"/>
              <w:keepNext w:val="0"/>
              <w:spacing w:before="120"/>
            </w:pPr>
            <w:r w:rsidRPr="009D183A">
              <w:rPr>
                <w:i/>
                <w:iCs/>
              </w:rPr>
              <w:t>Propuesta regional común</w:t>
            </w:r>
            <w:r w:rsidRPr="009D183A">
              <w:rPr>
                <w:bCs/>
                <w:i/>
                <w:iCs/>
              </w:rPr>
              <w:t xml:space="preserve">: </w:t>
            </w:r>
            <w:r w:rsidRPr="009D183A">
              <w:rPr>
                <w:b w:val="0"/>
                <w:bCs/>
              </w:rPr>
              <w:t xml:space="preserve">Sí </w:t>
            </w:r>
          </w:p>
          <w:p w14:paraId="46A3ED98" w14:textId="77777777" w:rsidR="00E92F01" w:rsidRPr="009D183A" w:rsidRDefault="00E92F01" w:rsidP="009D183A">
            <w:pPr>
              <w:rPr>
                <w:lang w:eastAsia="ja-JP"/>
              </w:rPr>
            </w:pPr>
          </w:p>
        </w:tc>
        <w:tc>
          <w:tcPr>
            <w:tcW w:w="538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9DEB75D" w14:textId="5BD5E1D2" w:rsidR="00E92F01" w:rsidRPr="009D183A" w:rsidRDefault="00E92F01" w:rsidP="00404F9F">
            <w:pPr>
              <w:pStyle w:val="Headingb"/>
              <w:keepNext w:val="0"/>
              <w:spacing w:before="120"/>
            </w:pPr>
            <w:r w:rsidRPr="009D183A">
              <w:rPr>
                <w:i/>
                <w:iCs/>
              </w:rPr>
              <w:t>Propuesta presentada por más de un país</w:t>
            </w:r>
            <w:r w:rsidRPr="009D183A">
              <w:rPr>
                <w:bCs/>
                <w:i/>
                <w:iCs/>
              </w:rPr>
              <w:t>:</w:t>
            </w:r>
            <w:r w:rsidRPr="009D183A">
              <w:rPr>
                <w:b w:val="0"/>
                <w:bCs/>
                <w:iCs/>
              </w:rPr>
              <w:t xml:space="preserve"> </w:t>
            </w:r>
            <w:r w:rsidRPr="009D183A">
              <w:rPr>
                <w:b w:val="0"/>
                <w:bCs/>
              </w:rPr>
              <w:t>No</w:t>
            </w:r>
          </w:p>
          <w:p w14:paraId="102D27C8" w14:textId="61D962AA" w:rsidR="00E92F01" w:rsidRPr="009D183A" w:rsidRDefault="00E92F01" w:rsidP="00404F9F">
            <w:pPr>
              <w:pStyle w:val="Headingb"/>
              <w:spacing w:before="120" w:after="240"/>
              <w:rPr>
                <w:lang w:eastAsia="ja-JP"/>
              </w:rPr>
            </w:pPr>
            <w:r w:rsidRPr="009D183A">
              <w:t>Número de países:</w:t>
            </w:r>
          </w:p>
        </w:tc>
      </w:tr>
      <w:tr w:rsidR="00E92F01" w:rsidRPr="009D183A" w14:paraId="7801D055" w14:textId="77777777" w:rsidTr="008D641A">
        <w:trPr>
          <w:jc w:val="center"/>
        </w:trPr>
        <w:tc>
          <w:tcPr>
            <w:tcW w:w="9638" w:type="dxa"/>
            <w:gridSpan w:val="3"/>
          </w:tcPr>
          <w:p w14:paraId="70844E97" w14:textId="77777777" w:rsidR="00E92F01" w:rsidRPr="009D183A" w:rsidRDefault="00E92F01" w:rsidP="009D183A">
            <w:pPr>
              <w:pStyle w:val="Headingb"/>
              <w:keepNext w:val="0"/>
              <w:rPr>
                <w:bCs/>
                <w:i/>
                <w:iCs/>
              </w:rPr>
            </w:pPr>
            <w:r w:rsidRPr="009D183A">
              <w:rPr>
                <w:bCs/>
                <w:i/>
                <w:iCs/>
              </w:rPr>
              <w:t>Observaciones</w:t>
            </w:r>
          </w:p>
          <w:p w14:paraId="1EC7F4AA" w14:textId="77777777" w:rsidR="00E92F01" w:rsidRPr="009D183A" w:rsidRDefault="00E92F01" w:rsidP="009D183A"/>
        </w:tc>
      </w:tr>
    </w:tbl>
    <w:p w14:paraId="374520D0" w14:textId="77777777" w:rsidR="009A7B4D" w:rsidRPr="009D183A" w:rsidRDefault="009A7B4D" w:rsidP="009D183A"/>
    <w:p w14:paraId="72089823" w14:textId="77777777" w:rsidR="009A7B4D" w:rsidRPr="009D183A" w:rsidRDefault="009A7B4D" w:rsidP="009D183A">
      <w:pPr>
        <w:jc w:val="center"/>
      </w:pPr>
      <w:r w:rsidRPr="009D183A">
        <w:t>______________</w:t>
      </w:r>
    </w:p>
    <w:sectPr w:rsidR="009A7B4D" w:rsidRPr="009D183A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369EE" w14:textId="77777777" w:rsidR="003C0613" w:rsidRDefault="003C0613">
      <w:r>
        <w:separator/>
      </w:r>
    </w:p>
  </w:endnote>
  <w:endnote w:type="continuationSeparator" w:id="0">
    <w:p w14:paraId="565DE2F4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0000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E9455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FD5851" w14:textId="60708FAD" w:rsidR="0077084A" w:rsidRPr="00D65E1E" w:rsidRDefault="0077084A">
    <w:pPr>
      <w:ind w:right="360"/>
    </w:pPr>
    <w:r>
      <w:fldChar w:fldCharType="begin"/>
    </w:r>
    <w:r w:rsidRPr="00D65E1E">
      <w:instrText xml:space="preserve"> FILENAME \p  \* MERGEFORMAT </w:instrText>
    </w:r>
    <w:r>
      <w:fldChar w:fldCharType="separate"/>
    </w:r>
    <w:r w:rsidR="008D641A">
      <w:rPr>
        <w:noProof/>
      </w:rPr>
      <w:t>P:\ESP\ITU-R\CONF-R\CMR19\000\097S.docx</w:t>
    </w:r>
    <w:r>
      <w:fldChar w:fldCharType="end"/>
    </w:r>
    <w:r w:rsidRPr="00D65E1E">
      <w:tab/>
    </w:r>
    <w:r>
      <w:fldChar w:fldCharType="begin"/>
    </w:r>
    <w:r>
      <w:instrText xml:space="preserve"> SAVEDATE \@ DD.MM.YY </w:instrText>
    </w:r>
    <w:r>
      <w:fldChar w:fldCharType="separate"/>
    </w:r>
    <w:r w:rsidR="008D641A">
      <w:rPr>
        <w:noProof/>
      </w:rPr>
      <w:t>21.10.19</w:t>
    </w:r>
    <w:r>
      <w:fldChar w:fldCharType="end"/>
    </w:r>
    <w:r w:rsidRPr="00D65E1E">
      <w:tab/>
    </w:r>
    <w:r>
      <w:fldChar w:fldCharType="begin"/>
    </w:r>
    <w:r>
      <w:instrText xml:space="preserve"> PRINTDATE \@ DD.MM.YY </w:instrText>
    </w:r>
    <w:r>
      <w:fldChar w:fldCharType="separate"/>
    </w:r>
    <w:r w:rsidR="008D641A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E4830" w14:textId="3CEAA2BB" w:rsidR="009A7B4D" w:rsidRPr="009D183A" w:rsidRDefault="009D183A" w:rsidP="009D183A">
    <w:pPr>
      <w:pStyle w:val="Footer"/>
      <w:rPr>
        <w:lang w:val="en-GB"/>
      </w:rPr>
    </w:pPr>
    <w:r>
      <w:fldChar w:fldCharType="begin"/>
    </w:r>
    <w:r w:rsidRPr="009A7B4D">
      <w:rPr>
        <w:lang w:val="en-GB"/>
      </w:rPr>
      <w:instrText xml:space="preserve"> FILENAME \p  \* MERGEFORMAT </w:instrText>
    </w:r>
    <w:r>
      <w:fldChar w:fldCharType="separate"/>
    </w:r>
    <w:r w:rsidR="008D641A">
      <w:rPr>
        <w:lang w:val="en-GB"/>
      </w:rPr>
      <w:t>P:\ESP\ITU-R\CONF-R\CMR19\000\097S.docx</w:t>
    </w:r>
    <w:r>
      <w:fldChar w:fldCharType="end"/>
    </w:r>
    <w:r w:rsidRPr="009A7B4D">
      <w:rPr>
        <w:lang w:val="en-GB"/>
      </w:rPr>
      <w:t xml:space="preserve"> (</w:t>
    </w:r>
    <w:r>
      <w:rPr>
        <w:lang w:val="en-GB"/>
      </w:rPr>
      <w:t>462241</w:t>
    </w:r>
    <w:r w:rsidRPr="009A7B4D">
      <w:rPr>
        <w:lang w:val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7E2DA" w14:textId="7497C21E" w:rsidR="009A7B4D" w:rsidRPr="009A7B4D" w:rsidRDefault="009A7B4D" w:rsidP="009A7B4D">
    <w:pPr>
      <w:pStyle w:val="Footer"/>
      <w:rPr>
        <w:lang w:val="en-GB"/>
      </w:rPr>
    </w:pPr>
    <w:r>
      <w:fldChar w:fldCharType="begin"/>
    </w:r>
    <w:r w:rsidRPr="009A7B4D">
      <w:rPr>
        <w:lang w:val="en-GB"/>
      </w:rPr>
      <w:instrText xml:space="preserve"> FILENAME \p  \* MERGEFORMAT </w:instrText>
    </w:r>
    <w:r>
      <w:fldChar w:fldCharType="separate"/>
    </w:r>
    <w:r w:rsidR="008D641A">
      <w:rPr>
        <w:lang w:val="en-GB"/>
      </w:rPr>
      <w:t>P:\ESP\ITU-R\CONF-R\CMR19\000\097S.docx</w:t>
    </w:r>
    <w:r>
      <w:fldChar w:fldCharType="end"/>
    </w:r>
    <w:r w:rsidRPr="009A7B4D">
      <w:rPr>
        <w:lang w:val="en-GB"/>
      </w:rPr>
      <w:t xml:space="preserve"> (</w:t>
    </w:r>
    <w:r>
      <w:rPr>
        <w:lang w:val="en-GB"/>
      </w:rPr>
      <w:t>462241</w:t>
    </w:r>
    <w:r w:rsidRPr="009A7B4D"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40A63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7776AE93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C22D4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4D2F">
      <w:rPr>
        <w:rStyle w:val="PageNumber"/>
        <w:noProof/>
      </w:rPr>
      <w:t>7</w:t>
    </w:r>
    <w:r>
      <w:rPr>
        <w:rStyle w:val="PageNumber"/>
      </w:rPr>
      <w:fldChar w:fldCharType="end"/>
    </w:r>
  </w:p>
  <w:p w14:paraId="4DC0CCA5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97-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C6A2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565B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4A2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F6AD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480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A68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4F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7A70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C7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24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2DC93123"/>
    <w:multiLevelType w:val="hybridMultilevel"/>
    <w:tmpl w:val="28104B4E"/>
    <w:lvl w:ilvl="0" w:tplc="52B0B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0C4314"/>
    <w:multiLevelType w:val="hybridMultilevel"/>
    <w:tmpl w:val="40E648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A2F75"/>
    <w:rsid w:val="001A7145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6818"/>
    <w:rsid w:val="002A791F"/>
    <w:rsid w:val="002C1A52"/>
    <w:rsid w:val="002C1B26"/>
    <w:rsid w:val="002C5D6C"/>
    <w:rsid w:val="002E701F"/>
    <w:rsid w:val="003248A9"/>
    <w:rsid w:val="00324FFA"/>
    <w:rsid w:val="0032680B"/>
    <w:rsid w:val="00361FC5"/>
    <w:rsid w:val="00363A65"/>
    <w:rsid w:val="0037744A"/>
    <w:rsid w:val="00393B5E"/>
    <w:rsid w:val="003B1E8C"/>
    <w:rsid w:val="003C0613"/>
    <w:rsid w:val="003C2508"/>
    <w:rsid w:val="003D0AA3"/>
    <w:rsid w:val="003D5EB9"/>
    <w:rsid w:val="003E2086"/>
    <w:rsid w:val="003F7F66"/>
    <w:rsid w:val="00404F9F"/>
    <w:rsid w:val="0041662F"/>
    <w:rsid w:val="00440B3A"/>
    <w:rsid w:val="0044375A"/>
    <w:rsid w:val="0045384C"/>
    <w:rsid w:val="00454553"/>
    <w:rsid w:val="00472A86"/>
    <w:rsid w:val="004B124A"/>
    <w:rsid w:val="004B3095"/>
    <w:rsid w:val="004D2C7C"/>
    <w:rsid w:val="004F7EF2"/>
    <w:rsid w:val="005133B5"/>
    <w:rsid w:val="00524392"/>
    <w:rsid w:val="00532097"/>
    <w:rsid w:val="0058350F"/>
    <w:rsid w:val="00583C7E"/>
    <w:rsid w:val="0059098E"/>
    <w:rsid w:val="005945BF"/>
    <w:rsid w:val="005D46FB"/>
    <w:rsid w:val="005F2605"/>
    <w:rsid w:val="005F3B0E"/>
    <w:rsid w:val="005F3DB8"/>
    <w:rsid w:val="005F559C"/>
    <w:rsid w:val="00602857"/>
    <w:rsid w:val="00602AA4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6F4D2F"/>
    <w:rsid w:val="00701C20"/>
    <w:rsid w:val="00702F3D"/>
    <w:rsid w:val="0070518E"/>
    <w:rsid w:val="0072300F"/>
    <w:rsid w:val="0072530D"/>
    <w:rsid w:val="00730BF7"/>
    <w:rsid w:val="007354E9"/>
    <w:rsid w:val="007424E8"/>
    <w:rsid w:val="0074579D"/>
    <w:rsid w:val="00765578"/>
    <w:rsid w:val="00766333"/>
    <w:rsid w:val="0077084A"/>
    <w:rsid w:val="00784375"/>
    <w:rsid w:val="007952C7"/>
    <w:rsid w:val="007C0B95"/>
    <w:rsid w:val="007C2317"/>
    <w:rsid w:val="007C4A70"/>
    <w:rsid w:val="007D330A"/>
    <w:rsid w:val="008468C3"/>
    <w:rsid w:val="00866AE6"/>
    <w:rsid w:val="008750A8"/>
    <w:rsid w:val="008D3316"/>
    <w:rsid w:val="008D641A"/>
    <w:rsid w:val="008E5AF2"/>
    <w:rsid w:val="0090121B"/>
    <w:rsid w:val="009144C9"/>
    <w:rsid w:val="0094091F"/>
    <w:rsid w:val="00944ECB"/>
    <w:rsid w:val="00962171"/>
    <w:rsid w:val="00973754"/>
    <w:rsid w:val="009A7B4D"/>
    <w:rsid w:val="009B754C"/>
    <w:rsid w:val="009C0BED"/>
    <w:rsid w:val="009D183A"/>
    <w:rsid w:val="009E11EC"/>
    <w:rsid w:val="009E6F14"/>
    <w:rsid w:val="00A021CC"/>
    <w:rsid w:val="00A11006"/>
    <w:rsid w:val="00A118DB"/>
    <w:rsid w:val="00A41D6E"/>
    <w:rsid w:val="00A4450C"/>
    <w:rsid w:val="00A720DE"/>
    <w:rsid w:val="00AA5E6C"/>
    <w:rsid w:val="00AE5677"/>
    <w:rsid w:val="00AE658F"/>
    <w:rsid w:val="00AF2F78"/>
    <w:rsid w:val="00AF7094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60D2"/>
    <w:rsid w:val="00CE7431"/>
    <w:rsid w:val="00D00CA8"/>
    <w:rsid w:val="00D0288A"/>
    <w:rsid w:val="00D03AE4"/>
    <w:rsid w:val="00D65E1E"/>
    <w:rsid w:val="00D72A5D"/>
    <w:rsid w:val="00DA71A3"/>
    <w:rsid w:val="00DC469F"/>
    <w:rsid w:val="00DC629B"/>
    <w:rsid w:val="00DE1C31"/>
    <w:rsid w:val="00DF030B"/>
    <w:rsid w:val="00E05BFF"/>
    <w:rsid w:val="00E226AE"/>
    <w:rsid w:val="00E262F1"/>
    <w:rsid w:val="00E3176A"/>
    <w:rsid w:val="00E36CE4"/>
    <w:rsid w:val="00E54754"/>
    <w:rsid w:val="00E56BD3"/>
    <w:rsid w:val="00E71D14"/>
    <w:rsid w:val="00E92F01"/>
    <w:rsid w:val="00EA77F0"/>
    <w:rsid w:val="00F32316"/>
    <w:rsid w:val="00F66597"/>
    <w:rsid w:val="00F675D0"/>
    <w:rsid w:val="00F8150C"/>
    <w:rsid w:val="00FD03C4"/>
    <w:rsid w:val="00FE2049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B47589C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204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textAlignment w:val="auto"/>
    </w:pPr>
    <w:rPr>
      <w:rFonts w:eastAsia="BatangChe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78437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4375"/>
    <w:rPr>
      <w:rFonts w:ascii="Segoe UI" w:hAnsi="Segoe UI" w:cs="Segoe UI"/>
      <w:sz w:val="18"/>
      <w:szCs w:val="18"/>
      <w:lang w:val="es-ES_tradnl" w:eastAsia="en-US"/>
    </w:rPr>
  </w:style>
  <w:style w:type="character" w:customStyle="1" w:styleId="HeadingbChar">
    <w:name w:val="Heading_b Char"/>
    <w:basedOn w:val="DefaultParagraphFont"/>
    <w:link w:val="Headingb"/>
    <w:locked/>
    <w:rsid w:val="00E92F01"/>
    <w:rPr>
      <w:b/>
      <w:sz w:val="24"/>
      <w:lang w:val="es-ES_tradn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30BF7"/>
    <w:rPr>
      <w:rFonts w:ascii="Times New Roman" w:hAnsi="Times New Roman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R16-WRC19-C-0097!!MSW-S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2EB31-C60C-49E5-AAB1-6519370679DE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333D95-C356-4313-8E48-5E1447C4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1943</Words>
  <Characters>10588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R16-WRC19-C-0097!!MSW-S</vt:lpstr>
    </vt:vector>
  </TitlesOfParts>
  <Manager>Secretaría General - Pool</Manager>
  <Company>Unión Internacional de Telecomunicaciones (UIT)</Company>
  <LinksUpToDate>false</LinksUpToDate>
  <CharactersWithSpaces>12506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R16-WRC19-C-0097!!MSW-S</dc:title>
  <dc:subject>Conferencia Mundial de Radiocomunicaciones - 2019</dc:subject>
  <dc:creator>Documents Proposals Manager (DPM)</dc:creator>
  <cp:keywords>DPM_v2019.10.15.2_prod</cp:keywords>
  <dc:description/>
  <cp:lastModifiedBy>Spanish</cp:lastModifiedBy>
  <cp:revision>10</cp:revision>
  <cp:lastPrinted>2019-10-22T20:22:00Z</cp:lastPrinted>
  <dcterms:created xsi:type="dcterms:W3CDTF">2019-10-17T12:57:00Z</dcterms:created>
  <dcterms:modified xsi:type="dcterms:W3CDTF">2019-10-22T20:41:00Z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