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90E5D" w14:paraId="27ECD444" w14:textId="77777777" w:rsidTr="007202EC">
        <w:trPr>
          <w:cantSplit/>
        </w:trPr>
        <w:tc>
          <w:tcPr>
            <w:tcW w:w="6911" w:type="dxa"/>
          </w:tcPr>
          <w:p w14:paraId="370E978D" w14:textId="77777777" w:rsidR="0090121B" w:rsidRPr="00990E5D" w:rsidRDefault="005D46FB" w:rsidP="00C44E9E">
            <w:pPr>
              <w:spacing w:before="400" w:after="48" w:line="240" w:lineRule="atLeast"/>
              <w:rPr>
                <w:rFonts w:ascii="Verdana" w:hAnsi="Verdana"/>
                <w:position w:val="6"/>
              </w:rPr>
            </w:pPr>
            <w:r w:rsidRPr="00990E5D">
              <w:rPr>
                <w:rFonts w:ascii="Verdana" w:hAnsi="Verdana" w:cs="Times"/>
                <w:b/>
                <w:position w:val="6"/>
                <w:sz w:val="20"/>
              </w:rPr>
              <w:t>Conferencia Mundial de Radiocomunicaciones (CMR-1</w:t>
            </w:r>
            <w:r w:rsidR="00C44E9E" w:rsidRPr="00990E5D">
              <w:rPr>
                <w:rFonts w:ascii="Verdana" w:hAnsi="Verdana" w:cs="Times"/>
                <w:b/>
                <w:position w:val="6"/>
                <w:sz w:val="20"/>
              </w:rPr>
              <w:t>9</w:t>
            </w:r>
            <w:r w:rsidRPr="00990E5D">
              <w:rPr>
                <w:rFonts w:ascii="Verdana" w:hAnsi="Verdana" w:cs="Times"/>
                <w:b/>
                <w:position w:val="6"/>
                <w:sz w:val="20"/>
              </w:rPr>
              <w:t>)</w:t>
            </w:r>
            <w:r w:rsidRPr="00990E5D">
              <w:rPr>
                <w:rFonts w:ascii="Verdana" w:hAnsi="Verdana" w:cs="Times"/>
                <w:b/>
                <w:position w:val="6"/>
                <w:sz w:val="20"/>
              </w:rPr>
              <w:br/>
            </w:r>
            <w:r w:rsidR="006124AD" w:rsidRPr="00990E5D">
              <w:rPr>
                <w:rFonts w:ascii="Verdana" w:hAnsi="Verdana"/>
                <w:b/>
                <w:bCs/>
                <w:position w:val="6"/>
                <w:sz w:val="17"/>
                <w:szCs w:val="17"/>
              </w:rPr>
              <w:t>Sharm el-Sheikh (Egipto)</w:t>
            </w:r>
            <w:r w:rsidRPr="00990E5D">
              <w:rPr>
                <w:rFonts w:ascii="Verdana" w:hAnsi="Verdana"/>
                <w:b/>
                <w:bCs/>
                <w:position w:val="6"/>
                <w:sz w:val="17"/>
                <w:szCs w:val="17"/>
              </w:rPr>
              <w:t>, 2</w:t>
            </w:r>
            <w:r w:rsidR="00C44E9E" w:rsidRPr="00990E5D">
              <w:rPr>
                <w:rFonts w:ascii="Verdana" w:hAnsi="Verdana"/>
                <w:b/>
                <w:bCs/>
                <w:position w:val="6"/>
                <w:sz w:val="17"/>
                <w:szCs w:val="17"/>
              </w:rPr>
              <w:t xml:space="preserve">8 de octubre </w:t>
            </w:r>
            <w:r w:rsidR="00DE1C31" w:rsidRPr="00990E5D">
              <w:rPr>
                <w:rFonts w:ascii="Verdana" w:hAnsi="Verdana"/>
                <w:b/>
                <w:bCs/>
                <w:position w:val="6"/>
                <w:sz w:val="17"/>
                <w:szCs w:val="17"/>
              </w:rPr>
              <w:t>–</w:t>
            </w:r>
            <w:r w:rsidR="00C44E9E" w:rsidRPr="00990E5D">
              <w:rPr>
                <w:rFonts w:ascii="Verdana" w:hAnsi="Verdana"/>
                <w:b/>
                <w:bCs/>
                <w:position w:val="6"/>
                <w:sz w:val="17"/>
                <w:szCs w:val="17"/>
              </w:rPr>
              <w:t xml:space="preserve"> </w:t>
            </w:r>
            <w:r w:rsidRPr="00990E5D">
              <w:rPr>
                <w:rFonts w:ascii="Verdana" w:hAnsi="Verdana"/>
                <w:b/>
                <w:bCs/>
                <w:position w:val="6"/>
                <w:sz w:val="17"/>
                <w:szCs w:val="17"/>
              </w:rPr>
              <w:t>2</w:t>
            </w:r>
            <w:r w:rsidR="00C44E9E" w:rsidRPr="00990E5D">
              <w:rPr>
                <w:rFonts w:ascii="Verdana" w:hAnsi="Verdana"/>
                <w:b/>
                <w:bCs/>
                <w:position w:val="6"/>
                <w:sz w:val="17"/>
                <w:szCs w:val="17"/>
              </w:rPr>
              <w:t>2</w:t>
            </w:r>
            <w:r w:rsidRPr="00990E5D">
              <w:rPr>
                <w:rFonts w:ascii="Verdana" w:hAnsi="Verdana"/>
                <w:b/>
                <w:bCs/>
                <w:position w:val="6"/>
                <w:sz w:val="17"/>
                <w:szCs w:val="17"/>
              </w:rPr>
              <w:t xml:space="preserve"> de noviembre de 201</w:t>
            </w:r>
            <w:r w:rsidR="00C44E9E" w:rsidRPr="00990E5D">
              <w:rPr>
                <w:rFonts w:ascii="Verdana" w:hAnsi="Verdana"/>
                <w:b/>
                <w:bCs/>
                <w:position w:val="6"/>
                <w:sz w:val="17"/>
                <w:szCs w:val="17"/>
              </w:rPr>
              <w:t>9</w:t>
            </w:r>
          </w:p>
        </w:tc>
        <w:tc>
          <w:tcPr>
            <w:tcW w:w="3120" w:type="dxa"/>
          </w:tcPr>
          <w:p w14:paraId="45D8C43B" w14:textId="77777777" w:rsidR="0090121B" w:rsidRPr="00990E5D" w:rsidRDefault="00DA71A3" w:rsidP="00CE7431">
            <w:pPr>
              <w:spacing w:before="0" w:line="240" w:lineRule="atLeast"/>
              <w:jc w:val="right"/>
            </w:pPr>
            <w:r w:rsidRPr="00990E5D">
              <w:rPr>
                <w:rFonts w:ascii="Verdana" w:hAnsi="Verdana"/>
                <w:b/>
                <w:bCs/>
                <w:noProof/>
                <w:szCs w:val="24"/>
                <w:lang w:eastAsia="zh-CN"/>
              </w:rPr>
              <w:drawing>
                <wp:inline distT="0" distB="0" distL="0" distR="0" wp14:anchorId="7A2B6EE5" wp14:editId="6F4A4D4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90E5D" w14:paraId="04F347F1" w14:textId="77777777" w:rsidTr="007202EC">
        <w:trPr>
          <w:cantSplit/>
        </w:trPr>
        <w:tc>
          <w:tcPr>
            <w:tcW w:w="6911" w:type="dxa"/>
            <w:tcBorders>
              <w:bottom w:val="single" w:sz="12" w:space="0" w:color="auto"/>
            </w:tcBorders>
          </w:tcPr>
          <w:p w14:paraId="4397FD75" w14:textId="77777777" w:rsidR="0090121B" w:rsidRPr="00990E5D"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38E359A8" w14:textId="77777777" w:rsidR="0090121B" w:rsidRPr="00990E5D" w:rsidRDefault="0090121B" w:rsidP="0090121B">
            <w:pPr>
              <w:spacing w:before="0" w:line="240" w:lineRule="atLeast"/>
              <w:rPr>
                <w:rFonts w:ascii="Verdana" w:hAnsi="Verdana"/>
                <w:szCs w:val="24"/>
              </w:rPr>
            </w:pPr>
          </w:p>
        </w:tc>
      </w:tr>
      <w:tr w:rsidR="0090121B" w:rsidRPr="00990E5D" w14:paraId="4E35E905" w14:textId="77777777" w:rsidTr="0090121B">
        <w:trPr>
          <w:cantSplit/>
        </w:trPr>
        <w:tc>
          <w:tcPr>
            <w:tcW w:w="6911" w:type="dxa"/>
            <w:tcBorders>
              <w:top w:val="single" w:sz="12" w:space="0" w:color="auto"/>
            </w:tcBorders>
          </w:tcPr>
          <w:p w14:paraId="041BAE17" w14:textId="77777777" w:rsidR="0090121B" w:rsidRPr="00990E5D"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34F24B0C" w14:textId="77777777" w:rsidR="0090121B" w:rsidRPr="00990E5D" w:rsidRDefault="0090121B" w:rsidP="0090121B">
            <w:pPr>
              <w:spacing w:before="0" w:line="240" w:lineRule="atLeast"/>
              <w:rPr>
                <w:rFonts w:ascii="Verdana" w:hAnsi="Verdana"/>
                <w:sz w:val="20"/>
              </w:rPr>
            </w:pPr>
          </w:p>
        </w:tc>
      </w:tr>
      <w:tr w:rsidR="0090121B" w:rsidRPr="00990E5D" w14:paraId="6D8787EF" w14:textId="77777777" w:rsidTr="0090121B">
        <w:trPr>
          <w:cantSplit/>
        </w:trPr>
        <w:tc>
          <w:tcPr>
            <w:tcW w:w="6911" w:type="dxa"/>
          </w:tcPr>
          <w:p w14:paraId="0539409C" w14:textId="77777777" w:rsidR="0090121B" w:rsidRPr="00990E5D" w:rsidRDefault="001E7D42" w:rsidP="00EA77F0">
            <w:pPr>
              <w:pStyle w:val="Committee"/>
              <w:framePr w:hSpace="0" w:wrap="auto" w:hAnchor="text" w:yAlign="inline"/>
              <w:rPr>
                <w:sz w:val="18"/>
                <w:szCs w:val="18"/>
                <w:lang w:val="es-ES_tradnl"/>
              </w:rPr>
            </w:pPr>
            <w:r w:rsidRPr="00990E5D">
              <w:rPr>
                <w:sz w:val="18"/>
                <w:szCs w:val="18"/>
                <w:lang w:val="es-ES_tradnl"/>
              </w:rPr>
              <w:t>SESIÓN PLENARIA</w:t>
            </w:r>
          </w:p>
        </w:tc>
        <w:tc>
          <w:tcPr>
            <w:tcW w:w="3120" w:type="dxa"/>
          </w:tcPr>
          <w:p w14:paraId="00704158" w14:textId="77777777" w:rsidR="0090121B" w:rsidRPr="00990E5D" w:rsidRDefault="00AE658F" w:rsidP="0045384C">
            <w:pPr>
              <w:spacing w:before="0"/>
              <w:rPr>
                <w:rFonts w:ascii="Verdana" w:hAnsi="Verdana"/>
                <w:sz w:val="18"/>
                <w:szCs w:val="18"/>
              </w:rPr>
            </w:pPr>
            <w:r w:rsidRPr="00990E5D">
              <w:rPr>
                <w:rFonts w:ascii="Verdana" w:hAnsi="Verdana"/>
                <w:b/>
                <w:sz w:val="18"/>
                <w:szCs w:val="18"/>
              </w:rPr>
              <w:t>Documento 95</w:t>
            </w:r>
            <w:r w:rsidR="0090121B" w:rsidRPr="00990E5D">
              <w:rPr>
                <w:rFonts w:ascii="Verdana" w:hAnsi="Verdana"/>
                <w:b/>
                <w:sz w:val="18"/>
                <w:szCs w:val="18"/>
              </w:rPr>
              <w:t>-</w:t>
            </w:r>
            <w:r w:rsidRPr="00990E5D">
              <w:rPr>
                <w:rFonts w:ascii="Verdana" w:hAnsi="Verdana"/>
                <w:b/>
                <w:sz w:val="18"/>
                <w:szCs w:val="18"/>
              </w:rPr>
              <w:t>S</w:t>
            </w:r>
          </w:p>
        </w:tc>
      </w:tr>
      <w:bookmarkEnd w:id="0"/>
      <w:tr w:rsidR="000A5B9A" w:rsidRPr="00990E5D" w14:paraId="57ABCE30" w14:textId="77777777" w:rsidTr="0090121B">
        <w:trPr>
          <w:cantSplit/>
        </w:trPr>
        <w:tc>
          <w:tcPr>
            <w:tcW w:w="6911" w:type="dxa"/>
          </w:tcPr>
          <w:p w14:paraId="0376DA29" w14:textId="77777777" w:rsidR="000A5B9A" w:rsidRPr="00990E5D" w:rsidRDefault="000A5B9A" w:rsidP="0045384C">
            <w:pPr>
              <w:spacing w:before="0" w:after="48"/>
              <w:rPr>
                <w:rFonts w:ascii="Verdana" w:hAnsi="Verdana"/>
                <w:b/>
                <w:smallCaps/>
                <w:sz w:val="18"/>
                <w:szCs w:val="18"/>
              </w:rPr>
            </w:pPr>
          </w:p>
        </w:tc>
        <w:tc>
          <w:tcPr>
            <w:tcW w:w="3120" w:type="dxa"/>
          </w:tcPr>
          <w:p w14:paraId="019BF8FE" w14:textId="77777777" w:rsidR="000A5B9A" w:rsidRPr="00990E5D" w:rsidRDefault="000A5B9A" w:rsidP="0045384C">
            <w:pPr>
              <w:spacing w:before="0"/>
              <w:rPr>
                <w:rFonts w:ascii="Verdana" w:hAnsi="Verdana"/>
                <w:b/>
                <w:sz w:val="18"/>
                <w:szCs w:val="18"/>
              </w:rPr>
            </w:pPr>
            <w:r w:rsidRPr="00990E5D">
              <w:rPr>
                <w:rFonts w:ascii="Verdana" w:hAnsi="Verdana"/>
                <w:b/>
                <w:sz w:val="18"/>
                <w:szCs w:val="18"/>
              </w:rPr>
              <w:t>7 de octubre de 2019</w:t>
            </w:r>
          </w:p>
        </w:tc>
      </w:tr>
      <w:tr w:rsidR="000A5B9A" w:rsidRPr="00990E5D" w14:paraId="1C399DF1" w14:textId="77777777" w:rsidTr="0090121B">
        <w:trPr>
          <w:cantSplit/>
        </w:trPr>
        <w:tc>
          <w:tcPr>
            <w:tcW w:w="6911" w:type="dxa"/>
          </w:tcPr>
          <w:p w14:paraId="7511DDD4" w14:textId="77777777" w:rsidR="000A5B9A" w:rsidRPr="00990E5D" w:rsidRDefault="000A5B9A" w:rsidP="0045384C">
            <w:pPr>
              <w:spacing w:before="0" w:after="48"/>
              <w:rPr>
                <w:rFonts w:ascii="Verdana" w:hAnsi="Verdana"/>
                <w:b/>
                <w:smallCaps/>
                <w:sz w:val="18"/>
                <w:szCs w:val="18"/>
              </w:rPr>
            </w:pPr>
          </w:p>
        </w:tc>
        <w:tc>
          <w:tcPr>
            <w:tcW w:w="3120" w:type="dxa"/>
          </w:tcPr>
          <w:p w14:paraId="497803E1" w14:textId="77777777" w:rsidR="000A5B9A" w:rsidRPr="00990E5D" w:rsidRDefault="000A5B9A" w:rsidP="0045384C">
            <w:pPr>
              <w:spacing w:before="0"/>
              <w:rPr>
                <w:rFonts w:ascii="Verdana" w:hAnsi="Verdana"/>
                <w:b/>
                <w:sz w:val="18"/>
                <w:szCs w:val="18"/>
              </w:rPr>
            </w:pPr>
            <w:r w:rsidRPr="00990E5D">
              <w:rPr>
                <w:rFonts w:ascii="Verdana" w:hAnsi="Verdana"/>
                <w:b/>
                <w:sz w:val="18"/>
                <w:szCs w:val="18"/>
              </w:rPr>
              <w:t>Original: inglés</w:t>
            </w:r>
          </w:p>
        </w:tc>
      </w:tr>
      <w:tr w:rsidR="000A5B9A" w:rsidRPr="00990E5D" w14:paraId="0FEC709B" w14:textId="77777777" w:rsidTr="007202EC">
        <w:trPr>
          <w:cantSplit/>
        </w:trPr>
        <w:tc>
          <w:tcPr>
            <w:tcW w:w="10031" w:type="dxa"/>
            <w:gridSpan w:val="2"/>
          </w:tcPr>
          <w:p w14:paraId="696CD9CD" w14:textId="77777777" w:rsidR="000A5B9A" w:rsidRPr="00990E5D" w:rsidRDefault="000A5B9A" w:rsidP="0045384C">
            <w:pPr>
              <w:spacing w:before="0"/>
              <w:rPr>
                <w:rFonts w:ascii="Verdana" w:hAnsi="Verdana"/>
                <w:b/>
                <w:sz w:val="18"/>
                <w:szCs w:val="22"/>
              </w:rPr>
            </w:pPr>
          </w:p>
        </w:tc>
      </w:tr>
      <w:tr w:rsidR="000A5B9A" w:rsidRPr="00990E5D" w14:paraId="6D830520" w14:textId="77777777" w:rsidTr="007202EC">
        <w:trPr>
          <w:cantSplit/>
        </w:trPr>
        <w:tc>
          <w:tcPr>
            <w:tcW w:w="10031" w:type="dxa"/>
            <w:gridSpan w:val="2"/>
          </w:tcPr>
          <w:p w14:paraId="7CA8A9B2" w14:textId="77777777" w:rsidR="000A5B9A" w:rsidRPr="00990E5D" w:rsidRDefault="000A5B9A" w:rsidP="000A5B9A">
            <w:pPr>
              <w:pStyle w:val="Source"/>
            </w:pPr>
            <w:bookmarkStart w:id="1" w:name="dsource" w:colFirst="0" w:colLast="0"/>
            <w:r w:rsidRPr="00990E5D">
              <w:t>Samoa (Estado Independiente de)/Vanuatu (República de)</w:t>
            </w:r>
          </w:p>
        </w:tc>
      </w:tr>
      <w:tr w:rsidR="000A5B9A" w:rsidRPr="00990E5D" w14:paraId="05D108B7" w14:textId="77777777" w:rsidTr="007202EC">
        <w:trPr>
          <w:cantSplit/>
        </w:trPr>
        <w:tc>
          <w:tcPr>
            <w:tcW w:w="10031" w:type="dxa"/>
            <w:gridSpan w:val="2"/>
          </w:tcPr>
          <w:p w14:paraId="56689961" w14:textId="77777777" w:rsidR="000A5B9A" w:rsidRPr="00990E5D" w:rsidRDefault="000A5B9A" w:rsidP="000A5B9A">
            <w:pPr>
              <w:pStyle w:val="Title1"/>
            </w:pPr>
            <w:bookmarkStart w:id="2" w:name="dtitle1" w:colFirst="0" w:colLast="0"/>
            <w:bookmarkEnd w:id="1"/>
            <w:r w:rsidRPr="00990E5D">
              <w:t>Propuestas para los trabajos de la Conferencia</w:t>
            </w:r>
          </w:p>
        </w:tc>
      </w:tr>
      <w:tr w:rsidR="000A5B9A" w:rsidRPr="00990E5D" w14:paraId="4A09EC4E" w14:textId="77777777" w:rsidTr="007202EC">
        <w:trPr>
          <w:cantSplit/>
        </w:trPr>
        <w:tc>
          <w:tcPr>
            <w:tcW w:w="10031" w:type="dxa"/>
            <w:gridSpan w:val="2"/>
          </w:tcPr>
          <w:p w14:paraId="3F480C3A" w14:textId="77777777" w:rsidR="000A5B9A" w:rsidRPr="00990E5D" w:rsidRDefault="000A5B9A" w:rsidP="000A5B9A">
            <w:pPr>
              <w:pStyle w:val="Title2"/>
            </w:pPr>
            <w:bookmarkStart w:id="3" w:name="dtitle2" w:colFirst="0" w:colLast="0"/>
            <w:bookmarkEnd w:id="2"/>
          </w:p>
        </w:tc>
      </w:tr>
      <w:tr w:rsidR="000A5B9A" w:rsidRPr="00990E5D" w14:paraId="1FB9A6F2" w14:textId="77777777" w:rsidTr="007202EC">
        <w:trPr>
          <w:cantSplit/>
        </w:trPr>
        <w:tc>
          <w:tcPr>
            <w:tcW w:w="10031" w:type="dxa"/>
            <w:gridSpan w:val="2"/>
          </w:tcPr>
          <w:p w14:paraId="79BB4100" w14:textId="77777777" w:rsidR="000A5B9A" w:rsidRPr="00990E5D" w:rsidRDefault="000A5B9A" w:rsidP="000A5B9A">
            <w:pPr>
              <w:pStyle w:val="Agendaitem"/>
            </w:pPr>
            <w:bookmarkStart w:id="4" w:name="dtitle3" w:colFirst="0" w:colLast="0"/>
            <w:bookmarkEnd w:id="3"/>
            <w:r w:rsidRPr="00990E5D">
              <w:t>Punto 1.5 del orden del día</w:t>
            </w:r>
          </w:p>
        </w:tc>
      </w:tr>
    </w:tbl>
    <w:bookmarkEnd w:id="4"/>
    <w:p w14:paraId="304654D4" w14:textId="6DE3FFC6" w:rsidR="007202EC" w:rsidRPr="00990E5D" w:rsidRDefault="007202EC" w:rsidP="007202EC">
      <w:r w:rsidRPr="00990E5D">
        <w:t>1.5</w:t>
      </w:r>
      <w:r w:rsidRPr="00990E5D">
        <w:tab/>
        <w:t>considerar la utilización de las bandas de frecuencias 17,7-19,7</w:t>
      </w:r>
      <w:r w:rsidR="00A17971" w:rsidRPr="00990E5D">
        <w:t> </w:t>
      </w:r>
      <w:r w:rsidRPr="00990E5D">
        <w:t>GHz (espacio</w:t>
      </w:r>
      <w:r w:rsidRPr="00990E5D">
        <w:noBreakHyphen/>
        <w:t>Tierra) y 27,5</w:t>
      </w:r>
      <w:r w:rsidRPr="00990E5D">
        <w:noBreakHyphen/>
        <w:t>29,5</w:t>
      </w:r>
      <w:r w:rsidR="00A17971" w:rsidRPr="00990E5D">
        <w:t> </w:t>
      </w:r>
      <w:r w:rsidRPr="00990E5D">
        <w:t>GHz (Tierra</w:t>
      </w:r>
      <w:r w:rsidRPr="00990E5D">
        <w:noBreakHyphen/>
        <w:t>espacio) utilizadas por estaciones terrenas en movimiento que se comunican con estaciones espaciales geoestacionarias en el servicio fijo por satélite, y tomar las medidas oportunas, de conformidad con la Resolución</w:t>
      </w:r>
      <w:r w:rsidR="00A17971" w:rsidRPr="00990E5D">
        <w:t> </w:t>
      </w:r>
      <w:r w:rsidRPr="00990E5D">
        <w:rPr>
          <w:b/>
        </w:rPr>
        <w:t>158 (CMR-15)</w:t>
      </w:r>
      <w:r w:rsidRPr="00990E5D">
        <w:t>;</w:t>
      </w:r>
    </w:p>
    <w:p w14:paraId="1531045D" w14:textId="31BCB88B" w:rsidR="00363A65" w:rsidRPr="00990E5D" w:rsidRDefault="007202EC" w:rsidP="007202EC">
      <w:pPr>
        <w:rPr>
          <w:i/>
          <w:iCs/>
        </w:rPr>
      </w:pPr>
      <w:r w:rsidRPr="00990E5D">
        <w:rPr>
          <w:b/>
          <w:bCs/>
          <w:i/>
          <w:iCs/>
        </w:rPr>
        <w:t>Resolución</w:t>
      </w:r>
      <w:r w:rsidR="00A17971" w:rsidRPr="00990E5D">
        <w:t> </w:t>
      </w:r>
      <w:r w:rsidRPr="00990E5D">
        <w:rPr>
          <w:b/>
          <w:bCs/>
          <w:i/>
          <w:iCs/>
        </w:rPr>
        <w:t>158 (CMR-15):</w:t>
      </w:r>
      <w:r w:rsidRPr="00990E5D">
        <w:rPr>
          <w:i/>
          <w:iCs/>
        </w:rPr>
        <w:t xml:space="preserve"> Utilización de las bandas de frecuencias 17,7-19,7</w:t>
      </w:r>
      <w:r w:rsidR="00A17971" w:rsidRPr="00990E5D">
        <w:rPr>
          <w:i/>
          <w:iCs/>
        </w:rPr>
        <w:t> </w:t>
      </w:r>
      <w:r w:rsidRPr="00990E5D">
        <w:rPr>
          <w:i/>
          <w:iCs/>
        </w:rPr>
        <w:t>GHz (espacio-Tierra) y 27,5 29,5</w:t>
      </w:r>
      <w:r w:rsidR="00A17971" w:rsidRPr="00990E5D">
        <w:t> </w:t>
      </w:r>
      <w:r w:rsidRPr="00990E5D">
        <w:rPr>
          <w:i/>
          <w:iCs/>
        </w:rPr>
        <w:t>GHz (Tierra-espacio) para las comunicaciones de las estaciones terrenas en movimiento con estaciones espaciales geoestacionarias en el servicio fijo por satélite.</w:t>
      </w:r>
    </w:p>
    <w:p w14:paraId="5E7E2292" w14:textId="225DF4EE" w:rsidR="007202EC" w:rsidRPr="00990E5D" w:rsidRDefault="007202EC" w:rsidP="007202EC">
      <w:pPr>
        <w:pStyle w:val="Heading1"/>
      </w:pPr>
      <w:r w:rsidRPr="00990E5D">
        <w:t>1</w:t>
      </w:r>
      <w:r w:rsidRPr="00990E5D">
        <w:tab/>
      </w:r>
      <w:r w:rsidR="00DB118A" w:rsidRPr="00990E5D">
        <w:t>Antecedentes</w:t>
      </w:r>
    </w:p>
    <w:p w14:paraId="7A420096" w14:textId="5DD1A281" w:rsidR="007202EC" w:rsidRPr="00990E5D" w:rsidRDefault="00DB118A" w:rsidP="00A17971">
      <w:r w:rsidRPr="00990E5D">
        <w:t xml:space="preserve">Las Administraciones que presentan esta contribución multinacional reconocen la </w:t>
      </w:r>
      <w:r w:rsidR="007202EC" w:rsidRPr="00990E5D">
        <w:t>necesidad de comunicaciones móviles</w:t>
      </w:r>
      <w:r w:rsidRPr="00990E5D">
        <w:t xml:space="preserve"> </w:t>
      </w:r>
      <w:r w:rsidR="007202EC" w:rsidRPr="00990E5D">
        <w:t>de banda ancha por satélite, y que parte de esta necesidad podría satisfacerse permitiendo a las estaciones terrenas en movimiento (</w:t>
      </w:r>
      <w:r w:rsidR="001A6DEA" w:rsidRPr="00990E5D">
        <w:t>ETEM</w:t>
      </w:r>
      <w:r w:rsidR="00364674" w:rsidRPr="00990E5D">
        <w:t>)</w:t>
      </w:r>
      <w:r w:rsidR="007202EC" w:rsidRPr="00990E5D">
        <w:t xml:space="preserve"> comunicarse con estaciones espaciales en la órbita de los satélites geoestacionarios (OSG) del servicio fijo por satélite (SFS) que funcionan en las bandas de frecuencias 17,7</w:t>
      </w:r>
      <w:r w:rsidR="007202EC" w:rsidRPr="00990E5D">
        <w:noBreakHyphen/>
        <w:t>19,7</w:t>
      </w:r>
      <w:r w:rsidR="00A17971" w:rsidRPr="00990E5D">
        <w:t> </w:t>
      </w:r>
      <w:r w:rsidR="007202EC" w:rsidRPr="00990E5D">
        <w:t xml:space="preserve">GHz </w:t>
      </w:r>
      <w:r w:rsidR="007202EC" w:rsidRPr="00990E5D">
        <w:rPr>
          <w:cs/>
        </w:rPr>
        <w:t>‎</w:t>
      </w:r>
      <w:r w:rsidR="007202EC" w:rsidRPr="00990E5D">
        <w:t xml:space="preserve">(espacio-Tierra) </w:t>
      </w:r>
      <w:r w:rsidR="007202EC" w:rsidRPr="00990E5D">
        <w:rPr>
          <w:cs/>
        </w:rPr>
        <w:t>‎</w:t>
      </w:r>
      <w:r w:rsidR="007202EC" w:rsidRPr="00990E5D">
        <w:t>y 27,5</w:t>
      </w:r>
      <w:r w:rsidR="007202EC" w:rsidRPr="00990E5D">
        <w:noBreakHyphen/>
        <w:t xml:space="preserve">29,5 GHz </w:t>
      </w:r>
      <w:r w:rsidR="007202EC" w:rsidRPr="00990E5D">
        <w:rPr>
          <w:cs/>
        </w:rPr>
        <w:t>‎</w:t>
      </w:r>
      <w:r w:rsidR="007202EC" w:rsidRPr="00990E5D">
        <w:t>(Tierra</w:t>
      </w:r>
      <w:r w:rsidR="007202EC" w:rsidRPr="00990E5D">
        <w:noBreakHyphen/>
        <w:t>espacio).</w:t>
      </w:r>
    </w:p>
    <w:p w14:paraId="2A3981A8" w14:textId="7FB1DD7C" w:rsidR="007202EC" w:rsidRPr="00990E5D" w:rsidRDefault="007202EC" w:rsidP="00A17971">
      <w:r w:rsidRPr="00990E5D">
        <w:t>Las estaciones terrenas en movimiento (</w:t>
      </w:r>
      <w:r w:rsidR="001A6DEA" w:rsidRPr="00990E5D">
        <w:t>ETEM</w:t>
      </w:r>
      <w:r w:rsidRPr="00990E5D">
        <w:t xml:space="preserve">) actualmente atienden a una amplia gama de aplicaciones, tanto a bordo de aeronaves y </w:t>
      </w:r>
      <w:r w:rsidR="00364674" w:rsidRPr="00990E5D">
        <w:t>barcos</w:t>
      </w:r>
      <w:r w:rsidRPr="00990E5D">
        <w:t xml:space="preserve"> como en tierra</w:t>
      </w:r>
      <w:r w:rsidR="00364674" w:rsidRPr="00990E5D">
        <w:t>. C</w:t>
      </w:r>
      <w:r w:rsidRPr="00990E5D">
        <w:t>onsiderando las expectativas de los usuarios de poder conectarse en cualquier lugar donde se encuentren, el servicio de banda ancha por satélite es un componente fundamental para satisfacer dicha demanda.</w:t>
      </w:r>
    </w:p>
    <w:p w14:paraId="7B2FC1B3" w14:textId="23C02768" w:rsidR="007202EC" w:rsidRPr="00990E5D" w:rsidRDefault="00364674" w:rsidP="00A17971">
      <w:r w:rsidRPr="00990E5D">
        <w:t>L</w:t>
      </w:r>
      <w:r w:rsidR="007202EC" w:rsidRPr="00990E5D">
        <w:t xml:space="preserve">a Conferencia Mundial de Radiocomunicaciones de 2015 (CMR-15), adoptó </w:t>
      </w:r>
      <w:r w:rsidRPr="00990E5D">
        <w:t>la nota</w:t>
      </w:r>
      <w:r w:rsidR="007202EC" w:rsidRPr="00990E5D">
        <w:t> </w:t>
      </w:r>
      <w:r w:rsidR="007202EC" w:rsidRPr="00990E5D">
        <w:rPr>
          <w:b/>
          <w:bCs/>
        </w:rPr>
        <w:t>5.527A</w:t>
      </w:r>
      <w:r w:rsidR="007202EC" w:rsidRPr="00990E5D">
        <w:t xml:space="preserve"> </w:t>
      </w:r>
      <w:r w:rsidR="00355953" w:rsidRPr="00990E5D">
        <w:t xml:space="preserve">del RR </w:t>
      </w:r>
      <w:r w:rsidR="007202EC" w:rsidRPr="00990E5D">
        <w:t xml:space="preserve">en virtud del cual se permite el funcionamiento de las </w:t>
      </w:r>
      <w:r w:rsidRPr="00990E5D">
        <w:t>estaciones terrenas en movimiento</w:t>
      </w:r>
      <w:r w:rsidR="007202EC" w:rsidRPr="00990E5D">
        <w:t xml:space="preserve"> que se comunican con redes de satélites geoestacionari</w:t>
      </w:r>
      <w:r w:rsidRPr="00990E5D">
        <w:t>os</w:t>
      </w:r>
      <w:r w:rsidR="007202EC" w:rsidRPr="00990E5D">
        <w:t xml:space="preserve"> (OSG) del servicio fijo por satélite (SFS) en las bandas de frecuencias 29,5-30,0</w:t>
      </w:r>
      <w:r w:rsidR="00A17971" w:rsidRPr="00990E5D">
        <w:t> </w:t>
      </w:r>
      <w:r w:rsidR="007202EC" w:rsidRPr="00990E5D">
        <w:t>GHz (Tierra</w:t>
      </w:r>
      <w:r w:rsidR="007202EC" w:rsidRPr="00990E5D">
        <w:noBreakHyphen/>
        <w:t>espacio) y 19,7-20,2</w:t>
      </w:r>
      <w:r w:rsidR="00A17971" w:rsidRPr="00990E5D">
        <w:t> </w:t>
      </w:r>
      <w:r w:rsidR="007202EC" w:rsidRPr="00990E5D">
        <w:t>GHz (espacio-Tierra) sujet</w:t>
      </w:r>
      <w:r w:rsidR="001A6DEA" w:rsidRPr="00990E5D">
        <w:t xml:space="preserve">o </w:t>
      </w:r>
      <w:r w:rsidR="007202EC" w:rsidRPr="00990E5D">
        <w:t>a la Resolución</w:t>
      </w:r>
      <w:r w:rsidR="00A17971" w:rsidRPr="00990E5D">
        <w:t> </w:t>
      </w:r>
      <w:r w:rsidR="007202EC" w:rsidRPr="00990E5D">
        <w:rPr>
          <w:b/>
          <w:bCs/>
        </w:rPr>
        <w:t>156</w:t>
      </w:r>
      <w:r w:rsidR="001A6DEA" w:rsidRPr="00990E5D">
        <w:t xml:space="preserve"> </w:t>
      </w:r>
      <w:r w:rsidR="001A6DEA" w:rsidRPr="00990E5D">
        <w:rPr>
          <w:b/>
          <w:bCs/>
        </w:rPr>
        <w:t>(CMR-15)</w:t>
      </w:r>
      <w:r w:rsidR="007202EC" w:rsidRPr="00990E5D">
        <w:t>.</w:t>
      </w:r>
    </w:p>
    <w:p w14:paraId="1A4D4519" w14:textId="3C50C0E0" w:rsidR="007202EC" w:rsidRPr="00990E5D" w:rsidRDefault="007202EC" w:rsidP="00A17971">
      <w:r w:rsidRPr="00990E5D">
        <w:t>Sin embargo, y reconociendo la creciente demanda de los servicios móviles y la disponibilidad a nivel mundial de banda ancha por satélite, la CMR-15 adoptó el punto</w:t>
      </w:r>
      <w:r w:rsidR="00A17971" w:rsidRPr="00990E5D">
        <w:t> </w:t>
      </w:r>
      <w:r w:rsidRPr="00990E5D">
        <w:t xml:space="preserve">1.5 del orden del día de la CMR-19 para tener en cuenta </w:t>
      </w:r>
      <w:r w:rsidR="001A6DEA" w:rsidRPr="00990E5D">
        <w:t xml:space="preserve">además </w:t>
      </w:r>
      <w:r w:rsidRPr="00990E5D">
        <w:t xml:space="preserve">el funcionamiento de las </w:t>
      </w:r>
      <w:r w:rsidR="001A6DEA" w:rsidRPr="00990E5D">
        <w:t>ETEM</w:t>
      </w:r>
      <w:r w:rsidRPr="00990E5D">
        <w:t xml:space="preserve"> en las bandas de frecuencias de 27,5</w:t>
      </w:r>
      <w:r w:rsidRPr="00990E5D">
        <w:noBreakHyphen/>
        <w:t>29,5</w:t>
      </w:r>
      <w:r w:rsidR="00A17971" w:rsidRPr="00990E5D">
        <w:t> </w:t>
      </w:r>
      <w:r w:rsidRPr="00990E5D">
        <w:t>GHz (Tierra-espacio) y 17,7-19,7</w:t>
      </w:r>
      <w:r w:rsidR="00A17971" w:rsidRPr="00990E5D">
        <w:t> </w:t>
      </w:r>
      <w:r w:rsidRPr="00990E5D">
        <w:t xml:space="preserve">GHz (espacio-Tierra) </w:t>
      </w:r>
      <w:r w:rsidR="008B5F7B" w:rsidRPr="00990E5D">
        <w:t>atribuidas</w:t>
      </w:r>
      <w:r w:rsidR="00355953" w:rsidRPr="00990E5D">
        <w:t xml:space="preserve"> al</w:t>
      </w:r>
      <w:r w:rsidRPr="00990E5D">
        <w:t xml:space="preserve"> SFS, y con ello </w:t>
      </w:r>
      <w:r w:rsidR="008B5F7B" w:rsidRPr="00990E5D">
        <w:t>habilitar</w:t>
      </w:r>
      <w:r w:rsidRPr="00990E5D">
        <w:t xml:space="preserve"> más espectro para satisfacer la demanda de las ETEM.</w:t>
      </w:r>
    </w:p>
    <w:p w14:paraId="1DC9A457" w14:textId="5B9AE51E" w:rsidR="007202EC" w:rsidRPr="00990E5D" w:rsidRDefault="007202EC" w:rsidP="00AD0DC3">
      <w:pPr>
        <w:pStyle w:val="Headingb"/>
      </w:pPr>
      <w:r w:rsidRPr="00990E5D">
        <w:lastRenderedPageBreak/>
        <w:t xml:space="preserve">Resultados </w:t>
      </w:r>
      <w:r w:rsidR="008B5F7B" w:rsidRPr="00990E5D">
        <w:t xml:space="preserve">de los estudios de compartición efectuados por </w:t>
      </w:r>
      <w:r w:rsidRPr="00990E5D">
        <w:t>el Sector de Radiocomunicaciones de la UIT (UIT-R)</w:t>
      </w:r>
    </w:p>
    <w:p w14:paraId="5BB26EC0" w14:textId="619D50EF" w:rsidR="007202EC" w:rsidRPr="00990E5D" w:rsidRDefault="007202EC" w:rsidP="00A17971">
      <w:r w:rsidRPr="00990E5D">
        <w:t>Las bandas</w:t>
      </w:r>
      <w:r w:rsidR="00A56A18" w:rsidRPr="00990E5D">
        <w:t xml:space="preserve"> </w:t>
      </w:r>
      <w:r w:rsidR="00355953" w:rsidRPr="00990E5D">
        <w:t xml:space="preserve">de frecuencias </w:t>
      </w:r>
      <w:r w:rsidRPr="00990E5D">
        <w:t>17,7-19,7</w:t>
      </w:r>
      <w:r w:rsidR="00A17971" w:rsidRPr="00990E5D">
        <w:t> </w:t>
      </w:r>
      <w:r w:rsidRPr="00990E5D">
        <w:t>GHz y 27,5-29,5</w:t>
      </w:r>
      <w:r w:rsidR="00A17971" w:rsidRPr="00990E5D">
        <w:t> </w:t>
      </w:r>
      <w:r w:rsidRPr="00990E5D">
        <w:t>GHz están actualmente atribuidas, entre otros servicios, al SFS y son utilizadas por las redes de satélites del SFS</w:t>
      </w:r>
      <w:r w:rsidR="008B5F7B" w:rsidRPr="00990E5D">
        <w:t xml:space="preserve"> OSG</w:t>
      </w:r>
      <w:r w:rsidRPr="00990E5D">
        <w:t xml:space="preserve">. </w:t>
      </w:r>
      <w:r w:rsidR="008B5F7B" w:rsidRPr="00990E5D">
        <w:t>Estas</w:t>
      </w:r>
      <w:r w:rsidRPr="00990E5D">
        <w:t xml:space="preserve"> bandas se comparten con otros servicios, </w:t>
      </w:r>
      <w:r w:rsidR="008B5F7B" w:rsidRPr="00990E5D">
        <w:t>entre ellos</w:t>
      </w:r>
      <w:r w:rsidRPr="00990E5D">
        <w:t xml:space="preserve"> (en algunas subbandas) sistemas </w:t>
      </w:r>
      <w:r w:rsidR="00355953" w:rsidRPr="00990E5D">
        <w:t xml:space="preserve">de satélites </w:t>
      </w:r>
      <w:r w:rsidRPr="00990E5D">
        <w:t>del SFS</w:t>
      </w:r>
      <w:r w:rsidR="008B5F7B" w:rsidRPr="00990E5D">
        <w:t xml:space="preserve"> en orbitas no geoestacionarias (no OSG)</w:t>
      </w:r>
      <w:r w:rsidRPr="00990E5D">
        <w:t xml:space="preserve">, enlaces de conexión para sistemas </w:t>
      </w:r>
      <w:r w:rsidR="00BB0348" w:rsidRPr="00990E5D">
        <w:t>d</w:t>
      </w:r>
      <w:r w:rsidRPr="00990E5D">
        <w:t>el servicio móvil por satélite no OSG y sistemas terrenales.</w:t>
      </w:r>
    </w:p>
    <w:p w14:paraId="674FB116" w14:textId="4BF12445" w:rsidR="007202EC" w:rsidRPr="00990E5D" w:rsidRDefault="007202EC" w:rsidP="00A17971">
      <w:r w:rsidRPr="00990E5D">
        <w:t>Para proteger otros servicios asignados en estas bandas, se deben aplicar distintas condiciones de uso a los diferentes tipos de ETEM, ya que los escenarios de interferencia a otros servicios serán diferentes para las ETEM marítimas, aeronáuticas y terrestres.</w:t>
      </w:r>
    </w:p>
    <w:p w14:paraId="77498410" w14:textId="3E6B7809" w:rsidR="007202EC" w:rsidRPr="00990E5D" w:rsidRDefault="007202EC" w:rsidP="00A17971">
      <w:r w:rsidRPr="00990E5D">
        <w:t>A continuación, se describen los resultados de los estudios de compartición de las ETEM y los servicios existentes en las bandas de frecuencia</w:t>
      </w:r>
      <w:r w:rsidR="008B5F7B" w:rsidRPr="00990E5D">
        <w:t>s</w:t>
      </w:r>
      <w:r w:rsidRPr="00990E5D">
        <w:t xml:space="preserve"> 17,7-19,7</w:t>
      </w:r>
      <w:r w:rsidR="00A17971" w:rsidRPr="00990E5D">
        <w:t> </w:t>
      </w:r>
      <w:r w:rsidRPr="00990E5D">
        <w:t>GHz y 27,5-29,5</w:t>
      </w:r>
      <w:r w:rsidR="00A17971" w:rsidRPr="00990E5D">
        <w:t> </w:t>
      </w:r>
      <w:r w:rsidRPr="00990E5D">
        <w:t>GHz.</w:t>
      </w:r>
    </w:p>
    <w:p w14:paraId="217519F8" w14:textId="6E710F92" w:rsidR="007202EC" w:rsidRPr="00990E5D" w:rsidRDefault="007202EC" w:rsidP="007202EC">
      <w:r w:rsidRPr="00990E5D">
        <w:t>La UIT-R examinó las condiciones de compartición para las ETEM con los servicios terrenales en la banda 17,7-19,7</w:t>
      </w:r>
      <w:r w:rsidR="00A17971" w:rsidRPr="00990E5D">
        <w:t> </w:t>
      </w:r>
      <w:r w:rsidRPr="00990E5D">
        <w:t xml:space="preserve">GHz y llegó a la conclusión de que </w:t>
      </w:r>
      <w:r w:rsidR="008B5F7B" w:rsidRPr="00990E5D">
        <w:t>existe</w:t>
      </w:r>
      <w:r w:rsidRPr="00990E5D">
        <w:t xml:space="preserve"> la posibilidad de que los transmisores del servicio terrenal </w:t>
      </w:r>
      <w:r w:rsidR="008B5F7B" w:rsidRPr="00990E5D">
        <w:t>interfieran</w:t>
      </w:r>
      <w:r w:rsidRPr="00990E5D">
        <w:t xml:space="preserve"> con los receptores </w:t>
      </w:r>
      <w:r w:rsidR="008B5F7B" w:rsidRPr="00990E5D">
        <w:t xml:space="preserve">de las </w:t>
      </w:r>
      <w:r w:rsidRPr="00990E5D">
        <w:t xml:space="preserve">ETEM. Por lo tanto, las ETEM deben funcionar </w:t>
      </w:r>
      <w:r w:rsidR="008B5F7B" w:rsidRPr="00990E5D">
        <w:t>a</w:t>
      </w:r>
      <w:r w:rsidRPr="00990E5D">
        <w:t xml:space="preserve"> condición de no reclamar protección contra los servicios terrenales que funcionan de conformidad con el RR.</w:t>
      </w:r>
    </w:p>
    <w:p w14:paraId="2471F066" w14:textId="722269C2" w:rsidR="007202EC" w:rsidRPr="00990E5D" w:rsidRDefault="007202EC" w:rsidP="007202EC">
      <w:r w:rsidRPr="00990E5D">
        <w:t>En el caso de la banda de frecuencias 27,5-29,5</w:t>
      </w:r>
      <w:r w:rsidR="00A17971" w:rsidRPr="00990E5D">
        <w:t> </w:t>
      </w:r>
      <w:r w:rsidRPr="00990E5D">
        <w:t xml:space="preserve">GHz, el UIT-R examinó las condiciones de compartición para las ETEM </w:t>
      </w:r>
      <w:r w:rsidR="00901A51" w:rsidRPr="00990E5D">
        <w:t>con</w:t>
      </w:r>
      <w:r w:rsidRPr="00990E5D">
        <w:t xml:space="preserve"> los servicios terrenales en la banda 27,5-29,5</w:t>
      </w:r>
      <w:r w:rsidR="00A17971" w:rsidRPr="00990E5D">
        <w:t> </w:t>
      </w:r>
      <w:r w:rsidRPr="00990E5D">
        <w:t xml:space="preserve">GHz y llegó a la conclusión de que </w:t>
      </w:r>
      <w:r w:rsidR="00901A51" w:rsidRPr="00990E5D">
        <w:t xml:space="preserve">existe </w:t>
      </w:r>
      <w:r w:rsidRPr="00990E5D">
        <w:t xml:space="preserve">la posibilidad de interferencia de los transmisores </w:t>
      </w:r>
      <w:r w:rsidR="00901A51" w:rsidRPr="00990E5D">
        <w:t xml:space="preserve">de las </w:t>
      </w:r>
      <w:r w:rsidRPr="00990E5D">
        <w:t xml:space="preserve">ETEM sobre los receptores </w:t>
      </w:r>
      <w:r w:rsidR="00901A51" w:rsidRPr="00990E5D">
        <w:t>de los servicios terrenales</w:t>
      </w:r>
      <w:r w:rsidRPr="00990E5D">
        <w:t xml:space="preserve">. Por consiguiente, las ETEM aeronáuticas y marítimas deben funcionar </w:t>
      </w:r>
      <w:r w:rsidR="00901A51" w:rsidRPr="00990E5D">
        <w:t>en</w:t>
      </w:r>
      <w:r w:rsidRPr="00990E5D">
        <w:t xml:space="preserve"> condiciones técnicas, operacionales y reglamentarias específicas a fin de evitar causar interferencias inaceptables en las estaciones receptoras de los servicios terrenales e igualmente, las ETEM terrestres deben funcionar </w:t>
      </w:r>
      <w:r w:rsidR="00901A51" w:rsidRPr="00990E5D">
        <w:t>a</w:t>
      </w:r>
      <w:r w:rsidRPr="00990E5D">
        <w:t xml:space="preserve"> condición de no causar interferencias inaceptables a las estaciones receptoras de servicios terrenales que funcion</w:t>
      </w:r>
      <w:r w:rsidR="00901A51" w:rsidRPr="00990E5D">
        <w:t>a</w:t>
      </w:r>
      <w:r w:rsidRPr="00990E5D">
        <w:t>n de conformidad con el RR.</w:t>
      </w:r>
    </w:p>
    <w:p w14:paraId="42204076" w14:textId="1D336090" w:rsidR="007202EC" w:rsidRPr="00990E5D" w:rsidRDefault="007202EC" w:rsidP="00AD0DC3">
      <w:pPr>
        <w:pStyle w:val="Headingb"/>
      </w:pPr>
      <w:r w:rsidRPr="00990E5D">
        <w:t>Resultado</w:t>
      </w:r>
      <w:r w:rsidR="00BB0348" w:rsidRPr="00990E5D">
        <w:t>s</w:t>
      </w:r>
      <w:r w:rsidRPr="00990E5D">
        <w:t xml:space="preserve"> de los estudios de compartición con el Servicio de Exploración de la Tierra por satélite (SETS) (pasivo)</w:t>
      </w:r>
    </w:p>
    <w:p w14:paraId="6A55CCAD" w14:textId="12C05A34" w:rsidR="007202EC" w:rsidRPr="00990E5D" w:rsidRDefault="007202EC" w:rsidP="00A17971">
      <w:r w:rsidRPr="00990E5D">
        <w:t>El UIT-R examinó las condiciones de compartición de las ETEM con el SETS (pasivo) en la banda de 18,6-18,8</w:t>
      </w:r>
      <w:r w:rsidR="00A17971" w:rsidRPr="00990E5D">
        <w:t> </w:t>
      </w:r>
      <w:r w:rsidRPr="00990E5D">
        <w:t xml:space="preserve">GHz que es utilizada por el SETS (pasivo) en </w:t>
      </w:r>
      <w:r w:rsidR="00901A51" w:rsidRPr="00990E5D">
        <w:t xml:space="preserve">la </w:t>
      </w:r>
      <w:r w:rsidRPr="00990E5D">
        <w:t xml:space="preserve">teledetección para la exploración de la Tierra, </w:t>
      </w:r>
      <w:r w:rsidR="00901A51" w:rsidRPr="00990E5D">
        <w:t>donde</w:t>
      </w:r>
      <w:r w:rsidRPr="00990E5D">
        <w:t xml:space="preserve"> la estación terrena del SETS (pasivo) y la ETEM son ambas receptoras. Por lo tanto, </w:t>
      </w:r>
      <w:r w:rsidR="00901A51" w:rsidRPr="00990E5D">
        <w:t xml:space="preserve">los receptores de las ETEM no pueden causar </w:t>
      </w:r>
      <w:r w:rsidRPr="00990E5D">
        <w:t xml:space="preserve">ninguna interferencia </w:t>
      </w:r>
      <w:r w:rsidR="00901A51" w:rsidRPr="00990E5D">
        <w:t xml:space="preserve">sobre el </w:t>
      </w:r>
      <w:r w:rsidRPr="00990E5D">
        <w:t xml:space="preserve">receptor </w:t>
      </w:r>
      <w:r w:rsidR="00901A51" w:rsidRPr="00990E5D">
        <w:t>del</w:t>
      </w:r>
      <w:r w:rsidRPr="00990E5D">
        <w:t xml:space="preserve"> SETS (pasivo).</w:t>
      </w:r>
    </w:p>
    <w:p w14:paraId="7899F291" w14:textId="7888CD95" w:rsidR="007202EC" w:rsidRPr="00990E5D" w:rsidRDefault="007202EC" w:rsidP="007202EC">
      <w:r w:rsidRPr="00990E5D">
        <w:t>El UIT-R señaló que el uso de las ETEM en la banda 27,5-29,5</w:t>
      </w:r>
      <w:r w:rsidR="00A17971" w:rsidRPr="00990E5D">
        <w:t> </w:t>
      </w:r>
      <w:r w:rsidRPr="00990E5D">
        <w:t xml:space="preserve">GHz no modificaría el entorno de interferencia actual con respecto al servicio </w:t>
      </w:r>
      <w:r w:rsidR="00901A51" w:rsidRPr="00990E5D">
        <w:t xml:space="preserve">SETS </w:t>
      </w:r>
      <w:r w:rsidRPr="00990E5D">
        <w:t xml:space="preserve">secundario en </w:t>
      </w:r>
      <w:r w:rsidR="00901A51" w:rsidRPr="00990E5D">
        <w:t>la gama</w:t>
      </w:r>
      <w:r w:rsidRPr="00990E5D">
        <w:t xml:space="preserve"> de 28,5-29,5</w:t>
      </w:r>
      <w:r w:rsidR="00A17971" w:rsidRPr="00990E5D">
        <w:t> </w:t>
      </w:r>
      <w:r w:rsidRPr="00990E5D">
        <w:t>GHz.</w:t>
      </w:r>
    </w:p>
    <w:p w14:paraId="44FBB031" w14:textId="570C2876" w:rsidR="007202EC" w:rsidRPr="00990E5D" w:rsidRDefault="007202EC" w:rsidP="00AD0DC3">
      <w:pPr>
        <w:pStyle w:val="Headingb"/>
      </w:pPr>
      <w:r w:rsidRPr="00990E5D">
        <w:t>Resultado</w:t>
      </w:r>
      <w:r w:rsidR="00BB0348" w:rsidRPr="00990E5D">
        <w:t>s</w:t>
      </w:r>
      <w:r w:rsidRPr="00990E5D">
        <w:t xml:space="preserve"> de </w:t>
      </w:r>
      <w:r w:rsidR="00BB0348" w:rsidRPr="00990E5D">
        <w:t xml:space="preserve">los </w:t>
      </w:r>
      <w:r w:rsidRPr="00990E5D">
        <w:t>estudios de compartición con el servicio de meteorología por satélite</w:t>
      </w:r>
    </w:p>
    <w:p w14:paraId="06A32A09" w14:textId="47DBEDA6" w:rsidR="007202EC" w:rsidRPr="00990E5D" w:rsidRDefault="007202EC" w:rsidP="00A17971">
      <w:r w:rsidRPr="00990E5D">
        <w:t xml:space="preserve">El UIT-R examinó las condiciones de compartición de </w:t>
      </w:r>
      <w:r w:rsidR="00901A51" w:rsidRPr="00990E5D">
        <w:t>los receptores de las</w:t>
      </w:r>
      <w:r w:rsidRPr="00990E5D">
        <w:t xml:space="preserve"> ETEM con el servicio de meteorología por satélite en </w:t>
      </w:r>
      <w:r w:rsidR="00901A51" w:rsidRPr="00990E5D">
        <w:t>la</w:t>
      </w:r>
      <w:r w:rsidRPr="00990E5D">
        <w:t xml:space="preserve"> </w:t>
      </w:r>
      <w:r w:rsidR="00901A51" w:rsidRPr="00990E5D">
        <w:t>gama</w:t>
      </w:r>
      <w:r w:rsidRPr="00990E5D">
        <w:t xml:space="preserve"> de 18</w:t>
      </w:r>
      <w:r w:rsidR="00A17971" w:rsidRPr="00990E5D">
        <w:t> </w:t>
      </w:r>
      <w:r w:rsidRPr="00990E5D">
        <w:t>GHz. En esta banda, la</w:t>
      </w:r>
      <w:r w:rsidR="00901A51" w:rsidRPr="00990E5D">
        <w:t>s estaciones</w:t>
      </w:r>
      <w:r w:rsidRPr="00990E5D">
        <w:t xml:space="preserve"> terrena</w:t>
      </w:r>
      <w:r w:rsidR="00901A51" w:rsidRPr="00990E5D">
        <w:t>s</w:t>
      </w:r>
      <w:r w:rsidRPr="00990E5D">
        <w:t xml:space="preserve"> </w:t>
      </w:r>
      <w:r w:rsidR="00901A51" w:rsidRPr="00990E5D">
        <w:t xml:space="preserve">del servicio </w:t>
      </w:r>
      <w:r w:rsidRPr="00990E5D">
        <w:t>de meteorología por satélite y la</w:t>
      </w:r>
      <w:r w:rsidR="00901A51" w:rsidRPr="00990E5D">
        <w:t>s</w:t>
      </w:r>
      <w:r w:rsidRPr="00990E5D">
        <w:t xml:space="preserve"> ETEM son ambas receptoras. Por lo tanto, </w:t>
      </w:r>
      <w:r w:rsidR="00901A51" w:rsidRPr="00990E5D">
        <w:t>los receptores</w:t>
      </w:r>
      <w:r w:rsidRPr="00990E5D">
        <w:t xml:space="preserve"> de la</w:t>
      </w:r>
      <w:r w:rsidR="00901A51" w:rsidRPr="00990E5D">
        <w:t>s</w:t>
      </w:r>
      <w:r w:rsidRPr="00990E5D">
        <w:t xml:space="preserve"> ETEM no puede</w:t>
      </w:r>
      <w:r w:rsidR="00901A51" w:rsidRPr="00990E5D">
        <w:t>n</w:t>
      </w:r>
      <w:r w:rsidRPr="00990E5D">
        <w:t xml:space="preserve"> causar interferencia </w:t>
      </w:r>
      <w:r w:rsidR="00BB0348" w:rsidRPr="00990E5D">
        <w:t>a</w:t>
      </w:r>
      <w:r w:rsidRPr="00990E5D">
        <w:t xml:space="preserve"> </w:t>
      </w:r>
      <w:r w:rsidR="00901A51" w:rsidRPr="00990E5D">
        <w:t>las estaciones receptoras</w:t>
      </w:r>
      <w:r w:rsidRPr="00990E5D">
        <w:t xml:space="preserve"> del </w:t>
      </w:r>
      <w:r w:rsidR="00901A51" w:rsidRPr="00990E5D">
        <w:t>servicio de meteorología por satélite</w:t>
      </w:r>
      <w:r w:rsidRPr="00990E5D">
        <w:t>.</w:t>
      </w:r>
    </w:p>
    <w:p w14:paraId="3C9053C4" w14:textId="5B38C9A0" w:rsidR="007202EC" w:rsidRPr="00990E5D" w:rsidRDefault="007202EC" w:rsidP="00AD0DC3">
      <w:pPr>
        <w:pStyle w:val="Headingb"/>
      </w:pPr>
      <w:r w:rsidRPr="00990E5D">
        <w:t>Resultado</w:t>
      </w:r>
      <w:r w:rsidR="00BB0348" w:rsidRPr="00990E5D">
        <w:t>s</w:t>
      </w:r>
      <w:r w:rsidRPr="00990E5D">
        <w:t xml:space="preserve"> de </w:t>
      </w:r>
      <w:r w:rsidR="00BB0348" w:rsidRPr="00990E5D">
        <w:t xml:space="preserve">los </w:t>
      </w:r>
      <w:r w:rsidRPr="00990E5D">
        <w:t>estudios de compartición con el SFS</w:t>
      </w:r>
    </w:p>
    <w:p w14:paraId="45341A83" w14:textId="09744904" w:rsidR="007202EC" w:rsidRPr="00990E5D" w:rsidRDefault="007202EC" w:rsidP="00A17971">
      <w:r w:rsidRPr="00990E5D">
        <w:t xml:space="preserve">El UIT-R examinó las condiciones de compartición de las ETEM con los sistemas de satélites del SFS </w:t>
      </w:r>
      <w:r w:rsidR="00A36434" w:rsidRPr="00990E5D">
        <w:t xml:space="preserve">OSG </w:t>
      </w:r>
      <w:r w:rsidRPr="00990E5D">
        <w:t>en las bandas de frecuencias 17,7-19,7</w:t>
      </w:r>
      <w:r w:rsidR="00A17971" w:rsidRPr="00990E5D">
        <w:t> </w:t>
      </w:r>
      <w:r w:rsidRPr="00990E5D">
        <w:t>GHz y 27,5-29,5</w:t>
      </w:r>
      <w:r w:rsidR="00A17971" w:rsidRPr="00990E5D">
        <w:t> </w:t>
      </w:r>
      <w:r w:rsidRPr="00990E5D">
        <w:t xml:space="preserve">GHz. </w:t>
      </w:r>
      <w:r w:rsidR="00A36434" w:rsidRPr="00990E5D">
        <w:t>A raíz de ello</w:t>
      </w:r>
      <w:r w:rsidRPr="00990E5D">
        <w:t xml:space="preserve">, </w:t>
      </w:r>
      <w:r w:rsidR="00A36434" w:rsidRPr="00990E5D">
        <w:t xml:space="preserve">determinó </w:t>
      </w:r>
      <w:r w:rsidRPr="00990E5D">
        <w:t xml:space="preserve">que las operaciones de las ETEM deben mantenerse dentro </w:t>
      </w:r>
      <w:r w:rsidR="007B2A1A" w:rsidRPr="00990E5D">
        <w:t>del conjunto de los límites</w:t>
      </w:r>
      <w:r w:rsidRPr="00990E5D">
        <w:t xml:space="preserve"> de la red de satélites con la que se comunican, </w:t>
      </w:r>
      <w:r w:rsidR="00A36434" w:rsidRPr="00990E5D">
        <w:t xml:space="preserve">y concluyó </w:t>
      </w:r>
      <w:r w:rsidRPr="00990E5D">
        <w:t>que</w:t>
      </w:r>
      <w:r w:rsidR="00A36434" w:rsidRPr="00990E5D">
        <w:t>,</w:t>
      </w:r>
      <w:r w:rsidRPr="00990E5D">
        <w:t xml:space="preserve"> para prevenir las interferencias entre las ETEM y </w:t>
      </w:r>
      <w:r w:rsidR="00A36434" w:rsidRPr="00990E5D">
        <w:lastRenderedPageBreak/>
        <w:t>los sistemas</w:t>
      </w:r>
      <w:r w:rsidRPr="00990E5D">
        <w:t xml:space="preserve"> del SFS </w:t>
      </w:r>
      <w:r w:rsidR="00A36434" w:rsidRPr="00990E5D">
        <w:t xml:space="preserve">OSG </w:t>
      </w:r>
      <w:r w:rsidRPr="00990E5D">
        <w:t>de otras administraciones</w:t>
      </w:r>
      <w:r w:rsidR="00A36434" w:rsidRPr="00990E5D">
        <w:t>,</w:t>
      </w:r>
      <w:r w:rsidRPr="00990E5D">
        <w:t xml:space="preserve"> debe</w:t>
      </w:r>
      <w:r w:rsidR="00A36434" w:rsidRPr="00990E5D">
        <w:t>n</w:t>
      </w:r>
      <w:r w:rsidRPr="00990E5D">
        <w:t xml:space="preserve"> cumplir</w:t>
      </w:r>
      <w:r w:rsidR="00A36434" w:rsidRPr="00990E5D">
        <w:t>se</w:t>
      </w:r>
      <w:r w:rsidRPr="00990E5D">
        <w:t xml:space="preserve"> </w:t>
      </w:r>
      <w:r w:rsidR="00A36434" w:rsidRPr="00990E5D">
        <w:t>las disposiciones de</w:t>
      </w:r>
      <w:r w:rsidRPr="00990E5D">
        <w:t xml:space="preserve"> la Resolución propuesta.</w:t>
      </w:r>
    </w:p>
    <w:p w14:paraId="7AE9FAEA" w14:textId="2EC0B7EB" w:rsidR="007202EC" w:rsidRPr="00990E5D" w:rsidRDefault="00A36434" w:rsidP="00A17971">
      <w:r w:rsidRPr="00990E5D">
        <w:t>Por otra parte, e</w:t>
      </w:r>
      <w:r w:rsidR="007202EC" w:rsidRPr="00990E5D">
        <w:t>n las bandas 17,7-18,6</w:t>
      </w:r>
      <w:r w:rsidR="00A17971" w:rsidRPr="00990E5D">
        <w:t> </w:t>
      </w:r>
      <w:r w:rsidR="007202EC" w:rsidRPr="00990E5D">
        <w:t>GHz y 18,8-19,3</w:t>
      </w:r>
      <w:r w:rsidR="00A17971" w:rsidRPr="00990E5D">
        <w:t> </w:t>
      </w:r>
      <w:r w:rsidR="007202EC" w:rsidRPr="00990E5D">
        <w:t xml:space="preserve">GHz, no se prevén interferencias de las ETEM </w:t>
      </w:r>
      <w:r w:rsidRPr="00990E5D">
        <w:t xml:space="preserve">sobre </w:t>
      </w:r>
      <w:r w:rsidR="007202EC" w:rsidRPr="00990E5D">
        <w:t xml:space="preserve">las estaciones terrenas que se comunican con sistemas del SFS </w:t>
      </w:r>
      <w:r w:rsidRPr="00990E5D">
        <w:t xml:space="preserve">no OSG, </w:t>
      </w:r>
      <w:r w:rsidR="007202EC" w:rsidRPr="00990E5D">
        <w:t>debido a que ambas se encuentran en sentido de recepción (espacio-Tierra).</w:t>
      </w:r>
      <w:bookmarkStart w:id="5" w:name="_GoBack"/>
      <w:bookmarkEnd w:id="5"/>
    </w:p>
    <w:p w14:paraId="7D4BCF5A" w14:textId="33801E1D" w:rsidR="007202EC" w:rsidRPr="00990E5D" w:rsidRDefault="00A36434" w:rsidP="00A17971">
      <w:r w:rsidRPr="00990E5D">
        <w:t>R</w:t>
      </w:r>
      <w:r w:rsidR="007202EC" w:rsidRPr="00990E5D">
        <w:t>especto</w:t>
      </w:r>
      <w:r w:rsidRPr="00990E5D">
        <w:t xml:space="preserve"> a</w:t>
      </w:r>
      <w:r w:rsidR="007202EC" w:rsidRPr="00990E5D">
        <w:t xml:space="preserve"> la interferencia que </w:t>
      </w:r>
      <w:r w:rsidRPr="00990E5D">
        <w:t>pudiera</w:t>
      </w:r>
      <w:r w:rsidR="00BB0348" w:rsidRPr="00990E5D">
        <w:t>n</w:t>
      </w:r>
      <w:r w:rsidR="007202EC" w:rsidRPr="00990E5D">
        <w:t xml:space="preserve"> recibir las ETEM </w:t>
      </w:r>
      <w:r w:rsidRPr="00990E5D">
        <w:t>en la banda de 17,7-18,6</w:t>
      </w:r>
      <w:r w:rsidR="00A17971" w:rsidRPr="00990E5D">
        <w:t> </w:t>
      </w:r>
      <w:r w:rsidRPr="00990E5D">
        <w:t>GHz</w:t>
      </w:r>
      <w:r w:rsidR="00BB0348" w:rsidRPr="00990E5D">
        <w:t>,</w:t>
      </w:r>
      <w:r w:rsidRPr="00990E5D">
        <w:t xml:space="preserve"> las ETEM aceptarán los niveles de interferencia de los sistemas del SFS no OSG que satisfagan los límites de dfpe del Artículo</w:t>
      </w:r>
      <w:r w:rsidR="00A17971" w:rsidRPr="00990E5D">
        <w:t> </w:t>
      </w:r>
      <w:r w:rsidRPr="00990E5D">
        <w:rPr>
          <w:b/>
          <w:bCs/>
        </w:rPr>
        <w:t xml:space="preserve">22 </w:t>
      </w:r>
      <w:r w:rsidRPr="00990E5D">
        <w:t>del RR y, para la banda 18,8-19,3</w:t>
      </w:r>
      <w:r w:rsidR="00A17971" w:rsidRPr="00990E5D">
        <w:t> </w:t>
      </w:r>
      <w:r w:rsidRPr="00990E5D">
        <w:t>GHz, funcionará con arreglo a los parámetros técnicos y operacionales que figuran en los respectivos acuerdos de coordinación en aplicación de los números</w:t>
      </w:r>
      <w:r w:rsidR="00A17971" w:rsidRPr="00990E5D">
        <w:t> </w:t>
      </w:r>
      <w:r w:rsidRPr="00990E5D">
        <w:rPr>
          <w:b/>
          <w:bCs/>
        </w:rPr>
        <w:t>9.12A</w:t>
      </w:r>
      <w:r w:rsidRPr="00990E5D">
        <w:t xml:space="preserve"> y</w:t>
      </w:r>
      <w:r w:rsidR="00A17971" w:rsidRPr="00990E5D">
        <w:t> </w:t>
      </w:r>
      <w:r w:rsidRPr="00990E5D">
        <w:rPr>
          <w:b/>
          <w:bCs/>
        </w:rPr>
        <w:t>9.13</w:t>
      </w:r>
      <w:r w:rsidRPr="00990E5D">
        <w:t xml:space="preserve"> del RR, por lo que las ETEM no </w:t>
      </w:r>
      <w:r w:rsidR="00AD3555" w:rsidRPr="00990E5D">
        <w:t>requerirán</w:t>
      </w:r>
      <w:r w:rsidRPr="00990E5D">
        <w:t xml:space="preserve"> protección adicional.</w:t>
      </w:r>
    </w:p>
    <w:p w14:paraId="605EA2B5" w14:textId="41AC5A44" w:rsidR="007202EC" w:rsidRPr="00990E5D" w:rsidRDefault="007202EC" w:rsidP="00A17971">
      <w:r w:rsidRPr="00990E5D">
        <w:t xml:space="preserve">Para </w:t>
      </w:r>
      <w:r w:rsidR="00AD3555" w:rsidRPr="00990E5D">
        <w:t>la gama</w:t>
      </w:r>
      <w:r w:rsidRPr="00990E5D">
        <w:t xml:space="preserve"> de frecuencias 27,5-28,6</w:t>
      </w:r>
      <w:r w:rsidR="00A17971" w:rsidRPr="00990E5D">
        <w:t> </w:t>
      </w:r>
      <w:r w:rsidRPr="00990E5D">
        <w:t xml:space="preserve">GHz, se </w:t>
      </w:r>
      <w:r w:rsidR="00AD3555" w:rsidRPr="00990E5D">
        <w:t>constató</w:t>
      </w:r>
      <w:r w:rsidRPr="00990E5D">
        <w:t xml:space="preserve"> que </w:t>
      </w:r>
      <w:r w:rsidR="00AD3555" w:rsidRPr="00990E5D">
        <w:t>los</w:t>
      </w:r>
      <w:r w:rsidRPr="00990E5D">
        <w:t xml:space="preserve"> enlace</w:t>
      </w:r>
      <w:r w:rsidR="00AD3555" w:rsidRPr="00990E5D">
        <w:t>s</w:t>
      </w:r>
      <w:r w:rsidRPr="00990E5D">
        <w:t xml:space="preserve"> de transmisión de </w:t>
      </w:r>
      <w:r w:rsidR="00AD3555" w:rsidRPr="00990E5D">
        <w:t>las</w:t>
      </w:r>
      <w:r w:rsidRPr="00990E5D">
        <w:t xml:space="preserve"> ETEM podría</w:t>
      </w:r>
      <w:r w:rsidR="00AD3555" w:rsidRPr="00990E5D">
        <w:t>n</w:t>
      </w:r>
      <w:r w:rsidRPr="00990E5D">
        <w:t xml:space="preserve"> causar interferencia a los receptores de los sistemas no OSG, por lo que se propone que las ETEM protejan los sistemas no OSG tal como se establece en la </w:t>
      </w:r>
      <w:r w:rsidR="00AD3555" w:rsidRPr="00990E5D">
        <w:t xml:space="preserve">propuesta de </w:t>
      </w:r>
      <w:r w:rsidRPr="00990E5D">
        <w:t>resolución.</w:t>
      </w:r>
    </w:p>
    <w:p w14:paraId="234A72F7" w14:textId="41B97D2C" w:rsidR="007202EC" w:rsidRPr="00990E5D" w:rsidRDefault="007202EC" w:rsidP="00AD0DC3">
      <w:pPr>
        <w:pStyle w:val="Headingb"/>
      </w:pPr>
      <w:r w:rsidRPr="00990E5D">
        <w:t>Resultado</w:t>
      </w:r>
      <w:r w:rsidR="00BB0348" w:rsidRPr="00990E5D">
        <w:t>s</w:t>
      </w:r>
      <w:r w:rsidRPr="00990E5D">
        <w:t xml:space="preserve"> de </w:t>
      </w:r>
      <w:r w:rsidR="00BB0348" w:rsidRPr="00990E5D">
        <w:t xml:space="preserve">los </w:t>
      </w:r>
      <w:r w:rsidRPr="00990E5D">
        <w:t>estudios de compartición con el SRS</w:t>
      </w:r>
    </w:p>
    <w:p w14:paraId="7A292493" w14:textId="4BD10B2E" w:rsidR="007202EC" w:rsidRPr="00990E5D" w:rsidRDefault="007202EC" w:rsidP="00A17971">
      <w:r w:rsidRPr="00990E5D">
        <w:t>En la</w:t>
      </w:r>
      <w:r w:rsidR="00AD3555" w:rsidRPr="00990E5D">
        <w:t>s</w:t>
      </w:r>
      <w:r w:rsidRPr="00990E5D">
        <w:t xml:space="preserve"> banda</w:t>
      </w:r>
      <w:r w:rsidR="00AD3555" w:rsidRPr="00990E5D">
        <w:t>s</w:t>
      </w:r>
      <w:r w:rsidRPr="00990E5D">
        <w:t xml:space="preserve"> 17,7-18,1 y</w:t>
      </w:r>
      <w:r w:rsidR="00A17971" w:rsidRPr="00990E5D">
        <w:t> </w:t>
      </w:r>
      <w:r w:rsidRPr="00990E5D">
        <w:t>18,1-18,4</w:t>
      </w:r>
      <w:r w:rsidR="00A17971" w:rsidRPr="00990E5D">
        <w:t> </w:t>
      </w:r>
      <w:r w:rsidRPr="00990E5D">
        <w:t xml:space="preserve">GHz, </w:t>
      </w:r>
      <w:r w:rsidR="00AD3555" w:rsidRPr="00990E5D">
        <w:t xml:space="preserve">los terminales de </w:t>
      </w:r>
      <w:r w:rsidRPr="00990E5D">
        <w:t xml:space="preserve">las ETEM son receptores y las estaciones terrenas de </w:t>
      </w:r>
      <w:r w:rsidR="00AD3555" w:rsidRPr="00990E5D">
        <w:t xml:space="preserve">los </w:t>
      </w:r>
      <w:r w:rsidRPr="00990E5D">
        <w:t>enlace</w:t>
      </w:r>
      <w:r w:rsidR="00AD3555" w:rsidRPr="00990E5D">
        <w:t>s</w:t>
      </w:r>
      <w:r w:rsidRPr="00990E5D">
        <w:t xml:space="preserve"> de conexión </w:t>
      </w:r>
      <w:r w:rsidR="00AD3555" w:rsidRPr="00990E5D">
        <w:t xml:space="preserve">del </w:t>
      </w:r>
      <w:r w:rsidRPr="00990E5D">
        <w:t xml:space="preserve">SRS son transmisoras. Por lo tanto, las ETEM no deberán reclamar protección </w:t>
      </w:r>
      <w:r w:rsidR="00AD3555" w:rsidRPr="00990E5D">
        <w:t>ni</w:t>
      </w:r>
      <w:r w:rsidRPr="00990E5D">
        <w:t xml:space="preserve"> </w:t>
      </w:r>
      <w:r w:rsidR="00AD3555" w:rsidRPr="00990E5D">
        <w:t>limitar el</w:t>
      </w:r>
      <w:r w:rsidRPr="00990E5D">
        <w:t xml:space="preserve"> desarrollo de las estaciones terrenas del SRS.</w:t>
      </w:r>
    </w:p>
    <w:p w14:paraId="620AAB13" w14:textId="3972D9BC" w:rsidR="007202EC" w:rsidRPr="00990E5D" w:rsidRDefault="007202EC" w:rsidP="00A17971">
      <w:r w:rsidRPr="00990E5D">
        <w:t>Con respecto a la banda 27,5-29,5</w:t>
      </w:r>
      <w:r w:rsidR="00A17971" w:rsidRPr="00990E5D">
        <w:t> </w:t>
      </w:r>
      <w:r w:rsidRPr="00990E5D">
        <w:t xml:space="preserve">GHz, </w:t>
      </w:r>
      <w:r w:rsidR="00AD3555" w:rsidRPr="00990E5D">
        <w:t xml:space="preserve">las ETEM deben permanecer dentro </w:t>
      </w:r>
      <w:r w:rsidR="007B2A1A" w:rsidRPr="00990E5D">
        <w:t>del conjunto de los límites</w:t>
      </w:r>
      <w:r w:rsidR="00AD3555" w:rsidRPr="00990E5D">
        <w:t xml:space="preserve"> de la red de satélites con la que se comuniquen, y es necesari</w:t>
      </w:r>
      <w:r w:rsidR="0040058B" w:rsidRPr="00990E5D">
        <w:t>o especificar este extremo en una propuesta de Resolución que se recoja en el Informe de la RPC</w:t>
      </w:r>
      <w:r w:rsidRPr="00990E5D">
        <w:t>.</w:t>
      </w:r>
    </w:p>
    <w:p w14:paraId="148111DE" w14:textId="77777777" w:rsidR="008750A8" w:rsidRPr="00990E5D" w:rsidRDefault="008750A8" w:rsidP="008750A8">
      <w:pPr>
        <w:tabs>
          <w:tab w:val="clear" w:pos="1134"/>
          <w:tab w:val="clear" w:pos="1871"/>
          <w:tab w:val="clear" w:pos="2268"/>
        </w:tabs>
        <w:overflowPunct/>
        <w:autoSpaceDE/>
        <w:autoSpaceDN/>
        <w:adjustRightInd/>
        <w:spacing w:before="0"/>
        <w:textAlignment w:val="auto"/>
      </w:pPr>
      <w:r w:rsidRPr="00990E5D">
        <w:br w:type="page"/>
      </w:r>
    </w:p>
    <w:p w14:paraId="6AC6D496" w14:textId="5E6C504A" w:rsidR="00A06803" w:rsidRPr="00990E5D" w:rsidRDefault="00A06803" w:rsidP="00A17971">
      <w:pPr>
        <w:pStyle w:val="Heading1"/>
      </w:pPr>
      <w:r w:rsidRPr="00990E5D">
        <w:lastRenderedPageBreak/>
        <w:t>2</w:t>
      </w:r>
      <w:r w:rsidRPr="00990E5D">
        <w:tab/>
      </w:r>
      <w:r w:rsidR="00321E32" w:rsidRPr="00990E5D">
        <w:t>Propuestas</w:t>
      </w:r>
    </w:p>
    <w:p w14:paraId="36974053" w14:textId="77777777" w:rsidR="007202EC" w:rsidRPr="00990E5D" w:rsidRDefault="007202EC" w:rsidP="00A17971">
      <w:pPr>
        <w:pStyle w:val="ArtNo"/>
      </w:pPr>
      <w:r w:rsidRPr="00990E5D">
        <w:t xml:space="preserve">ARTÍCULO </w:t>
      </w:r>
      <w:r w:rsidRPr="00990E5D">
        <w:rPr>
          <w:rStyle w:val="href"/>
        </w:rPr>
        <w:t>5</w:t>
      </w:r>
    </w:p>
    <w:p w14:paraId="638B7F5A" w14:textId="77777777" w:rsidR="007202EC" w:rsidRPr="00990E5D" w:rsidRDefault="007202EC" w:rsidP="00A17971">
      <w:pPr>
        <w:pStyle w:val="Arttitle"/>
      </w:pPr>
      <w:r w:rsidRPr="00990E5D">
        <w:t>Atribuciones de frecuencia</w:t>
      </w:r>
    </w:p>
    <w:p w14:paraId="79A1794E" w14:textId="77777777" w:rsidR="007202EC" w:rsidRPr="00990E5D" w:rsidRDefault="007202EC" w:rsidP="00A17971">
      <w:pPr>
        <w:pStyle w:val="Section1"/>
      </w:pPr>
      <w:r w:rsidRPr="00990E5D">
        <w:t>Sección IV – Cuadro de atribución de bandas de frecuencias</w:t>
      </w:r>
      <w:r w:rsidRPr="00990E5D">
        <w:br/>
      </w:r>
      <w:r w:rsidRPr="00990E5D">
        <w:rPr>
          <w:b w:val="0"/>
          <w:bCs/>
        </w:rPr>
        <w:t>(Véase el número</w:t>
      </w:r>
      <w:r w:rsidRPr="00990E5D">
        <w:t xml:space="preserve"> </w:t>
      </w:r>
      <w:r w:rsidRPr="00990E5D">
        <w:rPr>
          <w:rStyle w:val="Artref"/>
        </w:rPr>
        <w:t>2.1</w:t>
      </w:r>
      <w:r w:rsidRPr="00990E5D">
        <w:rPr>
          <w:b w:val="0"/>
          <w:bCs/>
        </w:rPr>
        <w:t>)</w:t>
      </w:r>
      <w:r w:rsidRPr="00990E5D">
        <w:br/>
      </w:r>
    </w:p>
    <w:p w14:paraId="42B7AED4" w14:textId="77777777" w:rsidR="00C65D71" w:rsidRPr="00990E5D" w:rsidRDefault="007202EC">
      <w:pPr>
        <w:pStyle w:val="Proposal"/>
      </w:pPr>
      <w:r w:rsidRPr="00990E5D">
        <w:t>MOD</w:t>
      </w:r>
      <w:r w:rsidRPr="00990E5D">
        <w:tab/>
        <w:t>SMO/VUT/95/1</w:t>
      </w:r>
      <w:r w:rsidRPr="00990E5D">
        <w:rPr>
          <w:vanish/>
          <w:color w:val="7F7F7F" w:themeColor="text1" w:themeTint="80"/>
          <w:vertAlign w:val="superscript"/>
        </w:rPr>
        <w:t>#49988</w:t>
      </w:r>
    </w:p>
    <w:p w14:paraId="1BBAE0D9" w14:textId="24182BA7" w:rsidR="007202EC" w:rsidRPr="00990E5D" w:rsidRDefault="007202EC" w:rsidP="007202EC">
      <w:pPr>
        <w:pStyle w:val="Tabletitle"/>
      </w:pPr>
      <w:r w:rsidRPr="00990E5D">
        <w:t>15,4-18,4</w:t>
      </w:r>
      <w:r w:rsidR="00A17971" w:rsidRPr="00990E5D">
        <w:t> </w:t>
      </w:r>
      <w:r w:rsidRPr="00990E5D">
        <w:t>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202EC" w:rsidRPr="00990E5D" w14:paraId="0D128A55" w14:textId="77777777" w:rsidTr="00720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B509289" w14:textId="77777777" w:rsidR="007202EC" w:rsidRPr="00990E5D" w:rsidRDefault="007202EC" w:rsidP="007202EC">
            <w:pPr>
              <w:pStyle w:val="Tablehead"/>
            </w:pPr>
            <w:r w:rsidRPr="00990E5D">
              <w:t>Atribución a los servicios</w:t>
            </w:r>
          </w:p>
        </w:tc>
      </w:tr>
      <w:tr w:rsidR="007202EC" w:rsidRPr="00990E5D" w14:paraId="380F2A8D" w14:textId="77777777" w:rsidTr="007202EC">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1B519C66" w14:textId="77777777" w:rsidR="007202EC" w:rsidRPr="00990E5D" w:rsidRDefault="007202EC" w:rsidP="007202EC">
            <w:pPr>
              <w:pStyle w:val="Tablehead"/>
            </w:pPr>
            <w:r w:rsidRPr="00990E5D">
              <w:t>Región 1</w:t>
            </w:r>
          </w:p>
        </w:tc>
        <w:tc>
          <w:tcPr>
            <w:tcW w:w="3100" w:type="dxa"/>
            <w:tcBorders>
              <w:top w:val="single" w:sz="4" w:space="0" w:color="auto"/>
              <w:left w:val="single" w:sz="4" w:space="0" w:color="auto"/>
              <w:bottom w:val="single" w:sz="4" w:space="0" w:color="auto"/>
              <w:right w:val="single" w:sz="4" w:space="0" w:color="auto"/>
            </w:tcBorders>
            <w:hideMark/>
          </w:tcPr>
          <w:p w14:paraId="24E9AD67" w14:textId="77777777" w:rsidR="007202EC" w:rsidRPr="00990E5D" w:rsidRDefault="007202EC" w:rsidP="007202EC">
            <w:pPr>
              <w:pStyle w:val="Tablehead"/>
            </w:pPr>
            <w:r w:rsidRPr="00990E5D">
              <w:t>Región 2</w:t>
            </w:r>
          </w:p>
        </w:tc>
        <w:tc>
          <w:tcPr>
            <w:tcW w:w="3100" w:type="dxa"/>
            <w:tcBorders>
              <w:top w:val="single" w:sz="4" w:space="0" w:color="auto"/>
              <w:left w:val="single" w:sz="4" w:space="0" w:color="auto"/>
              <w:bottom w:val="single" w:sz="4" w:space="0" w:color="auto"/>
              <w:right w:val="single" w:sz="4" w:space="0" w:color="auto"/>
            </w:tcBorders>
            <w:hideMark/>
          </w:tcPr>
          <w:p w14:paraId="33AE12AC" w14:textId="77777777" w:rsidR="007202EC" w:rsidRPr="00990E5D" w:rsidRDefault="007202EC" w:rsidP="007202EC">
            <w:pPr>
              <w:pStyle w:val="Tablehead"/>
            </w:pPr>
            <w:r w:rsidRPr="00990E5D">
              <w:t>Región 3</w:t>
            </w:r>
          </w:p>
        </w:tc>
      </w:tr>
      <w:tr w:rsidR="007202EC" w:rsidRPr="00990E5D" w14:paraId="2BF0A260" w14:textId="77777777" w:rsidTr="007202EC">
        <w:trPr>
          <w:cantSplit/>
          <w:jc w:val="center"/>
        </w:trPr>
        <w:tc>
          <w:tcPr>
            <w:tcW w:w="3099" w:type="dxa"/>
            <w:tcBorders>
              <w:top w:val="single" w:sz="4" w:space="0" w:color="auto"/>
              <w:left w:val="single" w:sz="4" w:space="0" w:color="auto"/>
              <w:bottom w:val="nil"/>
              <w:right w:val="single" w:sz="4" w:space="0" w:color="auto"/>
            </w:tcBorders>
            <w:hideMark/>
          </w:tcPr>
          <w:p w14:paraId="38E02370" w14:textId="77777777" w:rsidR="007202EC" w:rsidRPr="00990E5D" w:rsidRDefault="007202EC" w:rsidP="007202EC">
            <w:pPr>
              <w:pStyle w:val="TableTextS5"/>
              <w:rPr>
                <w:rStyle w:val="Tablefreq"/>
              </w:rPr>
            </w:pPr>
            <w:r w:rsidRPr="00990E5D">
              <w:rPr>
                <w:rStyle w:val="Tablefreq"/>
              </w:rPr>
              <w:t>17,7-18,1</w:t>
            </w:r>
          </w:p>
          <w:p w14:paraId="09BC4CB8" w14:textId="77777777" w:rsidR="007202EC" w:rsidRPr="00990E5D" w:rsidRDefault="007202EC" w:rsidP="007202EC">
            <w:pPr>
              <w:pStyle w:val="TableTextS5"/>
            </w:pPr>
            <w:r w:rsidRPr="00990E5D">
              <w:t>FIJO</w:t>
            </w:r>
          </w:p>
          <w:p w14:paraId="17D7D7D5" w14:textId="77777777" w:rsidR="007202EC" w:rsidRPr="00990E5D" w:rsidRDefault="007202EC" w:rsidP="007202EC">
            <w:pPr>
              <w:pStyle w:val="TableTextS5"/>
              <w:rPr>
                <w:color w:val="000000"/>
              </w:rPr>
            </w:pPr>
            <w:r w:rsidRPr="00990E5D">
              <w:t>FIJO POR SATÉLITE</w:t>
            </w:r>
            <w:r w:rsidRPr="00990E5D">
              <w:br/>
              <w:t>(espacio-Tierra)</w:t>
            </w:r>
            <w:r w:rsidRPr="00990E5D">
              <w:rPr>
                <w:color w:val="000000"/>
              </w:rPr>
              <w:t xml:space="preserve">  </w:t>
            </w:r>
            <w:r w:rsidRPr="00990E5D">
              <w:rPr>
                <w:rStyle w:val="Artref"/>
              </w:rPr>
              <w:t>5.484A</w:t>
            </w:r>
            <w:ins w:id="6" w:author="Soto Romero, Alicia" w:date="2018-07-23T11:53:00Z">
              <w:r w:rsidRPr="00990E5D">
                <w:t xml:space="preserve">  </w:t>
              </w:r>
            </w:ins>
            <w:r w:rsidRPr="00990E5D">
              <w:br/>
            </w:r>
            <w:ins w:id="7" w:author="Soto Romero, Alicia" w:date="2018-07-23T11:53:00Z">
              <w:r w:rsidRPr="00990E5D">
                <w:rPr>
                  <w:rStyle w:val="Artref"/>
                </w:rPr>
                <w:t>ADD 5.A15</w:t>
              </w:r>
            </w:ins>
            <w:r w:rsidRPr="00990E5D">
              <w:rPr>
                <w:color w:val="000000"/>
              </w:rPr>
              <w:br/>
              <w:t xml:space="preserve">(Tierra-espacio)  </w:t>
            </w:r>
            <w:r w:rsidRPr="00990E5D">
              <w:rPr>
                <w:rStyle w:val="Artref"/>
              </w:rPr>
              <w:t>5.516</w:t>
            </w:r>
          </w:p>
          <w:p w14:paraId="4E7FC791" w14:textId="77777777" w:rsidR="007202EC" w:rsidRPr="00990E5D" w:rsidRDefault="007202EC" w:rsidP="007202EC">
            <w:pPr>
              <w:pStyle w:val="TableTextS5"/>
              <w:spacing w:before="30" w:after="30"/>
              <w:rPr>
                <w:color w:val="000000"/>
              </w:rPr>
            </w:pPr>
            <w:r w:rsidRPr="00990E5D">
              <w:t>MÓVIL</w:t>
            </w:r>
          </w:p>
        </w:tc>
        <w:tc>
          <w:tcPr>
            <w:tcW w:w="3100" w:type="dxa"/>
            <w:tcBorders>
              <w:top w:val="single" w:sz="4" w:space="0" w:color="auto"/>
              <w:left w:val="single" w:sz="4" w:space="0" w:color="auto"/>
              <w:bottom w:val="single" w:sz="4" w:space="0" w:color="auto"/>
              <w:right w:val="single" w:sz="4" w:space="0" w:color="auto"/>
            </w:tcBorders>
            <w:hideMark/>
          </w:tcPr>
          <w:p w14:paraId="1717E091" w14:textId="77777777" w:rsidR="007202EC" w:rsidRPr="00990E5D" w:rsidRDefault="007202EC" w:rsidP="007202EC">
            <w:pPr>
              <w:pStyle w:val="TableTextS5"/>
              <w:rPr>
                <w:rStyle w:val="Tablefreq"/>
              </w:rPr>
            </w:pPr>
            <w:r w:rsidRPr="00990E5D">
              <w:rPr>
                <w:rStyle w:val="Tablefreq"/>
              </w:rPr>
              <w:t>17,7-17,8</w:t>
            </w:r>
          </w:p>
          <w:p w14:paraId="0A0EDAD1" w14:textId="77777777" w:rsidR="007202EC" w:rsidRPr="00990E5D" w:rsidRDefault="007202EC" w:rsidP="007202EC">
            <w:pPr>
              <w:pStyle w:val="TableTextS5"/>
            </w:pPr>
            <w:r w:rsidRPr="00990E5D">
              <w:t>FIJO</w:t>
            </w:r>
          </w:p>
          <w:p w14:paraId="76ED49FB" w14:textId="77777777" w:rsidR="007202EC" w:rsidRPr="00990E5D" w:rsidRDefault="007202EC" w:rsidP="007202EC">
            <w:pPr>
              <w:pStyle w:val="TableTextS5"/>
              <w:rPr>
                <w:color w:val="000000"/>
              </w:rPr>
            </w:pPr>
            <w:r w:rsidRPr="00990E5D">
              <w:t>FIJO POR SATÉLITE</w:t>
            </w:r>
            <w:r w:rsidRPr="00990E5D">
              <w:br/>
              <w:t xml:space="preserve">(espacio-Tierra)  </w:t>
            </w:r>
            <w:r w:rsidRPr="00990E5D">
              <w:rPr>
                <w:rStyle w:val="Artref"/>
              </w:rPr>
              <w:t>5.517</w:t>
            </w:r>
            <w:ins w:id="8" w:author="Soto Romero, Alicia" w:date="2018-07-23T14:07:00Z">
              <w:r w:rsidRPr="00990E5D">
                <w:rPr>
                  <w:rStyle w:val="Artref"/>
                  <w:color w:val="000000"/>
                </w:rPr>
                <w:t xml:space="preserve"> </w:t>
              </w:r>
              <w:r w:rsidRPr="00990E5D">
                <w:rPr>
                  <w:color w:val="000000"/>
                </w:rPr>
                <w:t xml:space="preserve"> </w:t>
              </w:r>
            </w:ins>
            <w:r w:rsidRPr="00990E5D">
              <w:rPr>
                <w:color w:val="000000"/>
              </w:rPr>
              <w:br/>
            </w:r>
            <w:ins w:id="9" w:author="Doc. 557 (KOR)" w:date="2018-02-24T13:46:00Z">
              <w:r w:rsidRPr="00990E5D">
                <w:rPr>
                  <w:rStyle w:val="Artref"/>
                </w:rPr>
                <w:t>ADD 5.A15</w:t>
              </w:r>
            </w:ins>
            <w:r w:rsidRPr="00990E5D">
              <w:rPr>
                <w:color w:val="000000"/>
              </w:rPr>
              <w:br/>
              <w:t xml:space="preserve">(Tierra-espacio)  </w:t>
            </w:r>
            <w:r w:rsidRPr="00990E5D">
              <w:rPr>
                <w:rStyle w:val="Artref"/>
              </w:rPr>
              <w:t>5.516</w:t>
            </w:r>
          </w:p>
          <w:p w14:paraId="083C1C05" w14:textId="77777777" w:rsidR="007202EC" w:rsidRPr="00990E5D" w:rsidRDefault="007202EC" w:rsidP="007202EC">
            <w:pPr>
              <w:pStyle w:val="TableTextS5"/>
            </w:pPr>
            <w:r w:rsidRPr="00990E5D">
              <w:t>RADIODIFUSIÓN POR SATÉLITE</w:t>
            </w:r>
          </w:p>
          <w:p w14:paraId="050BACC8" w14:textId="77777777" w:rsidR="007202EC" w:rsidRPr="00990E5D" w:rsidRDefault="007202EC" w:rsidP="007202EC">
            <w:pPr>
              <w:pStyle w:val="TableTextS5"/>
            </w:pPr>
            <w:r w:rsidRPr="00990E5D">
              <w:t>Móvil</w:t>
            </w:r>
          </w:p>
          <w:p w14:paraId="2BF03AA4" w14:textId="77777777" w:rsidR="007202EC" w:rsidRPr="00990E5D" w:rsidRDefault="007202EC" w:rsidP="007202EC">
            <w:pPr>
              <w:pStyle w:val="TableTextS5"/>
              <w:spacing w:before="30" w:after="30"/>
              <w:rPr>
                <w:color w:val="000000"/>
              </w:rPr>
            </w:pPr>
            <w:r w:rsidRPr="00990E5D">
              <w:rPr>
                <w:rStyle w:val="Artref"/>
              </w:rPr>
              <w:t>5.515</w:t>
            </w:r>
          </w:p>
        </w:tc>
        <w:tc>
          <w:tcPr>
            <w:tcW w:w="3100" w:type="dxa"/>
            <w:tcBorders>
              <w:top w:val="single" w:sz="4" w:space="0" w:color="auto"/>
              <w:left w:val="single" w:sz="4" w:space="0" w:color="auto"/>
              <w:bottom w:val="nil"/>
              <w:right w:val="single" w:sz="4" w:space="0" w:color="auto"/>
            </w:tcBorders>
            <w:hideMark/>
          </w:tcPr>
          <w:p w14:paraId="3A067215" w14:textId="77777777" w:rsidR="007202EC" w:rsidRPr="00990E5D" w:rsidRDefault="007202EC" w:rsidP="007202EC">
            <w:pPr>
              <w:pStyle w:val="TableTextS5"/>
              <w:rPr>
                <w:rStyle w:val="Tablefreq"/>
              </w:rPr>
            </w:pPr>
            <w:r w:rsidRPr="00990E5D">
              <w:rPr>
                <w:rStyle w:val="Tablefreq"/>
              </w:rPr>
              <w:t>17,7-18,1</w:t>
            </w:r>
          </w:p>
          <w:p w14:paraId="24535491" w14:textId="77777777" w:rsidR="007202EC" w:rsidRPr="00990E5D" w:rsidRDefault="007202EC" w:rsidP="007202EC">
            <w:pPr>
              <w:pStyle w:val="TableTextS5"/>
            </w:pPr>
            <w:r w:rsidRPr="00990E5D">
              <w:t>FIJO</w:t>
            </w:r>
          </w:p>
          <w:p w14:paraId="2BDFF659" w14:textId="77777777" w:rsidR="007202EC" w:rsidRPr="00990E5D" w:rsidRDefault="007202EC" w:rsidP="007202EC">
            <w:pPr>
              <w:pStyle w:val="TableTextS5"/>
              <w:rPr>
                <w:color w:val="000000"/>
              </w:rPr>
            </w:pPr>
            <w:r w:rsidRPr="00990E5D">
              <w:t>FIJO POR SATÉLITE</w:t>
            </w:r>
            <w:r w:rsidRPr="00990E5D">
              <w:br/>
              <w:t>(espacio-Tierra)</w:t>
            </w:r>
            <w:r w:rsidRPr="00990E5D">
              <w:rPr>
                <w:color w:val="000000"/>
              </w:rPr>
              <w:t xml:space="preserve">  </w:t>
            </w:r>
            <w:r w:rsidRPr="00990E5D">
              <w:rPr>
                <w:rStyle w:val="Artref"/>
              </w:rPr>
              <w:t>5.484A</w:t>
            </w:r>
            <w:ins w:id="10" w:author="Soto Romero, Alicia" w:date="2018-07-23T14:07:00Z">
              <w:r w:rsidRPr="00990E5D">
                <w:rPr>
                  <w:rStyle w:val="Artref"/>
                  <w:color w:val="000000"/>
                </w:rPr>
                <w:t xml:space="preserve"> </w:t>
              </w:r>
              <w:r w:rsidRPr="00990E5D">
                <w:t xml:space="preserve"> </w:t>
              </w:r>
            </w:ins>
            <w:r w:rsidRPr="00990E5D">
              <w:br/>
            </w:r>
            <w:ins w:id="11" w:author="Doc. 557 (KOR)" w:date="2018-02-24T13:46:00Z">
              <w:r w:rsidRPr="00990E5D">
                <w:rPr>
                  <w:rStyle w:val="Artref"/>
                </w:rPr>
                <w:t>ADD 5.A15</w:t>
              </w:r>
            </w:ins>
            <w:r w:rsidRPr="00990E5D">
              <w:rPr>
                <w:color w:val="000000"/>
              </w:rPr>
              <w:br/>
            </w:r>
            <w:r w:rsidRPr="00990E5D">
              <w:t>(Tierra-espacio)</w:t>
            </w:r>
            <w:r w:rsidRPr="00990E5D">
              <w:rPr>
                <w:color w:val="000000"/>
              </w:rPr>
              <w:t xml:space="preserve">  </w:t>
            </w:r>
            <w:r w:rsidRPr="00990E5D">
              <w:rPr>
                <w:rStyle w:val="Artref"/>
              </w:rPr>
              <w:t>5.516</w:t>
            </w:r>
          </w:p>
          <w:p w14:paraId="49FA8C99" w14:textId="77777777" w:rsidR="007202EC" w:rsidRPr="00990E5D" w:rsidRDefault="007202EC" w:rsidP="007202EC">
            <w:pPr>
              <w:pStyle w:val="TableTextS5"/>
              <w:rPr>
                <w:color w:val="000000"/>
              </w:rPr>
            </w:pPr>
            <w:r w:rsidRPr="00990E5D">
              <w:t>MÓVIL</w:t>
            </w:r>
          </w:p>
        </w:tc>
      </w:tr>
      <w:tr w:rsidR="007202EC" w:rsidRPr="00990E5D" w14:paraId="22F8411C" w14:textId="77777777" w:rsidTr="007202EC">
        <w:trPr>
          <w:cantSplit/>
          <w:jc w:val="center"/>
        </w:trPr>
        <w:tc>
          <w:tcPr>
            <w:tcW w:w="3099" w:type="dxa"/>
            <w:tcBorders>
              <w:top w:val="nil"/>
              <w:left w:val="single" w:sz="4" w:space="0" w:color="auto"/>
              <w:bottom w:val="single" w:sz="4" w:space="0" w:color="auto"/>
              <w:right w:val="single" w:sz="6" w:space="0" w:color="auto"/>
            </w:tcBorders>
          </w:tcPr>
          <w:p w14:paraId="4991F9B7" w14:textId="77777777" w:rsidR="007202EC" w:rsidRPr="00990E5D" w:rsidRDefault="007202EC" w:rsidP="007202EC">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0025CE35" w14:textId="77777777" w:rsidR="007202EC" w:rsidRPr="00990E5D" w:rsidRDefault="007202EC" w:rsidP="007202EC">
            <w:pPr>
              <w:pStyle w:val="TableTextS5"/>
              <w:rPr>
                <w:rStyle w:val="Tablefreq"/>
              </w:rPr>
            </w:pPr>
            <w:r w:rsidRPr="00990E5D">
              <w:rPr>
                <w:rStyle w:val="Tablefreq"/>
              </w:rPr>
              <w:t>17,8-18,1</w:t>
            </w:r>
          </w:p>
          <w:p w14:paraId="456469DF" w14:textId="77777777" w:rsidR="007202EC" w:rsidRPr="00990E5D" w:rsidRDefault="007202EC" w:rsidP="007202EC">
            <w:pPr>
              <w:pStyle w:val="TableTextS5"/>
            </w:pPr>
            <w:r w:rsidRPr="00990E5D">
              <w:t>FIJO</w:t>
            </w:r>
          </w:p>
          <w:p w14:paraId="383E66B5" w14:textId="77777777" w:rsidR="007202EC" w:rsidRPr="00990E5D" w:rsidRDefault="007202EC" w:rsidP="007202EC">
            <w:pPr>
              <w:pStyle w:val="TableTextS5"/>
              <w:rPr>
                <w:color w:val="000000"/>
              </w:rPr>
            </w:pPr>
            <w:r w:rsidRPr="00990E5D">
              <w:t>FIJO POR SATÉLITE</w:t>
            </w:r>
            <w:r w:rsidRPr="00990E5D">
              <w:br/>
              <w:t>(espacio-Tierra)</w:t>
            </w:r>
            <w:r w:rsidRPr="00990E5D">
              <w:rPr>
                <w:color w:val="000000"/>
              </w:rPr>
              <w:t xml:space="preserve">  </w:t>
            </w:r>
            <w:r w:rsidRPr="00990E5D">
              <w:rPr>
                <w:rStyle w:val="Artref"/>
              </w:rPr>
              <w:t>5.484A</w:t>
            </w:r>
            <w:ins w:id="12" w:author="Spanish" w:date="2019-03-13T16:33:00Z">
              <w:r w:rsidRPr="00990E5D">
                <w:rPr>
                  <w:rStyle w:val="Artref"/>
                </w:rPr>
                <w:t xml:space="preserve">  </w:t>
              </w:r>
            </w:ins>
            <w:r w:rsidRPr="00990E5D">
              <w:br/>
            </w:r>
            <w:ins w:id="13" w:author="Doc. 557 (KOR)" w:date="2018-02-24T13:46:00Z">
              <w:r w:rsidRPr="00990E5D">
                <w:rPr>
                  <w:rStyle w:val="Artref"/>
                </w:rPr>
                <w:t>ADD 5.A15</w:t>
              </w:r>
            </w:ins>
            <w:r w:rsidRPr="00990E5D">
              <w:rPr>
                <w:color w:val="000000"/>
              </w:rPr>
              <w:br/>
            </w:r>
            <w:r w:rsidRPr="00990E5D">
              <w:t>(Tierra-espacio)</w:t>
            </w:r>
            <w:r w:rsidRPr="00990E5D">
              <w:rPr>
                <w:color w:val="000000"/>
              </w:rPr>
              <w:t xml:space="preserve">  </w:t>
            </w:r>
            <w:r w:rsidRPr="00990E5D">
              <w:rPr>
                <w:rStyle w:val="Artref"/>
              </w:rPr>
              <w:t>5.516</w:t>
            </w:r>
          </w:p>
          <w:p w14:paraId="4CF6F5AF" w14:textId="77777777" w:rsidR="007202EC" w:rsidRPr="00990E5D" w:rsidRDefault="007202EC" w:rsidP="007202EC">
            <w:pPr>
              <w:pStyle w:val="TableTextS5"/>
            </w:pPr>
            <w:r w:rsidRPr="00990E5D">
              <w:t>MÓVIL</w:t>
            </w:r>
          </w:p>
          <w:p w14:paraId="393C22CD" w14:textId="77777777" w:rsidR="007202EC" w:rsidRPr="00990E5D" w:rsidRDefault="007202EC" w:rsidP="007202EC">
            <w:pPr>
              <w:pStyle w:val="TableTextS5"/>
              <w:spacing w:before="30" w:after="30"/>
              <w:rPr>
                <w:color w:val="000000"/>
              </w:rPr>
            </w:pPr>
            <w:r w:rsidRPr="00990E5D">
              <w:rPr>
                <w:rStyle w:val="Artref"/>
              </w:rPr>
              <w:t>5.519</w:t>
            </w:r>
          </w:p>
        </w:tc>
        <w:tc>
          <w:tcPr>
            <w:tcW w:w="3100" w:type="dxa"/>
            <w:tcBorders>
              <w:top w:val="nil"/>
              <w:left w:val="single" w:sz="6" w:space="0" w:color="auto"/>
              <w:bottom w:val="single" w:sz="4" w:space="0" w:color="auto"/>
              <w:right w:val="single" w:sz="4" w:space="0" w:color="auto"/>
            </w:tcBorders>
          </w:tcPr>
          <w:p w14:paraId="530FDF59" w14:textId="77777777" w:rsidR="007202EC" w:rsidRPr="00990E5D" w:rsidRDefault="007202EC" w:rsidP="007202EC">
            <w:pPr>
              <w:pStyle w:val="TableTextS5"/>
              <w:spacing w:before="30" w:after="30"/>
              <w:rPr>
                <w:color w:val="000000"/>
              </w:rPr>
            </w:pPr>
          </w:p>
        </w:tc>
      </w:tr>
      <w:tr w:rsidR="007202EC" w:rsidRPr="00990E5D" w14:paraId="10EC4157" w14:textId="77777777" w:rsidTr="00720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8E6989A" w14:textId="77777777" w:rsidR="007202EC" w:rsidRPr="00990E5D" w:rsidRDefault="007202EC" w:rsidP="007202EC">
            <w:pPr>
              <w:pStyle w:val="TableTextS5"/>
            </w:pPr>
            <w:r w:rsidRPr="00990E5D">
              <w:rPr>
                <w:rStyle w:val="Tablefreq"/>
              </w:rPr>
              <w:t>18,1-18,4</w:t>
            </w:r>
            <w:r w:rsidRPr="00990E5D">
              <w:rPr>
                <w:b/>
              </w:rPr>
              <w:tab/>
            </w:r>
            <w:r w:rsidRPr="00990E5D">
              <w:t>FIJO</w:t>
            </w:r>
          </w:p>
          <w:p w14:paraId="31792616" w14:textId="77777777" w:rsidR="007202EC" w:rsidRPr="00990E5D" w:rsidRDefault="007202EC" w:rsidP="007202EC">
            <w:pPr>
              <w:pStyle w:val="TableTextS5"/>
              <w:rPr>
                <w:color w:val="000000"/>
              </w:rPr>
            </w:pPr>
            <w:r w:rsidRPr="00990E5D">
              <w:tab/>
            </w:r>
            <w:r w:rsidRPr="00990E5D">
              <w:tab/>
            </w:r>
            <w:r w:rsidRPr="00990E5D">
              <w:tab/>
            </w:r>
            <w:r w:rsidRPr="00990E5D">
              <w:tab/>
              <w:t xml:space="preserve">FIJO POR SATÉLITE (espacio-Tierra) </w:t>
            </w:r>
            <w:r w:rsidRPr="00990E5D">
              <w:rPr>
                <w:rStyle w:val="Artref"/>
              </w:rPr>
              <w:t>5.484A  5.516B</w:t>
            </w:r>
            <w:ins w:id="14" w:author="Soto Romero, Alicia" w:date="2018-07-23T14:07:00Z">
              <w:r w:rsidRPr="00990E5D">
                <w:rPr>
                  <w:rStyle w:val="Artref"/>
                </w:rPr>
                <w:t xml:space="preserve">  </w:t>
              </w:r>
            </w:ins>
            <w:ins w:id="15" w:author="Doc. 557 (KOR)" w:date="2018-02-24T13:46:00Z">
              <w:r w:rsidRPr="00990E5D">
                <w:rPr>
                  <w:rStyle w:val="Artref"/>
                </w:rPr>
                <w:t>ADD 5.A15</w:t>
              </w:r>
            </w:ins>
            <w:r w:rsidRPr="00990E5D">
              <w:rPr>
                <w:color w:val="000000"/>
              </w:rPr>
              <w:br/>
            </w:r>
            <w:r w:rsidRPr="00990E5D">
              <w:tab/>
            </w:r>
            <w:r w:rsidRPr="00990E5D">
              <w:tab/>
            </w:r>
            <w:r w:rsidRPr="00990E5D">
              <w:tab/>
            </w:r>
            <w:r w:rsidRPr="00990E5D">
              <w:tab/>
              <w:t>(Tierra-espacio)</w:t>
            </w:r>
            <w:r w:rsidRPr="00990E5D">
              <w:rPr>
                <w:color w:val="000000"/>
              </w:rPr>
              <w:t xml:space="preserve">  </w:t>
            </w:r>
            <w:r w:rsidRPr="00990E5D">
              <w:rPr>
                <w:rStyle w:val="Artref"/>
              </w:rPr>
              <w:t>5.520</w:t>
            </w:r>
          </w:p>
          <w:p w14:paraId="0FB6E12D" w14:textId="77777777" w:rsidR="007202EC" w:rsidRPr="00990E5D" w:rsidRDefault="007202EC" w:rsidP="007202EC">
            <w:pPr>
              <w:pStyle w:val="TableTextS5"/>
            </w:pPr>
            <w:r w:rsidRPr="00990E5D">
              <w:tab/>
            </w:r>
            <w:r w:rsidRPr="00990E5D">
              <w:tab/>
            </w:r>
            <w:r w:rsidRPr="00990E5D">
              <w:tab/>
            </w:r>
            <w:r w:rsidRPr="00990E5D">
              <w:tab/>
              <w:t>MÓVIL</w:t>
            </w:r>
          </w:p>
          <w:p w14:paraId="75E94440" w14:textId="77777777" w:rsidR="007202EC" w:rsidRPr="00990E5D" w:rsidRDefault="007202EC" w:rsidP="007202EC">
            <w:pPr>
              <w:pStyle w:val="TableTextS5"/>
              <w:rPr>
                <w:color w:val="000000"/>
              </w:rPr>
            </w:pPr>
            <w:r w:rsidRPr="00990E5D">
              <w:rPr>
                <w:color w:val="000000"/>
              </w:rPr>
              <w:tab/>
            </w:r>
            <w:r w:rsidRPr="00990E5D">
              <w:rPr>
                <w:color w:val="000000"/>
              </w:rPr>
              <w:tab/>
            </w:r>
            <w:r w:rsidRPr="00990E5D">
              <w:rPr>
                <w:color w:val="000000"/>
              </w:rPr>
              <w:tab/>
            </w:r>
            <w:r w:rsidRPr="00990E5D">
              <w:rPr>
                <w:color w:val="000000"/>
              </w:rPr>
              <w:tab/>
            </w:r>
            <w:r w:rsidRPr="00990E5D">
              <w:rPr>
                <w:rStyle w:val="Artref"/>
              </w:rPr>
              <w:t>5.519  5.521</w:t>
            </w:r>
          </w:p>
        </w:tc>
      </w:tr>
    </w:tbl>
    <w:p w14:paraId="7B7A97B6" w14:textId="3F939F16" w:rsidR="00C65D71" w:rsidRPr="00990E5D" w:rsidRDefault="007202EC" w:rsidP="00A17971">
      <w:pPr>
        <w:pStyle w:val="Reasons"/>
      </w:pPr>
      <w:r w:rsidRPr="00990E5D">
        <w:rPr>
          <w:b/>
        </w:rPr>
        <w:t>Motivos:</w:t>
      </w:r>
      <w:r w:rsidRPr="00990E5D">
        <w:tab/>
      </w:r>
      <w:r w:rsidR="0040058B" w:rsidRPr="00990E5D">
        <w:t>Adición de una nueva nota al Artículo</w:t>
      </w:r>
      <w:r w:rsidR="00A17971" w:rsidRPr="00990E5D">
        <w:t> </w:t>
      </w:r>
      <w:r w:rsidR="0040058B" w:rsidRPr="00990E5D">
        <w:t>5 del RR para la explotación de las estaciones terrenas en movimiento que se comunican con las estaciones espaciales del SFS OSG en las bandas 17,7-19.7</w:t>
      </w:r>
      <w:r w:rsidR="00A17971" w:rsidRPr="00990E5D">
        <w:t> </w:t>
      </w:r>
      <w:r w:rsidR="0040058B" w:rsidRPr="00990E5D">
        <w:t>GHz y 27,5-29,5</w:t>
      </w:r>
      <w:r w:rsidR="00A17971" w:rsidRPr="00990E5D">
        <w:t> </w:t>
      </w:r>
      <w:r w:rsidR="0040058B" w:rsidRPr="00990E5D">
        <w:t xml:space="preserve">GHz, como se muestra en la Propuesta SMO/VUT/95/4 </w:t>
      </w:r>
      <w:r w:rsidR="00876E53" w:rsidRPr="00990E5D">
        <w:rPr>
          <w:i/>
          <w:iCs/>
        </w:rPr>
        <w:t>infra</w:t>
      </w:r>
      <w:r w:rsidR="00A06803" w:rsidRPr="00990E5D">
        <w:t>.</w:t>
      </w:r>
    </w:p>
    <w:p w14:paraId="291B097E" w14:textId="77777777" w:rsidR="00C65D71" w:rsidRPr="00990E5D" w:rsidRDefault="007202EC">
      <w:pPr>
        <w:pStyle w:val="Proposal"/>
      </w:pPr>
      <w:r w:rsidRPr="00990E5D">
        <w:lastRenderedPageBreak/>
        <w:t>MOD</w:t>
      </w:r>
      <w:r w:rsidRPr="00990E5D">
        <w:tab/>
        <w:t>SMO/VUT/95/2</w:t>
      </w:r>
      <w:r w:rsidRPr="00990E5D">
        <w:rPr>
          <w:vanish/>
          <w:color w:val="7F7F7F" w:themeColor="text1" w:themeTint="80"/>
          <w:vertAlign w:val="superscript"/>
        </w:rPr>
        <w:t>#49989</w:t>
      </w:r>
    </w:p>
    <w:p w14:paraId="0D4801AA" w14:textId="5DD8C4CA" w:rsidR="007202EC" w:rsidRPr="00990E5D" w:rsidRDefault="007202EC" w:rsidP="007202EC">
      <w:pPr>
        <w:pStyle w:val="Tabletitle"/>
      </w:pPr>
      <w:r w:rsidRPr="00990E5D">
        <w:t>18,4-22</w:t>
      </w:r>
      <w:r w:rsidR="00A17971" w:rsidRPr="00990E5D">
        <w:t> </w:t>
      </w:r>
      <w:r w:rsidRPr="00990E5D">
        <w:t>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7202EC" w:rsidRPr="00990E5D" w14:paraId="79CDBB9C" w14:textId="77777777" w:rsidTr="007202E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E7496E6" w14:textId="77777777" w:rsidR="007202EC" w:rsidRPr="00990E5D" w:rsidRDefault="007202EC" w:rsidP="007202EC">
            <w:pPr>
              <w:pStyle w:val="Tablehead"/>
              <w:keepLines/>
            </w:pPr>
            <w:r w:rsidRPr="00990E5D">
              <w:t>Atribución a los servicios</w:t>
            </w:r>
          </w:p>
        </w:tc>
      </w:tr>
      <w:tr w:rsidR="007202EC" w:rsidRPr="00990E5D" w14:paraId="7D9AFD85" w14:textId="77777777" w:rsidTr="007202EC">
        <w:trPr>
          <w:cantSplit/>
          <w:jc w:val="center"/>
        </w:trPr>
        <w:tc>
          <w:tcPr>
            <w:tcW w:w="3083" w:type="dxa"/>
            <w:tcBorders>
              <w:top w:val="single" w:sz="4" w:space="0" w:color="auto"/>
              <w:left w:val="single" w:sz="4" w:space="0" w:color="auto"/>
              <w:bottom w:val="single" w:sz="4" w:space="0" w:color="auto"/>
              <w:right w:val="single" w:sz="4" w:space="0" w:color="auto"/>
            </w:tcBorders>
            <w:hideMark/>
          </w:tcPr>
          <w:p w14:paraId="64A34981" w14:textId="77777777" w:rsidR="007202EC" w:rsidRPr="00990E5D" w:rsidRDefault="007202EC" w:rsidP="007202EC">
            <w:pPr>
              <w:pStyle w:val="Tablehead"/>
              <w:keepLines/>
            </w:pPr>
            <w:r w:rsidRPr="00990E5D">
              <w:t>Región 1</w:t>
            </w:r>
          </w:p>
        </w:tc>
        <w:tc>
          <w:tcPr>
            <w:tcW w:w="3084" w:type="dxa"/>
            <w:tcBorders>
              <w:top w:val="single" w:sz="4" w:space="0" w:color="auto"/>
              <w:left w:val="single" w:sz="4" w:space="0" w:color="auto"/>
              <w:bottom w:val="single" w:sz="4" w:space="0" w:color="auto"/>
              <w:right w:val="single" w:sz="4" w:space="0" w:color="auto"/>
            </w:tcBorders>
            <w:hideMark/>
          </w:tcPr>
          <w:p w14:paraId="6747C130" w14:textId="77777777" w:rsidR="007202EC" w:rsidRPr="00990E5D" w:rsidRDefault="007202EC" w:rsidP="007202EC">
            <w:pPr>
              <w:pStyle w:val="Tablehead"/>
              <w:keepLines/>
            </w:pPr>
            <w:r w:rsidRPr="00990E5D">
              <w:t>Región 2</w:t>
            </w:r>
          </w:p>
        </w:tc>
        <w:tc>
          <w:tcPr>
            <w:tcW w:w="3137" w:type="dxa"/>
            <w:tcBorders>
              <w:top w:val="single" w:sz="4" w:space="0" w:color="auto"/>
              <w:left w:val="single" w:sz="4" w:space="0" w:color="auto"/>
              <w:bottom w:val="single" w:sz="4" w:space="0" w:color="auto"/>
              <w:right w:val="single" w:sz="4" w:space="0" w:color="auto"/>
            </w:tcBorders>
            <w:hideMark/>
          </w:tcPr>
          <w:p w14:paraId="46CB3AC9" w14:textId="77777777" w:rsidR="007202EC" w:rsidRPr="00990E5D" w:rsidRDefault="007202EC" w:rsidP="007202EC">
            <w:pPr>
              <w:pStyle w:val="Tablehead"/>
              <w:keepLines/>
            </w:pPr>
            <w:r w:rsidRPr="00990E5D">
              <w:t>Región 3</w:t>
            </w:r>
          </w:p>
        </w:tc>
      </w:tr>
      <w:tr w:rsidR="007202EC" w:rsidRPr="00990E5D" w14:paraId="5AF0F0A0" w14:textId="77777777" w:rsidTr="007202E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DFCC29D" w14:textId="77777777" w:rsidR="007202EC" w:rsidRPr="00990E5D" w:rsidRDefault="007202EC" w:rsidP="007202EC">
            <w:pPr>
              <w:pStyle w:val="TableTextS5"/>
              <w:keepNext/>
              <w:keepLines/>
            </w:pPr>
            <w:r w:rsidRPr="00990E5D">
              <w:rPr>
                <w:rStyle w:val="Tablefreq"/>
              </w:rPr>
              <w:t>18,4-18,6</w:t>
            </w:r>
            <w:r w:rsidRPr="00990E5D">
              <w:rPr>
                <w:color w:val="000000"/>
              </w:rPr>
              <w:tab/>
            </w:r>
            <w:r w:rsidRPr="00990E5D">
              <w:t>FIJO</w:t>
            </w:r>
          </w:p>
          <w:p w14:paraId="24C2DF12" w14:textId="77777777" w:rsidR="007202EC" w:rsidRPr="00990E5D" w:rsidRDefault="007202EC" w:rsidP="007202EC">
            <w:pPr>
              <w:pStyle w:val="TableTextS5"/>
              <w:keepNext/>
              <w:keepLines/>
              <w:rPr>
                <w:color w:val="000000"/>
              </w:rPr>
            </w:pPr>
            <w:r w:rsidRPr="00990E5D">
              <w:tab/>
            </w:r>
            <w:r w:rsidRPr="00990E5D">
              <w:tab/>
            </w:r>
            <w:r w:rsidRPr="00990E5D">
              <w:tab/>
            </w:r>
            <w:r w:rsidRPr="00990E5D">
              <w:tab/>
              <w:t>FIJO POR SATÉLITE (espacio-Tierra)</w:t>
            </w:r>
            <w:r w:rsidRPr="00990E5D">
              <w:rPr>
                <w:color w:val="000000"/>
              </w:rPr>
              <w:t xml:space="preserve">  </w:t>
            </w:r>
            <w:r w:rsidRPr="00990E5D">
              <w:rPr>
                <w:rStyle w:val="Artref"/>
              </w:rPr>
              <w:t>5.484A  5.516B</w:t>
            </w:r>
            <w:ins w:id="16" w:author="Soto Romero, Alicia" w:date="2018-07-23T12:01:00Z">
              <w:r w:rsidRPr="00990E5D">
                <w:rPr>
                  <w:rStyle w:val="Artref"/>
                </w:rPr>
                <w:t xml:space="preserve">  </w:t>
              </w:r>
            </w:ins>
            <w:ins w:id="17" w:author="Doc. 557 (KOR)" w:date="2018-02-24T13:46:00Z">
              <w:r w:rsidRPr="00990E5D">
                <w:rPr>
                  <w:rStyle w:val="Artref"/>
                </w:rPr>
                <w:t>ADD 5.A15</w:t>
              </w:r>
            </w:ins>
          </w:p>
          <w:p w14:paraId="62F48DCE" w14:textId="77777777" w:rsidR="007202EC" w:rsidRPr="00990E5D" w:rsidRDefault="007202EC" w:rsidP="007202EC">
            <w:pPr>
              <w:pStyle w:val="TableTextS5"/>
              <w:keepNext/>
              <w:keepLines/>
              <w:rPr>
                <w:color w:val="000000"/>
              </w:rPr>
            </w:pPr>
            <w:r w:rsidRPr="00990E5D">
              <w:tab/>
            </w:r>
            <w:r w:rsidRPr="00990E5D">
              <w:tab/>
            </w:r>
            <w:r w:rsidRPr="00990E5D">
              <w:tab/>
            </w:r>
            <w:r w:rsidRPr="00990E5D">
              <w:tab/>
              <w:t>MÓVIL</w:t>
            </w:r>
          </w:p>
        </w:tc>
      </w:tr>
      <w:tr w:rsidR="007202EC" w:rsidRPr="00990E5D" w14:paraId="7119DAE6" w14:textId="77777777" w:rsidTr="007202EC">
        <w:trPr>
          <w:cantSplit/>
          <w:jc w:val="center"/>
        </w:trPr>
        <w:tc>
          <w:tcPr>
            <w:tcW w:w="3083" w:type="dxa"/>
            <w:tcBorders>
              <w:top w:val="single" w:sz="4" w:space="0" w:color="auto"/>
              <w:left w:val="single" w:sz="4" w:space="0" w:color="auto"/>
              <w:bottom w:val="nil"/>
              <w:right w:val="single" w:sz="4" w:space="0" w:color="auto"/>
            </w:tcBorders>
            <w:hideMark/>
          </w:tcPr>
          <w:p w14:paraId="684C0D54" w14:textId="77777777" w:rsidR="007202EC" w:rsidRPr="00990E5D" w:rsidRDefault="007202EC" w:rsidP="007202EC">
            <w:pPr>
              <w:pStyle w:val="TableTextS5"/>
              <w:keepNext/>
              <w:keepLines/>
              <w:spacing w:before="30" w:after="30"/>
              <w:rPr>
                <w:rStyle w:val="Tablefreq"/>
              </w:rPr>
            </w:pPr>
            <w:r w:rsidRPr="00990E5D">
              <w:rPr>
                <w:rStyle w:val="Tablefreq"/>
              </w:rPr>
              <w:t>18,6-18,8</w:t>
            </w:r>
          </w:p>
          <w:p w14:paraId="48A83C3D" w14:textId="77777777" w:rsidR="007202EC" w:rsidRPr="00990E5D" w:rsidRDefault="007202EC" w:rsidP="007202EC">
            <w:pPr>
              <w:pStyle w:val="TableTextS5"/>
              <w:keepNext/>
              <w:keepLines/>
            </w:pPr>
            <w:r w:rsidRPr="00990E5D">
              <w:t>EXPLORACIÓN DE LA TIERRA POR SATÉLITE (pasivo)</w:t>
            </w:r>
          </w:p>
          <w:p w14:paraId="791BB923" w14:textId="77777777" w:rsidR="007202EC" w:rsidRPr="00990E5D" w:rsidRDefault="007202EC" w:rsidP="007202EC">
            <w:pPr>
              <w:pStyle w:val="TableTextS5"/>
              <w:keepNext/>
              <w:keepLines/>
            </w:pPr>
            <w:r w:rsidRPr="00990E5D">
              <w:t>FIJO</w:t>
            </w:r>
          </w:p>
          <w:p w14:paraId="379A70C5" w14:textId="77777777" w:rsidR="007202EC" w:rsidRPr="00990E5D" w:rsidRDefault="007202EC" w:rsidP="007202EC">
            <w:pPr>
              <w:pStyle w:val="TableTextS5"/>
              <w:keepNext/>
              <w:keepLines/>
              <w:rPr>
                <w:color w:val="000000"/>
              </w:rPr>
            </w:pPr>
            <w:r w:rsidRPr="00990E5D">
              <w:t>FIJO POR SATÉLITE</w:t>
            </w:r>
            <w:r w:rsidRPr="00990E5D">
              <w:br/>
              <w:t>(espacio-Tierra)</w:t>
            </w:r>
            <w:r w:rsidRPr="00990E5D">
              <w:rPr>
                <w:color w:val="000000"/>
              </w:rPr>
              <w:t xml:space="preserve">  </w:t>
            </w:r>
            <w:r w:rsidRPr="00990E5D">
              <w:rPr>
                <w:rStyle w:val="Artref"/>
              </w:rPr>
              <w:t>5.522B</w:t>
            </w:r>
            <w:ins w:id="18" w:author="Soto Romero, Alicia" w:date="2018-07-23T12:01:00Z">
              <w:r w:rsidRPr="00990E5D">
                <w:rPr>
                  <w:rStyle w:val="Artref"/>
                  <w:color w:val="000000"/>
                </w:rPr>
                <w:t xml:space="preserve">  </w:t>
              </w:r>
            </w:ins>
            <w:ins w:id="19" w:author="Doc. 557 (KOR)" w:date="2018-02-24T13:46:00Z">
              <w:r w:rsidRPr="00990E5D">
                <w:rPr>
                  <w:rStyle w:val="Artref"/>
                </w:rPr>
                <w:t>ADD</w:t>
              </w:r>
            </w:ins>
            <w:ins w:id="20" w:author="Spanish" w:date="2019-03-13T16:35:00Z">
              <w:r w:rsidRPr="00990E5D">
                <w:rPr>
                  <w:rStyle w:val="Artref"/>
                </w:rPr>
                <w:t> </w:t>
              </w:r>
            </w:ins>
            <w:ins w:id="21" w:author="Doc. 557 (KOR)" w:date="2018-02-24T13:46:00Z">
              <w:r w:rsidRPr="00990E5D">
                <w:rPr>
                  <w:rStyle w:val="Artref"/>
                </w:rPr>
                <w:t>5.A15</w:t>
              </w:r>
            </w:ins>
          </w:p>
          <w:p w14:paraId="3AE5158D" w14:textId="77777777" w:rsidR="007202EC" w:rsidRPr="00990E5D" w:rsidRDefault="007202EC" w:rsidP="007202EC">
            <w:pPr>
              <w:pStyle w:val="TableTextS5"/>
              <w:keepNext/>
              <w:keepLines/>
            </w:pPr>
            <w:r w:rsidRPr="00990E5D">
              <w:t>MÓVIL salvo móvil aeronáutico</w:t>
            </w:r>
          </w:p>
          <w:p w14:paraId="01788FDA" w14:textId="77777777" w:rsidR="007202EC" w:rsidRPr="00990E5D" w:rsidRDefault="007202EC" w:rsidP="007202EC">
            <w:pPr>
              <w:pStyle w:val="TableTextS5"/>
              <w:keepNext/>
              <w:keepLines/>
              <w:rPr>
                <w:color w:val="000000"/>
              </w:rPr>
            </w:pPr>
            <w:r w:rsidRPr="00990E5D">
              <w:t>Investigación espacial (pasivo)</w:t>
            </w:r>
          </w:p>
        </w:tc>
        <w:tc>
          <w:tcPr>
            <w:tcW w:w="3084" w:type="dxa"/>
            <w:tcBorders>
              <w:top w:val="single" w:sz="4" w:space="0" w:color="auto"/>
              <w:left w:val="single" w:sz="4" w:space="0" w:color="auto"/>
              <w:bottom w:val="nil"/>
              <w:right w:val="single" w:sz="4" w:space="0" w:color="auto"/>
            </w:tcBorders>
            <w:hideMark/>
          </w:tcPr>
          <w:p w14:paraId="09335891" w14:textId="77777777" w:rsidR="007202EC" w:rsidRPr="00990E5D" w:rsidRDefault="007202EC" w:rsidP="007202EC">
            <w:pPr>
              <w:pStyle w:val="TableTextS5"/>
              <w:keepNext/>
              <w:keepLines/>
              <w:spacing w:before="30" w:after="30"/>
              <w:rPr>
                <w:rStyle w:val="Tablefreq"/>
              </w:rPr>
            </w:pPr>
            <w:r w:rsidRPr="00990E5D">
              <w:rPr>
                <w:rStyle w:val="Tablefreq"/>
              </w:rPr>
              <w:t>18,6-18,8</w:t>
            </w:r>
          </w:p>
          <w:p w14:paraId="11D97943" w14:textId="77777777" w:rsidR="007202EC" w:rsidRPr="00990E5D" w:rsidRDefault="007202EC" w:rsidP="007202EC">
            <w:pPr>
              <w:pStyle w:val="TableTextS5"/>
              <w:keepNext/>
              <w:keepLines/>
            </w:pPr>
            <w:r w:rsidRPr="00990E5D">
              <w:t>EXPLORACIÓN DE LA TIERRA POR SATÉLITE (pasivo)</w:t>
            </w:r>
          </w:p>
          <w:p w14:paraId="5F0DC25D" w14:textId="77777777" w:rsidR="007202EC" w:rsidRPr="00990E5D" w:rsidRDefault="007202EC" w:rsidP="007202EC">
            <w:pPr>
              <w:pStyle w:val="TableTextS5"/>
              <w:keepNext/>
              <w:keepLines/>
            </w:pPr>
            <w:r w:rsidRPr="00990E5D">
              <w:t>FIJO</w:t>
            </w:r>
          </w:p>
          <w:p w14:paraId="2DE642C4" w14:textId="77777777" w:rsidR="007202EC" w:rsidRPr="00990E5D" w:rsidRDefault="007202EC" w:rsidP="007202EC">
            <w:pPr>
              <w:pStyle w:val="TableTextS5"/>
              <w:keepNext/>
              <w:keepLines/>
              <w:rPr>
                <w:color w:val="000000"/>
              </w:rPr>
            </w:pPr>
            <w:r w:rsidRPr="00990E5D">
              <w:t>FIJO POR SATÉLITE</w:t>
            </w:r>
            <w:r w:rsidRPr="00990E5D">
              <w:br/>
              <w:t xml:space="preserve">(espacio-Tierra)  </w:t>
            </w:r>
            <w:r w:rsidRPr="00990E5D">
              <w:rPr>
                <w:rStyle w:val="Artref"/>
              </w:rPr>
              <w:t>5.516B  5.522B</w:t>
            </w:r>
            <w:ins w:id="22" w:author="Soto Romero, Alicia" w:date="2018-07-23T12:01:00Z">
              <w:r w:rsidRPr="00990E5D">
                <w:rPr>
                  <w:rStyle w:val="Artref"/>
                  <w:color w:val="000000"/>
                </w:rPr>
                <w:t xml:space="preserve">  </w:t>
              </w:r>
            </w:ins>
            <w:ins w:id="23" w:author="Doc. 557 (KOR)" w:date="2018-02-24T13:46:00Z">
              <w:r w:rsidRPr="00990E5D">
                <w:rPr>
                  <w:rStyle w:val="Artref"/>
                </w:rPr>
                <w:t>ADD 5.A15</w:t>
              </w:r>
            </w:ins>
          </w:p>
          <w:p w14:paraId="759C143E" w14:textId="77777777" w:rsidR="007202EC" w:rsidRPr="00990E5D" w:rsidRDefault="007202EC" w:rsidP="007202EC">
            <w:pPr>
              <w:pStyle w:val="TableTextS5"/>
              <w:keepNext/>
              <w:keepLines/>
            </w:pPr>
            <w:r w:rsidRPr="00990E5D">
              <w:t>MÓVIL salvo móvil aeronáutico</w:t>
            </w:r>
          </w:p>
          <w:p w14:paraId="7FC193D1" w14:textId="77777777" w:rsidR="007202EC" w:rsidRPr="00990E5D" w:rsidRDefault="007202EC" w:rsidP="007202EC">
            <w:pPr>
              <w:pStyle w:val="TableTextS5"/>
              <w:keepNext/>
              <w:keepLines/>
              <w:rPr>
                <w:color w:val="000000"/>
              </w:rPr>
            </w:pPr>
            <w:r w:rsidRPr="00990E5D">
              <w:t>INVESTIGACIÓN ESPACIAL (pasivo)</w:t>
            </w:r>
          </w:p>
        </w:tc>
        <w:tc>
          <w:tcPr>
            <w:tcW w:w="3137" w:type="dxa"/>
            <w:tcBorders>
              <w:top w:val="single" w:sz="4" w:space="0" w:color="auto"/>
              <w:left w:val="single" w:sz="4" w:space="0" w:color="auto"/>
              <w:bottom w:val="nil"/>
              <w:right w:val="single" w:sz="4" w:space="0" w:color="auto"/>
            </w:tcBorders>
            <w:hideMark/>
          </w:tcPr>
          <w:p w14:paraId="4050BE86" w14:textId="77777777" w:rsidR="007202EC" w:rsidRPr="00990E5D" w:rsidRDefault="007202EC" w:rsidP="007202EC">
            <w:pPr>
              <w:pStyle w:val="TableTextS5"/>
              <w:keepNext/>
              <w:keepLines/>
              <w:spacing w:before="30" w:after="30"/>
              <w:rPr>
                <w:rStyle w:val="Tablefreq"/>
              </w:rPr>
            </w:pPr>
            <w:r w:rsidRPr="00990E5D">
              <w:rPr>
                <w:rStyle w:val="Tablefreq"/>
              </w:rPr>
              <w:t>18,6-18,8</w:t>
            </w:r>
          </w:p>
          <w:p w14:paraId="74A9EF6C" w14:textId="77777777" w:rsidR="007202EC" w:rsidRPr="00990E5D" w:rsidRDefault="007202EC" w:rsidP="007202EC">
            <w:pPr>
              <w:pStyle w:val="TableTextS5"/>
              <w:keepNext/>
              <w:keepLines/>
            </w:pPr>
            <w:r w:rsidRPr="00990E5D">
              <w:t>EXPLORACIÓN DE LA TIERRA POR SATÉLITE (pasivo)</w:t>
            </w:r>
          </w:p>
          <w:p w14:paraId="3652ECC9" w14:textId="77777777" w:rsidR="007202EC" w:rsidRPr="00990E5D" w:rsidRDefault="007202EC" w:rsidP="007202EC">
            <w:pPr>
              <w:pStyle w:val="TableTextS5"/>
              <w:keepNext/>
              <w:keepLines/>
            </w:pPr>
            <w:r w:rsidRPr="00990E5D">
              <w:t>FIJO</w:t>
            </w:r>
          </w:p>
          <w:p w14:paraId="265299E3" w14:textId="77777777" w:rsidR="007202EC" w:rsidRPr="00990E5D" w:rsidRDefault="007202EC" w:rsidP="007202EC">
            <w:pPr>
              <w:pStyle w:val="TableTextS5"/>
              <w:keepNext/>
              <w:keepLines/>
              <w:rPr>
                <w:color w:val="000000"/>
              </w:rPr>
            </w:pPr>
            <w:r w:rsidRPr="00990E5D">
              <w:t>FIJO POR SATÉLITE</w:t>
            </w:r>
            <w:r w:rsidRPr="00990E5D">
              <w:br/>
              <w:t>(espacio-Tierra)</w:t>
            </w:r>
            <w:r w:rsidRPr="00990E5D">
              <w:rPr>
                <w:color w:val="000000"/>
              </w:rPr>
              <w:t xml:space="preserve">  </w:t>
            </w:r>
            <w:r w:rsidRPr="00990E5D">
              <w:rPr>
                <w:rStyle w:val="Artref"/>
              </w:rPr>
              <w:t>5.522B</w:t>
            </w:r>
            <w:ins w:id="24" w:author="Soto Romero, Alicia" w:date="2018-07-23T12:01:00Z">
              <w:r w:rsidRPr="00990E5D">
                <w:rPr>
                  <w:rStyle w:val="Artref"/>
                </w:rPr>
                <w:t xml:space="preserve">  </w:t>
              </w:r>
            </w:ins>
            <w:ins w:id="25" w:author="Doc. 557 (KOR)" w:date="2018-02-24T13:46:00Z">
              <w:r w:rsidRPr="00990E5D">
                <w:rPr>
                  <w:rStyle w:val="Artref"/>
                </w:rPr>
                <w:t>ADD</w:t>
              </w:r>
            </w:ins>
            <w:ins w:id="26" w:author="Spanish" w:date="2019-03-13T16:35:00Z">
              <w:r w:rsidRPr="00990E5D">
                <w:rPr>
                  <w:rStyle w:val="Artref"/>
                </w:rPr>
                <w:t> </w:t>
              </w:r>
            </w:ins>
            <w:ins w:id="27" w:author="Doc. 557 (KOR)" w:date="2018-02-24T13:46:00Z">
              <w:r w:rsidRPr="00990E5D">
                <w:rPr>
                  <w:rStyle w:val="Artref"/>
                </w:rPr>
                <w:t>5.A15</w:t>
              </w:r>
            </w:ins>
          </w:p>
          <w:p w14:paraId="49E65C27" w14:textId="77777777" w:rsidR="007202EC" w:rsidRPr="00990E5D" w:rsidRDefault="007202EC" w:rsidP="007202EC">
            <w:pPr>
              <w:pStyle w:val="TableTextS5"/>
              <w:keepNext/>
              <w:keepLines/>
            </w:pPr>
            <w:r w:rsidRPr="00990E5D">
              <w:t>MÓVIL salvo móvil aeronáutico</w:t>
            </w:r>
          </w:p>
          <w:p w14:paraId="256A10F9" w14:textId="77777777" w:rsidR="007202EC" w:rsidRPr="00990E5D" w:rsidRDefault="007202EC" w:rsidP="007202EC">
            <w:pPr>
              <w:pStyle w:val="TableTextS5"/>
              <w:keepNext/>
              <w:keepLines/>
              <w:rPr>
                <w:color w:val="000000"/>
              </w:rPr>
            </w:pPr>
            <w:r w:rsidRPr="00990E5D">
              <w:t>Investigación espacial (pasivo)</w:t>
            </w:r>
          </w:p>
        </w:tc>
      </w:tr>
      <w:tr w:rsidR="007202EC" w:rsidRPr="00990E5D" w14:paraId="0EC42508" w14:textId="77777777" w:rsidTr="007202EC">
        <w:trPr>
          <w:cantSplit/>
          <w:jc w:val="center"/>
        </w:trPr>
        <w:tc>
          <w:tcPr>
            <w:tcW w:w="3083" w:type="dxa"/>
            <w:tcBorders>
              <w:top w:val="nil"/>
              <w:left w:val="single" w:sz="4" w:space="0" w:color="auto"/>
              <w:bottom w:val="single" w:sz="4" w:space="0" w:color="auto"/>
              <w:right w:val="single" w:sz="4" w:space="0" w:color="auto"/>
            </w:tcBorders>
            <w:hideMark/>
          </w:tcPr>
          <w:p w14:paraId="07EF9D79" w14:textId="77777777" w:rsidR="007202EC" w:rsidRPr="00990E5D" w:rsidRDefault="007202EC" w:rsidP="007202EC">
            <w:pPr>
              <w:pStyle w:val="TableTextS5"/>
              <w:spacing w:before="30" w:after="30"/>
              <w:rPr>
                <w:color w:val="000000"/>
              </w:rPr>
            </w:pPr>
            <w:r w:rsidRPr="00990E5D">
              <w:rPr>
                <w:rStyle w:val="Artref"/>
              </w:rPr>
              <w:t>5.522A  5.522C</w:t>
            </w:r>
          </w:p>
        </w:tc>
        <w:tc>
          <w:tcPr>
            <w:tcW w:w="3084" w:type="dxa"/>
            <w:tcBorders>
              <w:top w:val="nil"/>
              <w:left w:val="single" w:sz="4" w:space="0" w:color="auto"/>
              <w:bottom w:val="single" w:sz="4" w:space="0" w:color="auto"/>
              <w:right w:val="single" w:sz="4" w:space="0" w:color="auto"/>
            </w:tcBorders>
            <w:hideMark/>
          </w:tcPr>
          <w:p w14:paraId="0E78DE70" w14:textId="77777777" w:rsidR="007202EC" w:rsidRPr="00990E5D" w:rsidRDefault="007202EC" w:rsidP="007202EC">
            <w:pPr>
              <w:pStyle w:val="TableTextS5"/>
              <w:spacing w:before="30" w:after="30"/>
              <w:rPr>
                <w:color w:val="000000"/>
              </w:rPr>
            </w:pPr>
            <w:r w:rsidRPr="00990E5D">
              <w:rPr>
                <w:rStyle w:val="Artref"/>
              </w:rPr>
              <w:t>5.522A</w:t>
            </w:r>
          </w:p>
        </w:tc>
        <w:tc>
          <w:tcPr>
            <w:tcW w:w="3137" w:type="dxa"/>
            <w:tcBorders>
              <w:top w:val="nil"/>
              <w:left w:val="single" w:sz="4" w:space="0" w:color="auto"/>
              <w:bottom w:val="single" w:sz="4" w:space="0" w:color="auto"/>
              <w:right w:val="single" w:sz="4" w:space="0" w:color="auto"/>
            </w:tcBorders>
            <w:hideMark/>
          </w:tcPr>
          <w:p w14:paraId="4DFA19FF" w14:textId="77777777" w:rsidR="007202EC" w:rsidRPr="00990E5D" w:rsidRDefault="007202EC" w:rsidP="007202EC">
            <w:pPr>
              <w:pStyle w:val="TableTextS5"/>
              <w:spacing w:before="30" w:after="30"/>
              <w:rPr>
                <w:color w:val="000000"/>
              </w:rPr>
            </w:pPr>
            <w:r w:rsidRPr="00990E5D">
              <w:rPr>
                <w:rStyle w:val="Artref"/>
              </w:rPr>
              <w:t>5.522A</w:t>
            </w:r>
          </w:p>
        </w:tc>
      </w:tr>
      <w:tr w:rsidR="007202EC" w:rsidRPr="00990E5D" w14:paraId="4E05F13C" w14:textId="77777777" w:rsidTr="007202E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5CD4BC5" w14:textId="77777777" w:rsidR="007202EC" w:rsidRPr="00990E5D" w:rsidRDefault="007202EC" w:rsidP="007202EC">
            <w:pPr>
              <w:pStyle w:val="TableTextS5"/>
            </w:pPr>
            <w:r w:rsidRPr="00990E5D">
              <w:rPr>
                <w:rStyle w:val="Tablefreq"/>
              </w:rPr>
              <w:t>18,8-19,3</w:t>
            </w:r>
            <w:r w:rsidRPr="00990E5D">
              <w:rPr>
                <w:color w:val="000000"/>
              </w:rPr>
              <w:tab/>
            </w:r>
            <w:r w:rsidRPr="00990E5D">
              <w:t>FIJO</w:t>
            </w:r>
          </w:p>
          <w:p w14:paraId="7FE09051" w14:textId="77777777" w:rsidR="007202EC" w:rsidRPr="00990E5D" w:rsidRDefault="007202EC" w:rsidP="007202EC">
            <w:pPr>
              <w:pStyle w:val="TableTextS5"/>
              <w:rPr>
                <w:color w:val="000000"/>
              </w:rPr>
            </w:pPr>
            <w:r w:rsidRPr="00990E5D">
              <w:tab/>
            </w:r>
            <w:r w:rsidRPr="00990E5D">
              <w:tab/>
            </w:r>
            <w:r w:rsidRPr="00990E5D">
              <w:tab/>
            </w:r>
            <w:r w:rsidRPr="00990E5D">
              <w:tab/>
              <w:t>FIJO POR SATÉLITE (espacio-Tierra)</w:t>
            </w:r>
            <w:r w:rsidRPr="00990E5D">
              <w:rPr>
                <w:color w:val="000000"/>
              </w:rPr>
              <w:t xml:space="preserve">  </w:t>
            </w:r>
            <w:r w:rsidRPr="00990E5D">
              <w:rPr>
                <w:rStyle w:val="Artref"/>
              </w:rPr>
              <w:t>5.516B  5.523A</w:t>
            </w:r>
            <w:ins w:id="28" w:author="Soto Romero, Alicia" w:date="2018-07-23T12:02:00Z">
              <w:r w:rsidRPr="00990E5D">
                <w:rPr>
                  <w:rStyle w:val="Artref"/>
                </w:rPr>
                <w:t xml:space="preserve">  ADD 5.A15</w:t>
              </w:r>
            </w:ins>
          </w:p>
          <w:p w14:paraId="650D65C4" w14:textId="77777777" w:rsidR="007202EC" w:rsidRPr="00990E5D" w:rsidRDefault="007202EC" w:rsidP="007202EC">
            <w:pPr>
              <w:pStyle w:val="TableTextS5"/>
              <w:rPr>
                <w:color w:val="000000"/>
              </w:rPr>
            </w:pPr>
            <w:r w:rsidRPr="00990E5D">
              <w:tab/>
            </w:r>
            <w:r w:rsidRPr="00990E5D">
              <w:tab/>
            </w:r>
            <w:r w:rsidRPr="00990E5D">
              <w:tab/>
            </w:r>
            <w:r w:rsidRPr="00990E5D">
              <w:tab/>
              <w:t>MÓVIL</w:t>
            </w:r>
          </w:p>
        </w:tc>
      </w:tr>
      <w:tr w:rsidR="007202EC" w:rsidRPr="00990E5D" w14:paraId="7F839219" w14:textId="77777777" w:rsidTr="007202E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5046D40" w14:textId="77777777" w:rsidR="007202EC" w:rsidRPr="00990E5D" w:rsidRDefault="007202EC" w:rsidP="007202EC">
            <w:pPr>
              <w:pStyle w:val="TableTextS5"/>
            </w:pPr>
            <w:r w:rsidRPr="00990E5D">
              <w:rPr>
                <w:rStyle w:val="Tablefreq"/>
              </w:rPr>
              <w:t>19,3-19,7</w:t>
            </w:r>
            <w:r w:rsidRPr="00990E5D">
              <w:rPr>
                <w:color w:val="000000"/>
              </w:rPr>
              <w:tab/>
            </w:r>
            <w:r w:rsidRPr="00990E5D">
              <w:t>FIJO</w:t>
            </w:r>
          </w:p>
          <w:p w14:paraId="25E02404" w14:textId="77777777" w:rsidR="007202EC" w:rsidRPr="00990E5D" w:rsidRDefault="007202EC" w:rsidP="007202EC">
            <w:pPr>
              <w:pStyle w:val="TableTextS5"/>
              <w:rPr>
                <w:color w:val="000000"/>
              </w:rPr>
            </w:pPr>
            <w:r w:rsidRPr="00990E5D">
              <w:tab/>
            </w:r>
            <w:r w:rsidRPr="00990E5D">
              <w:tab/>
            </w:r>
            <w:r w:rsidRPr="00990E5D">
              <w:tab/>
            </w:r>
            <w:r w:rsidRPr="00990E5D">
              <w:tab/>
              <w:t xml:space="preserve">FIJO POR SATÉLITE (espacio-Tierra) (Tierra-espacio)  </w:t>
            </w:r>
            <w:r w:rsidRPr="00990E5D">
              <w:rPr>
                <w:rStyle w:val="Artref"/>
              </w:rPr>
              <w:t>5.523B</w:t>
            </w:r>
            <w:r w:rsidRPr="00990E5D">
              <w:rPr>
                <w:rStyle w:val="Artref"/>
                <w:color w:val="000000"/>
              </w:rPr>
              <w:br/>
            </w:r>
            <w:r w:rsidRPr="00990E5D">
              <w:rPr>
                <w:rStyle w:val="Artref"/>
              </w:rPr>
              <w:tab/>
            </w:r>
            <w:r w:rsidRPr="00990E5D">
              <w:rPr>
                <w:rStyle w:val="Artref"/>
              </w:rPr>
              <w:tab/>
            </w:r>
            <w:r w:rsidRPr="00990E5D">
              <w:rPr>
                <w:rStyle w:val="Artref"/>
              </w:rPr>
              <w:tab/>
            </w:r>
            <w:r w:rsidRPr="00990E5D">
              <w:rPr>
                <w:rStyle w:val="Artref"/>
              </w:rPr>
              <w:tab/>
              <w:t>5.523C  5.523D  5.523E</w:t>
            </w:r>
            <w:ins w:id="29" w:author="Soto Romero, Alicia" w:date="2018-07-23T12:02:00Z">
              <w:r w:rsidRPr="00990E5D">
                <w:rPr>
                  <w:rStyle w:val="Artref"/>
                </w:rPr>
                <w:t xml:space="preserve">  ADD 5.A15</w:t>
              </w:r>
            </w:ins>
          </w:p>
          <w:p w14:paraId="22D27948" w14:textId="77777777" w:rsidR="007202EC" w:rsidRPr="00990E5D" w:rsidRDefault="007202EC" w:rsidP="007202EC">
            <w:pPr>
              <w:pStyle w:val="TableTextS5"/>
              <w:rPr>
                <w:color w:val="000000"/>
              </w:rPr>
            </w:pPr>
            <w:r w:rsidRPr="00990E5D">
              <w:tab/>
            </w:r>
            <w:r w:rsidRPr="00990E5D">
              <w:tab/>
            </w:r>
            <w:r w:rsidRPr="00990E5D">
              <w:tab/>
            </w:r>
            <w:r w:rsidRPr="00990E5D">
              <w:tab/>
              <w:t>MÓVIL</w:t>
            </w:r>
          </w:p>
        </w:tc>
      </w:tr>
    </w:tbl>
    <w:p w14:paraId="1C0EE24D" w14:textId="45BD05F7" w:rsidR="00C65D71" w:rsidRPr="00990E5D" w:rsidRDefault="007202EC" w:rsidP="00A17971">
      <w:pPr>
        <w:pStyle w:val="Reasons"/>
      </w:pPr>
      <w:r w:rsidRPr="00990E5D">
        <w:rPr>
          <w:b/>
        </w:rPr>
        <w:t>Motivos:</w:t>
      </w:r>
      <w:r w:rsidRPr="00990E5D">
        <w:tab/>
      </w:r>
      <w:r w:rsidR="00876E53" w:rsidRPr="00990E5D">
        <w:t>Adición de una nueva nota al Artículo</w:t>
      </w:r>
      <w:r w:rsidR="00AD0DC3" w:rsidRPr="00990E5D">
        <w:t> </w:t>
      </w:r>
      <w:r w:rsidR="00876E53" w:rsidRPr="00990E5D">
        <w:t>5 del RR para la explotación de las estaciones terrenas en movimiento que se comunican con las estaciones espaciales del SFS OSG en las bandas 17,7-19.7</w:t>
      </w:r>
      <w:r w:rsidR="00AD0DC3" w:rsidRPr="00990E5D">
        <w:t> </w:t>
      </w:r>
      <w:r w:rsidR="00876E53" w:rsidRPr="00990E5D">
        <w:t>GHz y 27,5-29,5</w:t>
      </w:r>
      <w:r w:rsidR="00AD0DC3" w:rsidRPr="00990E5D">
        <w:t> </w:t>
      </w:r>
      <w:r w:rsidR="00876E53" w:rsidRPr="00990E5D">
        <w:t xml:space="preserve">GHz, como se muestra en la Propuesta SMO/VUT/95/4 </w:t>
      </w:r>
      <w:r w:rsidR="00876E53" w:rsidRPr="00990E5D">
        <w:rPr>
          <w:i/>
          <w:iCs/>
        </w:rPr>
        <w:t>infra</w:t>
      </w:r>
      <w:r w:rsidR="00A06803" w:rsidRPr="00990E5D">
        <w:t>.</w:t>
      </w:r>
    </w:p>
    <w:p w14:paraId="020C5DBF" w14:textId="77777777" w:rsidR="00C65D71" w:rsidRPr="00990E5D" w:rsidRDefault="007202EC">
      <w:pPr>
        <w:pStyle w:val="Proposal"/>
      </w:pPr>
      <w:r w:rsidRPr="00990E5D">
        <w:t>MOD</w:t>
      </w:r>
      <w:r w:rsidRPr="00990E5D">
        <w:tab/>
        <w:t>SMO/VUT/95/3</w:t>
      </w:r>
      <w:r w:rsidRPr="00990E5D">
        <w:rPr>
          <w:vanish/>
          <w:color w:val="7F7F7F" w:themeColor="text1" w:themeTint="80"/>
          <w:vertAlign w:val="superscript"/>
        </w:rPr>
        <w:t>#49990</w:t>
      </w:r>
    </w:p>
    <w:p w14:paraId="2F751D96" w14:textId="77777777" w:rsidR="007202EC" w:rsidRPr="00990E5D" w:rsidRDefault="007202EC" w:rsidP="007202EC">
      <w:pPr>
        <w:pStyle w:val="Tabletitle"/>
      </w:pPr>
      <w:r w:rsidRPr="00990E5D">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7202EC" w:rsidRPr="00990E5D" w14:paraId="119030E2" w14:textId="77777777" w:rsidTr="007202E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AFCDBFC" w14:textId="77777777" w:rsidR="007202EC" w:rsidRPr="00990E5D" w:rsidRDefault="007202EC" w:rsidP="007202EC">
            <w:pPr>
              <w:pStyle w:val="Tablehead"/>
            </w:pPr>
            <w:r w:rsidRPr="00990E5D">
              <w:t>Atribución a los servicios</w:t>
            </w:r>
          </w:p>
        </w:tc>
      </w:tr>
      <w:tr w:rsidR="007202EC" w:rsidRPr="00990E5D" w14:paraId="0C76DAAA" w14:textId="77777777" w:rsidTr="007202EC">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63B01BE0" w14:textId="77777777" w:rsidR="007202EC" w:rsidRPr="00990E5D" w:rsidRDefault="007202EC" w:rsidP="007202EC">
            <w:pPr>
              <w:pStyle w:val="Tablehead"/>
            </w:pPr>
            <w:r w:rsidRPr="00990E5D">
              <w:t>Región 1</w:t>
            </w:r>
          </w:p>
        </w:tc>
        <w:tc>
          <w:tcPr>
            <w:tcW w:w="3084" w:type="dxa"/>
            <w:tcBorders>
              <w:top w:val="single" w:sz="4" w:space="0" w:color="auto"/>
              <w:left w:val="single" w:sz="4" w:space="0" w:color="auto"/>
              <w:bottom w:val="single" w:sz="4" w:space="0" w:color="auto"/>
              <w:right w:val="single" w:sz="4" w:space="0" w:color="auto"/>
            </w:tcBorders>
            <w:hideMark/>
          </w:tcPr>
          <w:p w14:paraId="762A4F0B" w14:textId="77777777" w:rsidR="007202EC" w:rsidRPr="00990E5D" w:rsidRDefault="007202EC" w:rsidP="007202EC">
            <w:pPr>
              <w:pStyle w:val="Tablehead"/>
            </w:pPr>
            <w:r w:rsidRPr="00990E5D">
              <w:t>Región 2</w:t>
            </w:r>
          </w:p>
        </w:tc>
        <w:tc>
          <w:tcPr>
            <w:tcW w:w="3136" w:type="dxa"/>
            <w:tcBorders>
              <w:top w:val="single" w:sz="4" w:space="0" w:color="auto"/>
              <w:left w:val="single" w:sz="4" w:space="0" w:color="auto"/>
              <w:bottom w:val="single" w:sz="4" w:space="0" w:color="auto"/>
              <w:right w:val="single" w:sz="4" w:space="0" w:color="auto"/>
            </w:tcBorders>
            <w:hideMark/>
          </w:tcPr>
          <w:p w14:paraId="50273DB3" w14:textId="77777777" w:rsidR="007202EC" w:rsidRPr="00990E5D" w:rsidRDefault="007202EC" w:rsidP="007202EC">
            <w:pPr>
              <w:pStyle w:val="Tablehead"/>
            </w:pPr>
            <w:r w:rsidRPr="00990E5D">
              <w:t>Región 3</w:t>
            </w:r>
          </w:p>
        </w:tc>
      </w:tr>
      <w:tr w:rsidR="007202EC" w:rsidRPr="00990E5D" w14:paraId="00E3B59F" w14:textId="77777777" w:rsidTr="007202E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6AF6F0B" w14:textId="77777777" w:rsidR="007202EC" w:rsidRPr="00990E5D" w:rsidRDefault="007202EC" w:rsidP="007202EC">
            <w:pPr>
              <w:pStyle w:val="TableTextS5"/>
              <w:spacing w:line="220" w:lineRule="exact"/>
            </w:pPr>
            <w:r w:rsidRPr="00990E5D">
              <w:rPr>
                <w:rStyle w:val="Tablefreq"/>
              </w:rPr>
              <w:t>27,5-28,5</w:t>
            </w:r>
            <w:r w:rsidRPr="00990E5D">
              <w:rPr>
                <w:color w:val="000000"/>
              </w:rPr>
              <w:tab/>
            </w:r>
            <w:r w:rsidRPr="00990E5D">
              <w:t xml:space="preserve">FIJO  </w:t>
            </w:r>
            <w:r w:rsidRPr="00990E5D">
              <w:rPr>
                <w:rStyle w:val="Artref"/>
              </w:rPr>
              <w:t>5.537A</w:t>
            </w:r>
          </w:p>
          <w:p w14:paraId="5343D72E" w14:textId="77777777" w:rsidR="007202EC" w:rsidRPr="00990E5D" w:rsidRDefault="007202EC" w:rsidP="007202EC">
            <w:pPr>
              <w:pStyle w:val="TableTextS5"/>
              <w:spacing w:before="0"/>
              <w:ind w:left="3266" w:hanging="3266"/>
              <w:rPr>
                <w:color w:val="000000"/>
              </w:rPr>
            </w:pPr>
            <w:r w:rsidRPr="00990E5D">
              <w:rPr>
                <w:color w:val="000000"/>
              </w:rPr>
              <w:tab/>
            </w:r>
            <w:r w:rsidRPr="00990E5D">
              <w:rPr>
                <w:color w:val="000000"/>
              </w:rPr>
              <w:tab/>
            </w:r>
            <w:r w:rsidRPr="00990E5D">
              <w:rPr>
                <w:color w:val="000000"/>
              </w:rPr>
              <w:tab/>
            </w:r>
            <w:r w:rsidRPr="00990E5D">
              <w:rPr>
                <w:color w:val="000000"/>
              </w:rPr>
              <w:tab/>
            </w:r>
            <w:r w:rsidRPr="00990E5D">
              <w:t>FIJO POR SATÉLITE (Tierra-espacio)</w:t>
            </w:r>
            <w:r w:rsidRPr="00990E5D">
              <w:rPr>
                <w:color w:val="000000"/>
              </w:rPr>
              <w:t xml:space="preserve">  </w:t>
            </w:r>
            <w:r w:rsidRPr="00990E5D">
              <w:rPr>
                <w:rStyle w:val="Artref"/>
              </w:rPr>
              <w:t>5.484A  5.516B  5.539</w:t>
            </w:r>
            <w:ins w:id="30" w:author="Soto Romero, Alicia" w:date="2018-07-23T12:03:00Z">
              <w:r w:rsidRPr="00990E5D">
                <w:rPr>
                  <w:rStyle w:val="Artref"/>
                </w:rPr>
                <w:t xml:space="preserve">  ADD</w:t>
              </w:r>
            </w:ins>
            <w:ins w:id="31" w:author="Spanish" w:date="2019-03-13T16:35:00Z">
              <w:r w:rsidRPr="00990E5D">
                <w:rPr>
                  <w:rStyle w:val="Artref"/>
                </w:rPr>
                <w:t> </w:t>
              </w:r>
            </w:ins>
            <w:ins w:id="32" w:author="Soto Romero, Alicia" w:date="2018-07-23T12:03:00Z">
              <w:r w:rsidRPr="00990E5D">
                <w:rPr>
                  <w:rStyle w:val="Artref"/>
                </w:rPr>
                <w:t>5.A15</w:t>
              </w:r>
            </w:ins>
          </w:p>
          <w:p w14:paraId="6CA2E5E9" w14:textId="77777777" w:rsidR="007202EC" w:rsidRPr="00990E5D" w:rsidRDefault="007202EC" w:rsidP="007202EC">
            <w:pPr>
              <w:pStyle w:val="TableTextS5"/>
            </w:pPr>
            <w:r w:rsidRPr="00990E5D">
              <w:rPr>
                <w:color w:val="000000"/>
              </w:rPr>
              <w:tab/>
            </w:r>
            <w:r w:rsidRPr="00990E5D">
              <w:rPr>
                <w:color w:val="000000"/>
              </w:rPr>
              <w:tab/>
            </w:r>
            <w:r w:rsidRPr="00990E5D">
              <w:rPr>
                <w:color w:val="000000"/>
              </w:rPr>
              <w:tab/>
            </w:r>
            <w:r w:rsidRPr="00990E5D">
              <w:rPr>
                <w:color w:val="000000"/>
              </w:rPr>
              <w:tab/>
            </w:r>
            <w:r w:rsidRPr="00990E5D">
              <w:t>MÓVIL</w:t>
            </w:r>
          </w:p>
          <w:p w14:paraId="405B128E" w14:textId="77777777" w:rsidR="007202EC" w:rsidRPr="00990E5D" w:rsidRDefault="007202EC" w:rsidP="007202EC">
            <w:pPr>
              <w:pStyle w:val="TableTextS5"/>
              <w:spacing w:line="220" w:lineRule="exact"/>
              <w:rPr>
                <w:color w:val="000000"/>
              </w:rPr>
            </w:pPr>
            <w:r w:rsidRPr="00990E5D">
              <w:rPr>
                <w:color w:val="000000"/>
              </w:rPr>
              <w:tab/>
            </w:r>
            <w:r w:rsidRPr="00990E5D">
              <w:rPr>
                <w:color w:val="000000"/>
              </w:rPr>
              <w:tab/>
            </w:r>
            <w:r w:rsidRPr="00990E5D">
              <w:rPr>
                <w:color w:val="000000"/>
              </w:rPr>
              <w:tab/>
            </w:r>
            <w:r w:rsidRPr="00990E5D">
              <w:rPr>
                <w:color w:val="000000"/>
              </w:rPr>
              <w:tab/>
            </w:r>
            <w:r w:rsidRPr="00990E5D">
              <w:rPr>
                <w:rStyle w:val="Artref"/>
              </w:rPr>
              <w:t>5.538  5.540</w:t>
            </w:r>
          </w:p>
        </w:tc>
      </w:tr>
      <w:tr w:rsidR="007202EC" w:rsidRPr="00990E5D" w14:paraId="049A59EC" w14:textId="77777777" w:rsidTr="007202E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ABB34AF" w14:textId="77777777" w:rsidR="007202EC" w:rsidRPr="00990E5D" w:rsidRDefault="007202EC" w:rsidP="007202EC">
            <w:pPr>
              <w:pStyle w:val="TableTextS5"/>
              <w:spacing w:line="220" w:lineRule="exact"/>
              <w:rPr>
                <w:color w:val="000000"/>
              </w:rPr>
            </w:pPr>
            <w:r w:rsidRPr="00990E5D">
              <w:rPr>
                <w:rStyle w:val="Tablefreq"/>
              </w:rPr>
              <w:t>28,5-29,1</w:t>
            </w:r>
            <w:r w:rsidRPr="00990E5D">
              <w:rPr>
                <w:color w:val="000000"/>
              </w:rPr>
              <w:tab/>
              <w:t>FIJO</w:t>
            </w:r>
          </w:p>
          <w:p w14:paraId="3AE0DF96" w14:textId="77777777" w:rsidR="007202EC" w:rsidRPr="00990E5D" w:rsidRDefault="007202EC" w:rsidP="007202EC">
            <w:pPr>
              <w:pStyle w:val="TableTextS5"/>
              <w:spacing w:before="0"/>
              <w:ind w:left="3266" w:hanging="3266"/>
              <w:rPr>
                <w:color w:val="000000"/>
              </w:rPr>
            </w:pPr>
            <w:r w:rsidRPr="00990E5D">
              <w:rPr>
                <w:color w:val="000000"/>
              </w:rPr>
              <w:tab/>
            </w:r>
            <w:r w:rsidRPr="00990E5D">
              <w:rPr>
                <w:color w:val="000000"/>
              </w:rPr>
              <w:tab/>
            </w:r>
            <w:r w:rsidRPr="00990E5D">
              <w:rPr>
                <w:color w:val="000000"/>
              </w:rPr>
              <w:tab/>
            </w:r>
            <w:r w:rsidRPr="00990E5D">
              <w:rPr>
                <w:color w:val="000000"/>
              </w:rPr>
              <w:tab/>
              <w:t xml:space="preserve">FIJO POR SATÉLITE (Tierra-espacio)  </w:t>
            </w:r>
            <w:r w:rsidRPr="00990E5D">
              <w:rPr>
                <w:rStyle w:val="Artref"/>
              </w:rPr>
              <w:t>5.484A  5.516B  5.523A  5.539</w:t>
            </w:r>
            <w:ins w:id="33" w:author="Soto Romero, Alicia" w:date="2018-07-23T12:05:00Z">
              <w:r w:rsidRPr="00990E5D">
                <w:rPr>
                  <w:rStyle w:val="Artref"/>
                  <w:color w:val="000000"/>
                </w:rPr>
                <w:t xml:space="preserve">  </w:t>
              </w:r>
              <w:r w:rsidRPr="00990E5D">
                <w:rPr>
                  <w:rStyle w:val="Artref"/>
                </w:rPr>
                <w:t>ADD 5.A15</w:t>
              </w:r>
            </w:ins>
          </w:p>
          <w:p w14:paraId="5FEE63C5" w14:textId="77777777" w:rsidR="007202EC" w:rsidRPr="00990E5D" w:rsidRDefault="007202EC" w:rsidP="007202EC">
            <w:pPr>
              <w:pStyle w:val="TableTextS5"/>
            </w:pPr>
            <w:r w:rsidRPr="00990E5D">
              <w:tab/>
            </w:r>
            <w:r w:rsidRPr="00990E5D">
              <w:tab/>
            </w:r>
            <w:r w:rsidRPr="00990E5D">
              <w:tab/>
            </w:r>
            <w:r w:rsidRPr="00990E5D">
              <w:tab/>
              <w:t>MÓVIL</w:t>
            </w:r>
          </w:p>
          <w:p w14:paraId="57765415" w14:textId="77777777" w:rsidR="007202EC" w:rsidRPr="00990E5D" w:rsidRDefault="007202EC" w:rsidP="007202EC">
            <w:pPr>
              <w:pStyle w:val="TableTextS5"/>
              <w:rPr>
                <w:color w:val="000000"/>
              </w:rPr>
            </w:pPr>
            <w:r w:rsidRPr="00990E5D">
              <w:tab/>
            </w:r>
            <w:r w:rsidRPr="00990E5D">
              <w:tab/>
            </w:r>
            <w:r w:rsidRPr="00990E5D">
              <w:tab/>
            </w:r>
            <w:r w:rsidRPr="00990E5D">
              <w:tab/>
              <w:t>Exploración de la Tierra por satélite (Tierra-espacio)</w:t>
            </w:r>
            <w:r w:rsidRPr="00990E5D">
              <w:rPr>
                <w:color w:val="000000"/>
              </w:rPr>
              <w:t xml:space="preserve">  </w:t>
            </w:r>
            <w:r w:rsidRPr="00990E5D">
              <w:rPr>
                <w:rStyle w:val="Artref"/>
              </w:rPr>
              <w:t>5.541</w:t>
            </w:r>
          </w:p>
          <w:p w14:paraId="71848976" w14:textId="77777777" w:rsidR="007202EC" w:rsidRPr="00990E5D" w:rsidRDefault="007202EC" w:rsidP="007202EC">
            <w:pPr>
              <w:pStyle w:val="TableTextS5"/>
              <w:rPr>
                <w:color w:val="000000"/>
              </w:rPr>
            </w:pPr>
            <w:r w:rsidRPr="00990E5D">
              <w:rPr>
                <w:color w:val="000000"/>
              </w:rPr>
              <w:tab/>
            </w:r>
            <w:r w:rsidRPr="00990E5D">
              <w:rPr>
                <w:color w:val="000000"/>
              </w:rPr>
              <w:tab/>
            </w:r>
            <w:r w:rsidRPr="00990E5D">
              <w:rPr>
                <w:color w:val="000000"/>
              </w:rPr>
              <w:tab/>
            </w:r>
            <w:r w:rsidRPr="00990E5D">
              <w:rPr>
                <w:color w:val="000000"/>
              </w:rPr>
              <w:tab/>
            </w:r>
            <w:r w:rsidRPr="00990E5D">
              <w:rPr>
                <w:rStyle w:val="Artref"/>
              </w:rPr>
              <w:t>5.540</w:t>
            </w:r>
          </w:p>
        </w:tc>
      </w:tr>
      <w:tr w:rsidR="007202EC" w:rsidRPr="00990E5D" w14:paraId="08138DEA" w14:textId="77777777" w:rsidTr="007202E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078757F" w14:textId="77777777" w:rsidR="007202EC" w:rsidRPr="00990E5D" w:rsidRDefault="007202EC" w:rsidP="007202EC">
            <w:pPr>
              <w:pStyle w:val="TableTextS5"/>
              <w:spacing w:line="220" w:lineRule="exact"/>
            </w:pPr>
            <w:r w:rsidRPr="00990E5D">
              <w:rPr>
                <w:rStyle w:val="Tablefreq"/>
              </w:rPr>
              <w:lastRenderedPageBreak/>
              <w:t>29,1-29,5</w:t>
            </w:r>
            <w:r w:rsidRPr="00990E5D">
              <w:rPr>
                <w:color w:val="000000"/>
              </w:rPr>
              <w:tab/>
            </w:r>
            <w:r w:rsidRPr="00990E5D">
              <w:t>FIJO</w:t>
            </w:r>
          </w:p>
          <w:p w14:paraId="18405CE9" w14:textId="77777777" w:rsidR="007202EC" w:rsidRPr="00990E5D" w:rsidRDefault="007202EC" w:rsidP="007202EC">
            <w:pPr>
              <w:pStyle w:val="TableTextS5"/>
              <w:spacing w:before="0"/>
              <w:ind w:left="3266" w:hanging="3266"/>
              <w:rPr>
                <w:color w:val="000000"/>
              </w:rPr>
            </w:pPr>
            <w:r w:rsidRPr="00990E5D">
              <w:rPr>
                <w:color w:val="000000"/>
              </w:rPr>
              <w:tab/>
            </w:r>
            <w:r w:rsidRPr="00990E5D">
              <w:rPr>
                <w:color w:val="000000"/>
              </w:rPr>
              <w:tab/>
            </w:r>
            <w:r w:rsidRPr="00990E5D">
              <w:rPr>
                <w:color w:val="000000"/>
              </w:rPr>
              <w:tab/>
            </w:r>
            <w:r w:rsidRPr="00990E5D">
              <w:rPr>
                <w:color w:val="000000"/>
              </w:rPr>
              <w:tab/>
              <w:t xml:space="preserve">FIJO POR SATÉLITE (Tierra-espacio)  </w:t>
            </w:r>
            <w:r w:rsidRPr="00990E5D">
              <w:rPr>
                <w:rStyle w:val="Artref"/>
              </w:rPr>
              <w:t xml:space="preserve">5.516B  5.523C  5.523E  5.535A  </w:t>
            </w:r>
            <w:r w:rsidRPr="00990E5D">
              <w:rPr>
                <w:rStyle w:val="Artref"/>
              </w:rPr>
              <w:br/>
              <w:t>5.539  5.541A</w:t>
            </w:r>
            <w:ins w:id="34" w:author="Soto Romero, Alicia" w:date="2018-07-23T12:05:00Z">
              <w:r w:rsidRPr="00990E5D">
                <w:rPr>
                  <w:rStyle w:val="Artref"/>
                </w:rPr>
                <w:t xml:space="preserve">  ADD 5.A15</w:t>
              </w:r>
            </w:ins>
          </w:p>
          <w:p w14:paraId="78390CF7" w14:textId="77777777" w:rsidR="007202EC" w:rsidRPr="00990E5D" w:rsidRDefault="007202EC" w:rsidP="007202EC">
            <w:pPr>
              <w:pStyle w:val="TableTextS5"/>
            </w:pPr>
            <w:r w:rsidRPr="00990E5D">
              <w:rPr>
                <w:color w:val="000000"/>
              </w:rPr>
              <w:tab/>
            </w:r>
            <w:r w:rsidRPr="00990E5D">
              <w:rPr>
                <w:color w:val="000000"/>
              </w:rPr>
              <w:tab/>
            </w:r>
            <w:r w:rsidRPr="00990E5D">
              <w:rPr>
                <w:color w:val="000000"/>
              </w:rPr>
              <w:tab/>
            </w:r>
            <w:r w:rsidRPr="00990E5D">
              <w:rPr>
                <w:color w:val="000000"/>
              </w:rPr>
              <w:tab/>
            </w:r>
            <w:r w:rsidRPr="00990E5D">
              <w:t>MÓVIL</w:t>
            </w:r>
          </w:p>
          <w:p w14:paraId="3FB35405" w14:textId="77777777" w:rsidR="007202EC" w:rsidRPr="00990E5D" w:rsidRDefault="007202EC" w:rsidP="007202EC">
            <w:pPr>
              <w:pStyle w:val="TableTextS5"/>
              <w:rPr>
                <w:color w:val="000000"/>
              </w:rPr>
            </w:pPr>
            <w:r w:rsidRPr="00990E5D">
              <w:tab/>
            </w:r>
            <w:r w:rsidRPr="00990E5D">
              <w:tab/>
            </w:r>
            <w:r w:rsidRPr="00990E5D">
              <w:tab/>
            </w:r>
            <w:r w:rsidRPr="00990E5D">
              <w:tab/>
              <w:t>Exploración de la Tierra por satélite (Tierra-espacio)</w:t>
            </w:r>
            <w:r w:rsidRPr="00990E5D">
              <w:rPr>
                <w:color w:val="000000"/>
              </w:rPr>
              <w:t xml:space="preserve">  </w:t>
            </w:r>
            <w:r w:rsidRPr="00990E5D">
              <w:rPr>
                <w:rStyle w:val="Artref"/>
              </w:rPr>
              <w:t>5.541</w:t>
            </w:r>
          </w:p>
          <w:p w14:paraId="5DAB1A0F" w14:textId="77777777" w:rsidR="007202EC" w:rsidRPr="00990E5D" w:rsidRDefault="007202EC" w:rsidP="007202EC">
            <w:pPr>
              <w:pStyle w:val="TableTextS5"/>
              <w:rPr>
                <w:color w:val="000000"/>
              </w:rPr>
            </w:pPr>
            <w:r w:rsidRPr="00990E5D">
              <w:rPr>
                <w:color w:val="000000"/>
              </w:rPr>
              <w:tab/>
            </w:r>
            <w:r w:rsidRPr="00990E5D">
              <w:rPr>
                <w:color w:val="000000"/>
              </w:rPr>
              <w:tab/>
            </w:r>
            <w:r w:rsidRPr="00990E5D">
              <w:rPr>
                <w:color w:val="000000"/>
              </w:rPr>
              <w:tab/>
            </w:r>
            <w:r w:rsidRPr="00990E5D">
              <w:rPr>
                <w:color w:val="000000"/>
              </w:rPr>
              <w:tab/>
            </w:r>
            <w:r w:rsidRPr="00990E5D">
              <w:rPr>
                <w:rStyle w:val="Artref"/>
              </w:rPr>
              <w:t>5.540</w:t>
            </w:r>
          </w:p>
        </w:tc>
      </w:tr>
    </w:tbl>
    <w:p w14:paraId="0CD90627" w14:textId="14023018" w:rsidR="00C65D71" w:rsidRPr="00990E5D" w:rsidRDefault="007202EC" w:rsidP="00A17971">
      <w:pPr>
        <w:pStyle w:val="Reasons"/>
      </w:pPr>
      <w:r w:rsidRPr="00990E5D">
        <w:rPr>
          <w:b/>
        </w:rPr>
        <w:t>Motivos:</w:t>
      </w:r>
      <w:r w:rsidRPr="00990E5D">
        <w:tab/>
      </w:r>
      <w:r w:rsidR="00876E53" w:rsidRPr="00990E5D">
        <w:t>Adición de una nueva nota al Artículo</w:t>
      </w:r>
      <w:r w:rsidR="00C9719D" w:rsidRPr="00990E5D">
        <w:t> </w:t>
      </w:r>
      <w:r w:rsidR="00876E53" w:rsidRPr="00990E5D">
        <w:t>5 del RR para la explotación de las estaciones terrenas en movimiento que se comunican con las estaciones espaciales del SFS OSG en las bandas 17,7-19.7</w:t>
      </w:r>
      <w:r w:rsidR="00A17971" w:rsidRPr="00990E5D">
        <w:t> </w:t>
      </w:r>
      <w:r w:rsidR="00876E53" w:rsidRPr="00990E5D">
        <w:t>GHz y</w:t>
      </w:r>
      <w:r w:rsidR="00A17971" w:rsidRPr="00990E5D">
        <w:t> </w:t>
      </w:r>
      <w:r w:rsidR="00876E53" w:rsidRPr="00990E5D">
        <w:t>27,5-29,5</w:t>
      </w:r>
      <w:r w:rsidR="00A17971" w:rsidRPr="00990E5D">
        <w:t> </w:t>
      </w:r>
      <w:r w:rsidR="00876E53" w:rsidRPr="00990E5D">
        <w:t xml:space="preserve">GHz, como se muestra en la Propuesta SMO/VUT/95/4 </w:t>
      </w:r>
      <w:r w:rsidR="00876E53" w:rsidRPr="00990E5D">
        <w:rPr>
          <w:i/>
          <w:iCs/>
        </w:rPr>
        <w:t>infra</w:t>
      </w:r>
      <w:r w:rsidR="00A06803" w:rsidRPr="00990E5D">
        <w:t>.</w:t>
      </w:r>
    </w:p>
    <w:p w14:paraId="7CCDBB24" w14:textId="77777777" w:rsidR="00C65D71" w:rsidRPr="00990E5D" w:rsidRDefault="007202EC">
      <w:pPr>
        <w:pStyle w:val="Proposal"/>
      </w:pPr>
      <w:r w:rsidRPr="00990E5D">
        <w:t>ADD</w:t>
      </w:r>
      <w:r w:rsidRPr="00990E5D">
        <w:tab/>
        <w:t>SMO/VUT/95/4</w:t>
      </w:r>
      <w:r w:rsidRPr="00990E5D">
        <w:rPr>
          <w:vanish/>
          <w:color w:val="7F7F7F" w:themeColor="text1" w:themeTint="80"/>
          <w:vertAlign w:val="superscript"/>
        </w:rPr>
        <w:t>#49991</w:t>
      </w:r>
    </w:p>
    <w:p w14:paraId="7B913E06" w14:textId="4B8F15B5" w:rsidR="007202EC" w:rsidRPr="00990E5D" w:rsidRDefault="007202EC" w:rsidP="007202EC">
      <w:pPr>
        <w:pStyle w:val="Note"/>
        <w:rPr>
          <w:sz w:val="16"/>
          <w:szCs w:val="16"/>
        </w:rPr>
      </w:pPr>
      <w:r w:rsidRPr="00990E5D">
        <w:rPr>
          <w:rStyle w:val="Artdef"/>
        </w:rPr>
        <w:t>5.A15</w:t>
      </w:r>
      <w:r w:rsidRPr="00990E5D">
        <w:rPr>
          <w:b/>
        </w:rPr>
        <w:tab/>
      </w:r>
      <w:r w:rsidRPr="00990E5D">
        <w:t>El funcionamiento de las estaciones terrenas en movimiento que comunican con estaciones espaciales del SFS geoestacionario en las bandas de frecuencias 17,7</w:t>
      </w:r>
      <w:r w:rsidRPr="00990E5D">
        <w:noBreakHyphen/>
        <w:t>19,7 GHz y 27,5</w:t>
      </w:r>
      <w:r w:rsidRPr="00990E5D">
        <w:noBreakHyphen/>
        <w:t>29,5</w:t>
      </w:r>
      <w:r w:rsidR="00A17971" w:rsidRPr="00990E5D">
        <w:t> </w:t>
      </w:r>
      <w:r w:rsidRPr="00990E5D">
        <w:t xml:space="preserve">GHz estará sujeto al proyecto de nueva Resolución </w:t>
      </w:r>
      <w:r w:rsidRPr="00990E5D">
        <w:rPr>
          <w:b/>
          <w:bCs/>
        </w:rPr>
        <w:t>[</w:t>
      </w:r>
      <w:r w:rsidR="00A06803" w:rsidRPr="00990E5D">
        <w:rPr>
          <w:b/>
          <w:bCs/>
        </w:rPr>
        <w:t>SMO/VUT/</w:t>
      </w:r>
      <w:r w:rsidRPr="00990E5D">
        <w:rPr>
          <w:b/>
          <w:bCs/>
        </w:rPr>
        <w:t>A15] (CMR</w:t>
      </w:r>
      <w:r w:rsidR="00A06803" w:rsidRPr="00990E5D">
        <w:rPr>
          <w:b/>
          <w:bCs/>
        </w:rPr>
        <w:noBreakHyphen/>
      </w:r>
      <w:r w:rsidRPr="00990E5D">
        <w:rPr>
          <w:b/>
          <w:bCs/>
        </w:rPr>
        <w:t>19)</w:t>
      </w:r>
      <w:r w:rsidRPr="00990E5D">
        <w:rPr>
          <w:rFonts w:eastAsiaTheme="minorHAnsi"/>
        </w:rPr>
        <w:t>.</w:t>
      </w:r>
      <w:r w:rsidRPr="00990E5D">
        <w:rPr>
          <w:b/>
          <w:bCs/>
          <w:sz w:val="16"/>
          <w:szCs w:val="16"/>
        </w:rPr>
        <w:t>     </w:t>
      </w:r>
      <w:r w:rsidRPr="00990E5D">
        <w:rPr>
          <w:sz w:val="16"/>
          <w:szCs w:val="16"/>
        </w:rPr>
        <w:t>(CMR-19)</w:t>
      </w:r>
    </w:p>
    <w:p w14:paraId="0E056664" w14:textId="2B1676CD" w:rsidR="00C65D71" w:rsidRPr="00990E5D" w:rsidRDefault="007202EC" w:rsidP="00A17971">
      <w:pPr>
        <w:pStyle w:val="Reasons"/>
      </w:pPr>
      <w:r w:rsidRPr="00990E5D">
        <w:rPr>
          <w:b/>
        </w:rPr>
        <w:t>Motivos:</w:t>
      </w:r>
      <w:r w:rsidRPr="00990E5D">
        <w:tab/>
      </w:r>
      <w:r w:rsidR="008600D4" w:rsidRPr="00990E5D">
        <w:t xml:space="preserve">La adopción de esta propuesta </w:t>
      </w:r>
      <w:r w:rsidR="00876E53" w:rsidRPr="00990E5D">
        <w:t>habilitaría 2</w:t>
      </w:r>
      <w:r w:rsidR="00A17971" w:rsidRPr="00990E5D">
        <w:t> </w:t>
      </w:r>
      <w:r w:rsidR="00876E53" w:rsidRPr="00990E5D">
        <w:t>GHz de espectro adicional en cada uno de los sentidos, ascendente y descendente, de los enlaces del SFS en 30/20</w:t>
      </w:r>
      <w:r w:rsidR="00A17971" w:rsidRPr="00990E5D">
        <w:t> </w:t>
      </w:r>
      <w:r w:rsidR="00876E53" w:rsidRPr="00990E5D">
        <w:t xml:space="preserve">GHz </w:t>
      </w:r>
      <w:r w:rsidR="00133A2C" w:rsidRPr="00990E5D">
        <w:t>para soportar la ingente demanda mundial de comunicaciones de banda ancha por parte de los usuarios a bordo de barcos, aviones y vehículos terrestres, en pie de igualdad en las tres Regiones, y daría lugar a una utilización eficiente de los recursos del espectro radioeléctrico.</w:t>
      </w:r>
    </w:p>
    <w:p w14:paraId="0035C7B3" w14:textId="77777777" w:rsidR="00C65D71" w:rsidRPr="00990E5D" w:rsidRDefault="007202EC" w:rsidP="00A17971">
      <w:pPr>
        <w:pStyle w:val="Proposal"/>
      </w:pPr>
      <w:r w:rsidRPr="00990E5D">
        <w:t>ADD</w:t>
      </w:r>
      <w:r w:rsidRPr="00990E5D">
        <w:tab/>
        <w:t>SMO/VUT/95/5</w:t>
      </w:r>
      <w:r w:rsidRPr="00990E5D">
        <w:rPr>
          <w:vanish/>
          <w:color w:val="7F7F7F" w:themeColor="text1" w:themeTint="80"/>
          <w:vertAlign w:val="superscript"/>
        </w:rPr>
        <w:t>#49993</w:t>
      </w:r>
    </w:p>
    <w:p w14:paraId="2A3AC870" w14:textId="1FC4FDA4" w:rsidR="007202EC" w:rsidRPr="00990E5D" w:rsidRDefault="007202EC" w:rsidP="007202EC">
      <w:pPr>
        <w:pStyle w:val="ResNo"/>
      </w:pPr>
      <w:r w:rsidRPr="00990E5D">
        <w:t>PROYECTO DE NUEVA RESOLUCIÓN [</w:t>
      </w:r>
      <w:r w:rsidR="00A06803" w:rsidRPr="00990E5D">
        <w:t>SMO/VUT/</w:t>
      </w:r>
      <w:r w:rsidRPr="00990E5D">
        <w:t>A15] (CMR-19)</w:t>
      </w:r>
    </w:p>
    <w:p w14:paraId="2C284330" w14:textId="33549DB7" w:rsidR="007202EC" w:rsidRPr="00990E5D" w:rsidRDefault="007202EC" w:rsidP="007202EC">
      <w:pPr>
        <w:pStyle w:val="Restitle"/>
      </w:pPr>
      <w:r w:rsidRPr="00990E5D">
        <w:t>Utilización de las bandas de frecuencias 17,7-19,7</w:t>
      </w:r>
      <w:r w:rsidR="00A17971" w:rsidRPr="00990E5D">
        <w:t> </w:t>
      </w:r>
      <w:r w:rsidRPr="00990E5D">
        <w:t>GHz y 27,5</w:t>
      </w:r>
      <w:r w:rsidRPr="00990E5D">
        <w:noBreakHyphen/>
        <w:t>29,5</w:t>
      </w:r>
      <w:r w:rsidR="00A17971" w:rsidRPr="00990E5D">
        <w:t> </w:t>
      </w:r>
      <w:r w:rsidRPr="00990E5D">
        <w:t xml:space="preserve">GHz para </w:t>
      </w:r>
      <w:r w:rsidRPr="00990E5D">
        <w:br/>
        <w:t>las comunicaciones de las estaciones terrenas en movimiento (ETEM) con estaciones espaciales geoestacionarias del servicio fijo por satélite</w:t>
      </w:r>
    </w:p>
    <w:p w14:paraId="1FA649C7" w14:textId="77777777" w:rsidR="007202EC" w:rsidRPr="00990E5D" w:rsidRDefault="007202EC" w:rsidP="007202EC">
      <w:pPr>
        <w:pStyle w:val="Normalaftertitle0"/>
      </w:pPr>
      <w:r w:rsidRPr="00990E5D">
        <w:t>La Conferencia Mundial de Radiocomunicaciones (Sharm el-Sheikh, 2019),</w:t>
      </w:r>
    </w:p>
    <w:p w14:paraId="496919C1" w14:textId="77777777" w:rsidR="007202EC" w:rsidRPr="00990E5D" w:rsidRDefault="007202EC" w:rsidP="007202EC">
      <w:pPr>
        <w:pStyle w:val="Call"/>
      </w:pPr>
      <w:r w:rsidRPr="00990E5D">
        <w:t>considerando</w:t>
      </w:r>
    </w:p>
    <w:p w14:paraId="600DDF5F" w14:textId="77777777" w:rsidR="007202EC" w:rsidRPr="00990E5D" w:rsidRDefault="007202EC" w:rsidP="007202EC">
      <w:r w:rsidRPr="00990E5D">
        <w:rPr>
          <w:i/>
          <w:iCs/>
        </w:rPr>
        <w:t>a)</w:t>
      </w:r>
      <w:r w:rsidRPr="00990E5D">
        <w:tab/>
        <w:t>que hay una necesidad de comunicaciones móviles por satélite en banda ancha a nivel mundial y que parte de esta necesidad podría satisfacerse permitiendo a las estaciones terrenas en movimiento (ETEM) comunicarse con estaciones espaciales del servicio fijo por satélite (SFS) en la órbita de los satélites geoestacionarios (OSG) que funcionan en las bandas de frecuencias 17,7</w:t>
      </w:r>
      <w:r w:rsidRPr="00990E5D">
        <w:noBreakHyphen/>
        <w:t xml:space="preserve">19,7 GHz </w:t>
      </w:r>
      <w:r w:rsidRPr="00990E5D">
        <w:rPr>
          <w:cs/>
        </w:rPr>
        <w:t>‎</w:t>
      </w:r>
      <w:r w:rsidRPr="00990E5D">
        <w:t xml:space="preserve">(espacio-Tierra) </w:t>
      </w:r>
      <w:r w:rsidRPr="00990E5D">
        <w:rPr>
          <w:cs/>
        </w:rPr>
        <w:t>‎</w:t>
      </w:r>
      <w:r w:rsidRPr="00990E5D">
        <w:t>y 27,5</w:t>
      </w:r>
      <w:r w:rsidRPr="00990E5D">
        <w:noBreakHyphen/>
        <w:t xml:space="preserve">29,5 GHz </w:t>
      </w:r>
      <w:r w:rsidRPr="00990E5D">
        <w:rPr>
          <w:cs/>
        </w:rPr>
        <w:t>‎</w:t>
      </w:r>
      <w:r w:rsidRPr="00990E5D">
        <w:t>(Tierra</w:t>
      </w:r>
      <w:r w:rsidRPr="00990E5D">
        <w:noBreakHyphen/>
        <w:t>espacio);</w:t>
      </w:r>
    </w:p>
    <w:p w14:paraId="0F3F2CAF" w14:textId="77777777" w:rsidR="007202EC" w:rsidRPr="00990E5D" w:rsidRDefault="007202EC" w:rsidP="007202EC">
      <w:r w:rsidRPr="00990E5D">
        <w:rPr>
          <w:i/>
          <w:iCs/>
        </w:rPr>
        <w:t>b)</w:t>
      </w:r>
      <w:r w:rsidRPr="00990E5D">
        <w:tab/>
        <w:t>que se necesitan mecanismos reglamentarios y de gestión de las interferencias adecuados para el funcionamiento de las ETEM;</w:t>
      </w:r>
    </w:p>
    <w:p w14:paraId="7650F28C" w14:textId="750603F6" w:rsidR="00C74ED6" w:rsidRPr="00990E5D" w:rsidRDefault="007202EC" w:rsidP="007202EC">
      <w:r w:rsidRPr="00990E5D">
        <w:rPr>
          <w:i/>
        </w:rPr>
        <w:t>c)</w:t>
      </w:r>
      <w:r w:rsidRPr="00990E5D">
        <w:tab/>
        <w:t>que las bandas de frecuencias 17,7</w:t>
      </w:r>
      <w:r w:rsidRPr="00990E5D">
        <w:noBreakHyphen/>
        <w:t>19,7</w:t>
      </w:r>
      <w:r w:rsidR="00A17971" w:rsidRPr="00990E5D">
        <w:t> </w:t>
      </w:r>
      <w:r w:rsidRPr="00990E5D">
        <w:t xml:space="preserve">GHz </w:t>
      </w:r>
      <w:r w:rsidRPr="00990E5D">
        <w:rPr>
          <w:cs/>
        </w:rPr>
        <w:t>‎</w:t>
      </w:r>
      <w:r w:rsidRPr="00990E5D">
        <w:t xml:space="preserve">(espacio-Tierra) </w:t>
      </w:r>
      <w:r w:rsidRPr="00990E5D">
        <w:rPr>
          <w:cs/>
        </w:rPr>
        <w:t>‎</w:t>
      </w:r>
      <w:r w:rsidRPr="00990E5D">
        <w:t>y 27,5</w:t>
      </w:r>
      <w:r w:rsidRPr="00990E5D">
        <w:noBreakHyphen/>
        <w:t>29,5</w:t>
      </w:r>
      <w:r w:rsidR="00A17971" w:rsidRPr="00990E5D">
        <w:t> </w:t>
      </w:r>
      <w:r w:rsidRPr="00990E5D">
        <w:t>GHz</w:t>
      </w:r>
      <w:r w:rsidRPr="00990E5D">
        <w:rPr>
          <w:rtl/>
          <w:cs/>
        </w:rPr>
        <w:t xml:space="preserve"> </w:t>
      </w:r>
      <w:r w:rsidRPr="00990E5D">
        <w:rPr>
          <w:cs/>
        </w:rPr>
        <w:t>‎</w:t>
      </w:r>
      <w:r w:rsidRPr="00990E5D">
        <w:t>(Tierra</w:t>
      </w:r>
      <w:r w:rsidRPr="00990E5D">
        <w:noBreakHyphen/>
        <w:t>espacio)</w:t>
      </w:r>
      <w:r w:rsidRPr="00990E5D">
        <w:rPr>
          <w:cs/>
        </w:rPr>
        <w:t>‎</w:t>
      </w:r>
      <w:r w:rsidRPr="00990E5D">
        <w:t xml:space="preserve"> también están atribuidas a servicios terrenales y espaciales utilizados por una gran variedad de sistemas y que estos servicios existentes y su desarrollo futuro deben protegerse contra el funcionamiento de las ETEM</w:t>
      </w:r>
      <w:r w:rsidR="00C74ED6" w:rsidRPr="00990E5D">
        <w:t>;</w:t>
      </w:r>
    </w:p>
    <w:p w14:paraId="05A20201" w14:textId="7E25A3DD" w:rsidR="007202EC" w:rsidRPr="00990E5D" w:rsidRDefault="00C74ED6" w:rsidP="00A17971">
      <w:r w:rsidRPr="00990E5D">
        <w:rPr>
          <w:i/>
          <w:iCs/>
        </w:rPr>
        <w:t>d)</w:t>
      </w:r>
      <w:r w:rsidRPr="00990E5D">
        <w:tab/>
      </w:r>
      <w:r w:rsidR="00133A2C" w:rsidRPr="00990E5D">
        <w:t xml:space="preserve">que el UIT-R ha llevado a cabo estudios con el fin de determinar si las ETEM aeronáuticas </w:t>
      </w:r>
      <w:r w:rsidR="008975E2" w:rsidRPr="00990E5D">
        <w:t>son</w:t>
      </w:r>
      <w:r w:rsidR="00133A2C" w:rsidRPr="00990E5D">
        <w:t xml:space="preserve"> capaces de funcionar sin causar interferencia perjudicial a los receptores de los satélites de los enlaces de conexión del servicio móvil por satélite no OSG en la banda </w:t>
      </w:r>
      <w:r w:rsidR="00A17971" w:rsidRPr="00990E5D">
        <w:br/>
      </w:r>
      <w:r w:rsidR="00133A2C" w:rsidRPr="00990E5D">
        <w:t>29,1-29,5</w:t>
      </w:r>
      <w:r w:rsidR="00A17971" w:rsidRPr="00990E5D">
        <w:t> </w:t>
      </w:r>
      <w:r w:rsidR="00133A2C" w:rsidRPr="00990E5D">
        <w:t>GHz</w:t>
      </w:r>
      <w:r w:rsidR="007202EC" w:rsidRPr="00990E5D">
        <w:t>,</w:t>
      </w:r>
    </w:p>
    <w:p w14:paraId="33339E55" w14:textId="77777777" w:rsidR="007202EC" w:rsidRPr="00990E5D" w:rsidRDefault="007202EC" w:rsidP="007202EC">
      <w:pPr>
        <w:pStyle w:val="Call"/>
      </w:pPr>
      <w:r w:rsidRPr="00990E5D">
        <w:lastRenderedPageBreak/>
        <w:t>reconociendo</w:t>
      </w:r>
    </w:p>
    <w:p w14:paraId="5E4DDEAC" w14:textId="0256E1F9" w:rsidR="007202EC" w:rsidRPr="00990E5D" w:rsidRDefault="007202EC" w:rsidP="007202EC">
      <w:r w:rsidRPr="00990E5D">
        <w:rPr>
          <w:i/>
          <w:iCs/>
        </w:rPr>
        <w:t>a)</w:t>
      </w:r>
      <w:r w:rsidRPr="00990E5D">
        <w:tab/>
        <w:t>que las administraciones que autorizan las ETEM en el territorio de su jurisdicción tienen derecho a exigir que esas ETEM sólo utilicen las asignaciones asociadas a las redes del SFS OSG que hayan sido satisfactoriamente coordinadas, notificadas, puestas en servicio e inscritas en el Registro con una conclusión favorable en virtud del Artículo</w:t>
      </w:r>
      <w:r w:rsidR="00A17971" w:rsidRPr="00990E5D">
        <w:t> </w:t>
      </w:r>
      <w:r w:rsidRPr="00990E5D">
        <w:rPr>
          <w:b/>
        </w:rPr>
        <w:t>11</w:t>
      </w:r>
      <w:r w:rsidRPr="00990E5D">
        <w:t>, y en particular de los números</w:t>
      </w:r>
      <w:r w:rsidR="00A17971" w:rsidRPr="00990E5D">
        <w:t> </w:t>
      </w:r>
      <w:r w:rsidRPr="00990E5D">
        <w:rPr>
          <w:rStyle w:val="Artref"/>
          <w:b/>
        </w:rPr>
        <w:t>11.31</w:t>
      </w:r>
      <w:r w:rsidRPr="00990E5D">
        <w:t xml:space="preserve">, </w:t>
      </w:r>
      <w:r w:rsidRPr="00990E5D">
        <w:rPr>
          <w:rStyle w:val="Artref"/>
          <w:b/>
        </w:rPr>
        <w:t>11.32</w:t>
      </w:r>
      <w:r w:rsidRPr="00990E5D">
        <w:t xml:space="preserve"> y</w:t>
      </w:r>
      <w:r w:rsidR="00A17971" w:rsidRPr="00990E5D">
        <w:t> </w:t>
      </w:r>
      <w:r w:rsidRPr="00990E5D">
        <w:rPr>
          <w:rStyle w:val="Artref"/>
          <w:b/>
        </w:rPr>
        <w:t>11.32A</w:t>
      </w:r>
      <w:r w:rsidRPr="00990E5D">
        <w:rPr>
          <w:rStyle w:val="Artref"/>
          <w:bCs/>
        </w:rPr>
        <w:t>, según el caso</w:t>
      </w:r>
      <w:r w:rsidRPr="00990E5D">
        <w:t>;</w:t>
      </w:r>
    </w:p>
    <w:p w14:paraId="6C64445F" w14:textId="4060F6AC" w:rsidR="007202EC" w:rsidRPr="00990E5D" w:rsidRDefault="007202EC" w:rsidP="00A17971">
      <w:pPr>
        <w:rPr>
          <w:bCs/>
        </w:rPr>
      </w:pPr>
      <w:r w:rsidRPr="00990E5D">
        <w:rPr>
          <w:i/>
          <w:iCs/>
        </w:rPr>
        <w:t>b)</w:t>
      </w:r>
      <w:r w:rsidRPr="00990E5D">
        <w:tab/>
        <w:t>que, cuando no pueda completarse</w:t>
      </w:r>
      <w:r w:rsidR="008975E2" w:rsidRPr="00990E5D">
        <w:t>,</w:t>
      </w:r>
      <w:r w:rsidRPr="00990E5D">
        <w:t xml:space="preserve"> </w:t>
      </w:r>
      <w:r w:rsidR="008975E2" w:rsidRPr="00990E5D">
        <w:t>con arreglo al número</w:t>
      </w:r>
      <w:r w:rsidR="00A17971" w:rsidRPr="00990E5D">
        <w:t> </w:t>
      </w:r>
      <w:r w:rsidR="008975E2" w:rsidRPr="00990E5D">
        <w:rPr>
          <w:b/>
        </w:rPr>
        <w:t>9.7</w:t>
      </w:r>
      <w:r w:rsidR="008975E2" w:rsidRPr="00990E5D">
        <w:rPr>
          <w:bCs/>
        </w:rPr>
        <w:t>,</w:t>
      </w:r>
      <w:r w:rsidR="008975E2" w:rsidRPr="00990E5D">
        <w:t xml:space="preserve"> </w:t>
      </w:r>
      <w:r w:rsidRPr="00990E5D">
        <w:t xml:space="preserve">la coordinación de </w:t>
      </w:r>
      <w:r w:rsidR="008975E2" w:rsidRPr="00990E5D">
        <w:t>una</w:t>
      </w:r>
      <w:r w:rsidR="00A56A18" w:rsidRPr="00990E5D">
        <w:t xml:space="preserve"> </w:t>
      </w:r>
      <w:r w:rsidRPr="00990E5D">
        <w:t xml:space="preserve">red del SFS OSG con </w:t>
      </w:r>
      <w:r w:rsidR="008975E2" w:rsidRPr="00990E5D">
        <w:t xml:space="preserve">las </w:t>
      </w:r>
      <w:r w:rsidRPr="00990E5D">
        <w:t xml:space="preserve">asignaciones que deba utilizar </w:t>
      </w:r>
      <w:r w:rsidR="008975E2" w:rsidRPr="00990E5D">
        <w:t>una</w:t>
      </w:r>
      <w:r w:rsidRPr="00990E5D">
        <w:t xml:space="preserve"> ETEM, es necesario que el funcionamiento de la ETEM </w:t>
      </w:r>
      <w:r w:rsidR="008975E2" w:rsidRPr="00990E5D">
        <w:t>que utiliza</w:t>
      </w:r>
      <w:r w:rsidRPr="00990E5D">
        <w:t xml:space="preserve"> esas asignaciones en las bandas de frecuencias 17,7</w:t>
      </w:r>
      <w:r w:rsidRPr="00990E5D">
        <w:noBreakHyphen/>
        <w:t>19,7 GHz y 27,5-29,5 GHz cumpla las disposiciones del número</w:t>
      </w:r>
      <w:r w:rsidR="00A17971" w:rsidRPr="00990E5D">
        <w:t> </w:t>
      </w:r>
      <w:r w:rsidRPr="00990E5D">
        <w:rPr>
          <w:b/>
        </w:rPr>
        <w:t>11.42</w:t>
      </w:r>
      <w:r w:rsidRPr="00990E5D">
        <w:t xml:space="preserve"> con respecto a cualquier asignación de frecuencias inscrita que haya dado lugar a la conclusión desfavorable con arreglo al número </w:t>
      </w:r>
      <w:r w:rsidRPr="00990E5D">
        <w:rPr>
          <w:b/>
        </w:rPr>
        <w:t>11.38</w:t>
      </w:r>
      <w:r w:rsidRPr="00990E5D">
        <w:t>;</w:t>
      </w:r>
    </w:p>
    <w:p w14:paraId="5D9FF32F" w14:textId="3709F69A" w:rsidR="007202EC" w:rsidRPr="00990E5D" w:rsidRDefault="007202EC" w:rsidP="007202EC">
      <w:r w:rsidRPr="00990E5D">
        <w:rPr>
          <w:i/>
        </w:rPr>
        <w:t>c)</w:t>
      </w:r>
      <w:r w:rsidRPr="00990E5D">
        <w:rPr>
          <w:i/>
        </w:rPr>
        <w:tab/>
      </w:r>
      <w:r w:rsidRPr="00990E5D">
        <w:t>que cualquier medida adoptada con arreglo a la presente Resolución no repercute en la fecha de recepción original de las asignaciones de frecuencias a la red de satélites del SFS OSG con la que se comunica la ETEM ni en los requisitos de coordinación de dicha red</w:t>
      </w:r>
      <w:r w:rsidR="008975E2" w:rsidRPr="00990E5D">
        <w:t xml:space="preserve"> de satélites</w:t>
      </w:r>
      <w:r w:rsidRPr="00990E5D">
        <w:t>;</w:t>
      </w:r>
    </w:p>
    <w:p w14:paraId="5C4149E2" w14:textId="77777777" w:rsidR="007202EC" w:rsidRPr="00990E5D" w:rsidRDefault="007202EC" w:rsidP="007202EC">
      <w:r w:rsidRPr="00990E5D">
        <w:rPr>
          <w:i/>
          <w:iCs/>
        </w:rPr>
        <w:t>d)</w:t>
      </w:r>
      <w:r w:rsidRPr="00990E5D">
        <w:tab/>
        <w:t>que una ETEM de cualquier tipo (terrestre, marítima o aeronáutica) sólo podrá operar en el/los territorio(s), las aguas territoriales y el espacio aéreo bajo la jurisdicción de una administración si está autorizada por dicha administración,</w:t>
      </w:r>
    </w:p>
    <w:p w14:paraId="4FBC4DF3" w14:textId="77777777" w:rsidR="007202EC" w:rsidRPr="00990E5D" w:rsidRDefault="007202EC" w:rsidP="007202EC">
      <w:pPr>
        <w:pStyle w:val="Call"/>
      </w:pPr>
      <w:r w:rsidRPr="00990E5D">
        <w:t>resuelve</w:t>
      </w:r>
    </w:p>
    <w:p w14:paraId="06073DDF" w14:textId="3CFEB93B" w:rsidR="007202EC" w:rsidRPr="00990E5D" w:rsidRDefault="007202EC" w:rsidP="007202EC">
      <w:r w:rsidRPr="00990E5D">
        <w:t>1</w:t>
      </w:r>
      <w:r w:rsidRPr="00990E5D">
        <w:tab/>
        <w:t>que a toda ETEM que se comunique con una estación espacial del SFS OSG en las bandas de frecuencias 17,7-19,7</w:t>
      </w:r>
      <w:r w:rsidR="008D5E33" w:rsidRPr="00990E5D">
        <w:t> </w:t>
      </w:r>
      <w:r w:rsidRPr="00990E5D">
        <w:t>GHz y 27,5-29,5</w:t>
      </w:r>
      <w:r w:rsidR="008D5E33" w:rsidRPr="00990E5D">
        <w:t> </w:t>
      </w:r>
      <w:r w:rsidRPr="00990E5D">
        <w:t>GHz, o partes de la misma, se apliquen las siguientes condiciones:</w:t>
      </w:r>
    </w:p>
    <w:p w14:paraId="5EDD3847" w14:textId="213ADAFA" w:rsidR="007202EC" w:rsidRPr="00990E5D" w:rsidRDefault="007202EC" w:rsidP="007202EC">
      <w:r w:rsidRPr="00990E5D">
        <w:t>1.1</w:t>
      </w:r>
      <w:r w:rsidRPr="00990E5D">
        <w:tab/>
        <w:t>en lo que respecta a los servicios espaciales en las bandas de frecuencias 17,7-19,7</w:t>
      </w:r>
      <w:r w:rsidR="008D5E33" w:rsidRPr="00990E5D">
        <w:t> </w:t>
      </w:r>
      <w:r w:rsidRPr="00990E5D">
        <w:t>GHz y 27,5</w:t>
      </w:r>
      <w:r w:rsidRPr="00990E5D">
        <w:noBreakHyphen/>
        <w:t>29,5 GHz, las ETEM deberán cumplir las siguientes condiciones:</w:t>
      </w:r>
    </w:p>
    <w:p w14:paraId="04C5FF38" w14:textId="2585F17F" w:rsidR="007202EC" w:rsidRPr="00990E5D" w:rsidRDefault="007202EC" w:rsidP="007202EC">
      <w:r w:rsidRPr="00990E5D">
        <w:t>1.1.1</w:t>
      </w:r>
      <w:r w:rsidRPr="00990E5D">
        <w:tab/>
        <w:t>en lo que respecta a las redes o sistemas de satélites de otras administraciones, las características de las ETEM permanecerán dentro del conjunto de los límites de la red de satélites con la que se comuniquen estas ETEM;</w:t>
      </w:r>
    </w:p>
    <w:p w14:paraId="1B95E1B9" w14:textId="77777777" w:rsidR="007202EC" w:rsidRPr="00990E5D" w:rsidRDefault="007202EC" w:rsidP="007202EC">
      <w:r w:rsidRPr="00990E5D">
        <w:t>1.1.2</w:t>
      </w:r>
      <w:r w:rsidRPr="00990E5D">
        <w:tab/>
        <w:t>que la administración notificante de la red del SFS OSG con la que se comunica la ETEM, debe velar por que el funcionamiento de la ETEM cumpla los acuerdos de coordinación para las asignaciones de frecuencias a esa red del SFS OSG con arreglo a las disposiciones pertinentes del Reglamento de Radiocomunicaciones;</w:t>
      </w:r>
    </w:p>
    <w:p w14:paraId="60013419" w14:textId="561E2C6C" w:rsidR="007202EC" w:rsidRPr="00990E5D" w:rsidRDefault="007202EC" w:rsidP="007202EC">
      <w:pPr>
        <w:rPr>
          <w:b/>
        </w:rPr>
      </w:pPr>
      <w:r w:rsidRPr="00990E5D">
        <w:t>1.1.3</w:t>
      </w:r>
      <w:r w:rsidRPr="00990E5D">
        <w:tab/>
        <w:t xml:space="preserve">para la aplicación del </w:t>
      </w:r>
      <w:r w:rsidRPr="00990E5D">
        <w:rPr>
          <w:i/>
        </w:rPr>
        <w:t>resuelve</w:t>
      </w:r>
      <w:r w:rsidR="008D5E33" w:rsidRPr="00990E5D">
        <w:t> </w:t>
      </w:r>
      <w:r w:rsidRPr="00990E5D">
        <w:t>1.1.1</w:t>
      </w:r>
      <w:r w:rsidRPr="00990E5D">
        <w:rPr>
          <w:i/>
        </w:rPr>
        <w:t xml:space="preserve"> supra</w:t>
      </w:r>
      <w:r w:rsidRPr="00990E5D">
        <w:t>, la administración notificante de la red del SFS OSG con la que se comunica la ETEM deberá remitir a la Oficina, con arreglo a la presente Resolución, la información pertinente del Apéndice</w:t>
      </w:r>
      <w:r w:rsidR="008D5E33" w:rsidRPr="00990E5D">
        <w:t> </w:t>
      </w:r>
      <w:r w:rsidRPr="00990E5D">
        <w:rPr>
          <w:b/>
        </w:rPr>
        <w:t>4</w:t>
      </w:r>
      <w:r w:rsidRPr="00990E5D">
        <w:t xml:space="preserve"> relativa a las características de la ETEM destinada a comunicarse con la estación espacial de esa red del SFS OSG, así como el compromiso de que el funcionamiento de la ETEM se ajustará a lo dispuesto en el Reglamento de Radiocomunicaciones y en esta Resolución;</w:t>
      </w:r>
    </w:p>
    <w:p w14:paraId="07C1AFF0" w14:textId="3C38D309" w:rsidR="007202EC" w:rsidRPr="00990E5D" w:rsidRDefault="007202EC" w:rsidP="007202EC">
      <w:r w:rsidRPr="00990E5D">
        <w:t>1.1.4</w:t>
      </w:r>
      <w:r w:rsidRPr="00990E5D">
        <w:tab/>
        <w:t xml:space="preserve">tras recibir la información presentada de conformidad con el </w:t>
      </w:r>
      <w:r w:rsidRPr="00990E5D">
        <w:rPr>
          <w:i/>
        </w:rPr>
        <w:t>resuelve</w:t>
      </w:r>
      <w:r w:rsidR="008D5E33" w:rsidRPr="00990E5D">
        <w:t> </w:t>
      </w:r>
      <w:r w:rsidRPr="00990E5D">
        <w:t>1.1.3</w:t>
      </w:r>
      <w:r w:rsidRPr="00990E5D">
        <w:rPr>
          <w:i/>
        </w:rPr>
        <w:t xml:space="preserve"> supra</w:t>
      </w:r>
      <w:r w:rsidRPr="00990E5D">
        <w:t xml:space="preserve">, la Oficina la examinará en cuanto a los requisitos mencionados en el </w:t>
      </w:r>
      <w:r w:rsidRPr="00990E5D">
        <w:rPr>
          <w:i/>
        </w:rPr>
        <w:t>resuelve</w:t>
      </w:r>
      <w:r w:rsidR="008D5E33" w:rsidRPr="00990E5D">
        <w:t> </w:t>
      </w:r>
      <w:r w:rsidRPr="00990E5D">
        <w:t>1.1.1</w:t>
      </w:r>
      <w:r w:rsidRPr="00990E5D">
        <w:rPr>
          <w:i/>
        </w:rPr>
        <w:t xml:space="preserve"> </w:t>
      </w:r>
      <w:r w:rsidRPr="00990E5D">
        <w:t>tomando como base la información completa presentada. Si, a raíz de este examen, la Oficina llega a la conclusión de que las características de la ETEM se encuentran dentro del conjunto de los límites de la red de satélites, publicará los resultados a título informativo en la BR IFIC; de lo contrario, la información será devuelta a la administración notificante;</w:t>
      </w:r>
    </w:p>
    <w:p w14:paraId="3D2690F4" w14:textId="521E43DC" w:rsidR="007202EC" w:rsidRPr="00990E5D" w:rsidRDefault="007202EC" w:rsidP="007202EC">
      <w:r w:rsidRPr="00990E5D">
        <w:t>1.1.5</w:t>
      </w:r>
      <w:r w:rsidRPr="00990E5D">
        <w:tab/>
        <w:t xml:space="preserve">si la Oficina llegara a la conclusión, antes de inscribir las características de una red en el Registro, de que la información presentada con arreglo al </w:t>
      </w:r>
      <w:r w:rsidRPr="00990E5D">
        <w:rPr>
          <w:i/>
          <w:iCs/>
        </w:rPr>
        <w:t>resuelve</w:t>
      </w:r>
      <w:r w:rsidR="008D5E33" w:rsidRPr="00990E5D">
        <w:t> </w:t>
      </w:r>
      <w:r w:rsidRPr="00990E5D">
        <w:t xml:space="preserve">1.1.3 no se ajusta a los requisitos </w:t>
      </w:r>
      <w:r w:rsidRPr="00990E5D">
        <w:lastRenderedPageBreak/>
        <w:t xml:space="preserve">del </w:t>
      </w:r>
      <w:r w:rsidRPr="00990E5D">
        <w:rPr>
          <w:i/>
          <w:iCs/>
        </w:rPr>
        <w:t>resuelve</w:t>
      </w:r>
      <w:r w:rsidR="008D5E33" w:rsidRPr="00990E5D">
        <w:t> </w:t>
      </w:r>
      <w:r w:rsidRPr="00990E5D">
        <w:t xml:space="preserve">1.1.1, se suprimirá la información correspondiente que haya publicado previamente la Oficina con arreglo al </w:t>
      </w:r>
      <w:r w:rsidRPr="00990E5D">
        <w:rPr>
          <w:i/>
          <w:iCs/>
        </w:rPr>
        <w:t>resuelve</w:t>
      </w:r>
      <w:r w:rsidR="008D5E33" w:rsidRPr="00990E5D">
        <w:t> </w:t>
      </w:r>
      <w:r w:rsidRPr="00990E5D">
        <w:t>1.1.4.</w:t>
      </w:r>
    </w:p>
    <w:p w14:paraId="0B93B77C" w14:textId="18253A76" w:rsidR="007202EC" w:rsidRPr="00990E5D" w:rsidRDefault="007202EC" w:rsidP="007202EC">
      <w:r w:rsidRPr="00990E5D">
        <w:t>1.1.6</w:t>
      </w:r>
      <w:r w:rsidRPr="00990E5D">
        <w:tab/>
        <w:t>para la protección de los sistemas del SFS no OSG que funcionan en la banda de frecuencias 27,5</w:t>
      </w:r>
      <w:r w:rsidRPr="00990E5D">
        <w:noBreakHyphen/>
        <w:t>28,6</w:t>
      </w:r>
      <w:r w:rsidR="008D5E33" w:rsidRPr="00990E5D">
        <w:t> </w:t>
      </w:r>
      <w:r w:rsidRPr="00990E5D">
        <w:t>GHz, las ETEM que comunican con redes del SFS OSG deberán cumplir las disposiciones que se recogen en el Anexo 1 a la presente Resolución;</w:t>
      </w:r>
    </w:p>
    <w:p w14:paraId="07EDD377" w14:textId="470D8221" w:rsidR="007202EC" w:rsidRPr="00990E5D" w:rsidRDefault="007202EC" w:rsidP="007202EC">
      <w:pPr>
        <w:rPr>
          <w:bCs/>
        </w:rPr>
      </w:pPr>
      <w:r w:rsidRPr="00990E5D">
        <w:t>1.1.</w:t>
      </w:r>
      <w:r w:rsidR="00C74ED6" w:rsidRPr="00990E5D">
        <w:t>7</w:t>
      </w:r>
      <w:r w:rsidRPr="00990E5D">
        <w:tab/>
        <w:t>las ETEM no reclamarán protección contra los sistemas del SFS no OSG que funcionen en la banda de frecuencias 17,8-18,6</w:t>
      </w:r>
      <w:r w:rsidR="008D5E33" w:rsidRPr="00990E5D">
        <w:t> </w:t>
      </w:r>
      <w:r w:rsidRPr="00990E5D">
        <w:t>GHz de conformidad con el Reglamento de Radiocomunicaciones, y en particular con el número</w:t>
      </w:r>
      <w:r w:rsidR="008D5E33" w:rsidRPr="00990E5D">
        <w:t> </w:t>
      </w:r>
      <w:r w:rsidRPr="00990E5D">
        <w:rPr>
          <w:rStyle w:val="Artref"/>
          <w:b/>
        </w:rPr>
        <w:t>22.5C</w:t>
      </w:r>
      <w:r w:rsidRPr="00990E5D">
        <w:rPr>
          <w:rStyle w:val="Artref"/>
        </w:rPr>
        <w:t>;</w:t>
      </w:r>
    </w:p>
    <w:p w14:paraId="49D63C25" w14:textId="56E15619" w:rsidR="007202EC" w:rsidRPr="00990E5D" w:rsidRDefault="007202EC" w:rsidP="00A17971">
      <w:r w:rsidRPr="00990E5D">
        <w:t>1.1.</w:t>
      </w:r>
      <w:r w:rsidR="00C74ED6" w:rsidRPr="00990E5D">
        <w:t>8</w:t>
      </w:r>
      <w:r w:rsidRPr="00990E5D">
        <w:tab/>
        <w:t>las ETEM no reclamarán protección contra las estaciones terrenas de los enlaces de conexión del SRS que funcionen en la banda de frecuencias 17,7-18,4</w:t>
      </w:r>
      <w:r w:rsidR="008D5E33" w:rsidRPr="00990E5D">
        <w:t> </w:t>
      </w:r>
      <w:r w:rsidRPr="00990E5D">
        <w:t>GHz de conformidad con el Reglamento de Radiocomunicaciones;</w:t>
      </w:r>
    </w:p>
    <w:p w14:paraId="3ACE2EF5" w14:textId="0620B648" w:rsidR="007202EC" w:rsidRPr="00990E5D" w:rsidRDefault="007202EC" w:rsidP="007202EC">
      <w:r w:rsidRPr="00990E5D">
        <w:t>1.2</w:t>
      </w:r>
      <w:r w:rsidRPr="00990E5D">
        <w:tab/>
        <w:t>en lo que respecta a los servicios terrenales en las bandas de frecuencias 17,7</w:t>
      </w:r>
      <w:r w:rsidRPr="00990E5D">
        <w:noBreakHyphen/>
        <w:t>19,7 GHz y</w:t>
      </w:r>
      <w:r w:rsidR="00B9186C" w:rsidRPr="00990E5D">
        <w:t> </w:t>
      </w:r>
      <w:r w:rsidRPr="00990E5D">
        <w:t>27,5-29,5</w:t>
      </w:r>
      <w:r w:rsidR="008D5E33" w:rsidRPr="00990E5D">
        <w:t> </w:t>
      </w:r>
      <w:r w:rsidRPr="00990E5D">
        <w:t>GHz, las ETEM deberán cumplir las siguientes condiciones:</w:t>
      </w:r>
    </w:p>
    <w:p w14:paraId="12EC4CD7" w14:textId="4D7B35F4" w:rsidR="007202EC" w:rsidRPr="00990E5D" w:rsidRDefault="007202EC" w:rsidP="00A17971">
      <w:r w:rsidRPr="00990E5D">
        <w:t>1.2.1</w:t>
      </w:r>
      <w:r w:rsidRPr="00990E5D">
        <w:tab/>
        <w:t>las ETEM receptoras en la banda de frecuencias 17,7-19,7</w:t>
      </w:r>
      <w:r w:rsidR="008D5E33" w:rsidRPr="00990E5D">
        <w:t> </w:t>
      </w:r>
      <w:r w:rsidRPr="00990E5D">
        <w:t>GHz no reclamarán protección contra los servicios terrenales en la banda de frecuencias anteriormente citada que funcionen de conformidad con el Reglamento de Radiocomunicaciones;</w:t>
      </w:r>
    </w:p>
    <w:p w14:paraId="0E4C93CC" w14:textId="269B7727" w:rsidR="007202EC" w:rsidRPr="00990E5D" w:rsidRDefault="007202EC" w:rsidP="00A17971">
      <w:r w:rsidRPr="00990E5D">
        <w:t>1.2.2</w:t>
      </w:r>
      <w:r w:rsidRPr="00990E5D">
        <w:tab/>
        <w:t>las ETEM aeronáuticas y marítimas que transmitan en la banda de frecuencias 27,5</w:t>
      </w:r>
      <w:r w:rsidRPr="00990E5D">
        <w:noBreakHyphen/>
        <w:t>29,5 GHz no causarán interferencia inaceptable a los servicios terrenales en la banda de frecuencias anteriormente citada que funcionen de conformidad con el Reglamento de Radiocomunicaciones, siendo de aplicación el Anexo</w:t>
      </w:r>
      <w:r w:rsidR="008D5E33" w:rsidRPr="00990E5D">
        <w:t> </w:t>
      </w:r>
      <w:r w:rsidRPr="00990E5D">
        <w:t>2;</w:t>
      </w:r>
    </w:p>
    <w:p w14:paraId="2ACEBBB9" w14:textId="15C507B2" w:rsidR="007202EC" w:rsidRPr="00990E5D" w:rsidRDefault="007202EC" w:rsidP="00A17971">
      <w:r w:rsidRPr="00990E5D">
        <w:t>1.2.3</w:t>
      </w:r>
      <w:r w:rsidRPr="00990E5D">
        <w:tab/>
        <w:t>las ETEM terrestres que transmitan en la banda de frecuencias 27,5-29,5</w:t>
      </w:r>
      <w:r w:rsidR="008D5E33" w:rsidRPr="00990E5D">
        <w:t> </w:t>
      </w:r>
      <w:r w:rsidRPr="00990E5D">
        <w:t>GHz no causarán interferencia inaceptable a los servicios terrenales de países limítrofes en la banda de frecuencias anteriormente citada que funcionen de conformidad con el Reglamento de Radiocomunicaciones;</w:t>
      </w:r>
    </w:p>
    <w:p w14:paraId="63297FB2" w14:textId="0BDE2056" w:rsidR="007202EC" w:rsidRPr="00990E5D" w:rsidRDefault="007202EC" w:rsidP="007202EC">
      <w:r w:rsidRPr="00990E5D">
        <w:t>1.2.4</w:t>
      </w:r>
      <w:r w:rsidRPr="00990E5D">
        <w:tab/>
        <w:t xml:space="preserve">para la aplicación de los </w:t>
      </w:r>
      <w:r w:rsidRPr="00990E5D">
        <w:rPr>
          <w:i/>
        </w:rPr>
        <w:t>resuelve</w:t>
      </w:r>
      <w:r w:rsidR="008D5E33" w:rsidRPr="00990E5D">
        <w:t> </w:t>
      </w:r>
      <w:r w:rsidRPr="00990E5D">
        <w:t>1.2.2 y</w:t>
      </w:r>
      <w:r w:rsidR="008D5E33" w:rsidRPr="00990E5D">
        <w:t> </w:t>
      </w:r>
      <w:r w:rsidRPr="00990E5D">
        <w:t xml:space="preserve">1.2.3 </w:t>
      </w:r>
      <w:r w:rsidRPr="00990E5D">
        <w:rPr>
          <w:i/>
        </w:rPr>
        <w:t>supra</w:t>
      </w:r>
      <w:r w:rsidRPr="00990E5D">
        <w:t>, la administración notificante responsable de la red de satélites del SFS OSG con la que se comunica la ETEM deberá presentar a la Oficina, junto con los datos del Apéndice</w:t>
      </w:r>
      <w:r w:rsidR="008D5E33" w:rsidRPr="00990E5D">
        <w:t> </w:t>
      </w:r>
      <w:r w:rsidRPr="00990E5D">
        <w:rPr>
          <w:b/>
        </w:rPr>
        <w:t>4</w:t>
      </w:r>
      <w:r w:rsidRPr="00990E5D">
        <w:t xml:space="preserve"> a los que se refiere el </w:t>
      </w:r>
      <w:r w:rsidRPr="00990E5D">
        <w:rPr>
          <w:i/>
        </w:rPr>
        <w:t>resuelve</w:t>
      </w:r>
      <w:r w:rsidRPr="00990E5D">
        <w:t> 1.1.</w:t>
      </w:r>
      <w:r w:rsidR="007B2A1A" w:rsidRPr="00990E5D">
        <w:t>3</w:t>
      </w:r>
      <w:r w:rsidRPr="00990E5D">
        <w:t>, un compromiso en virtud del cual, cuando se reciba un informe de interferencia inaceptable, se adoptarán las medidas necesarias para suprimir o reducir la interferencia a un nivel aceptable con carácter inmediato;</w:t>
      </w:r>
    </w:p>
    <w:p w14:paraId="1EE93360" w14:textId="3E296C09" w:rsidR="007202EC" w:rsidRPr="00990E5D" w:rsidRDefault="007202EC" w:rsidP="007202EC">
      <w:r w:rsidRPr="00990E5D">
        <w:t>1.2.5</w:t>
      </w:r>
      <w:r w:rsidRPr="00990E5D">
        <w:tab/>
        <w:t xml:space="preserve">para la aplicación del </w:t>
      </w:r>
      <w:r w:rsidRPr="00990E5D">
        <w:rPr>
          <w:i/>
          <w:iCs/>
        </w:rPr>
        <w:t>resuelve</w:t>
      </w:r>
      <w:r w:rsidR="008D5E33" w:rsidRPr="00990E5D">
        <w:t> </w:t>
      </w:r>
      <w:r w:rsidRPr="00990E5D">
        <w:t xml:space="preserve">1.2.2 </w:t>
      </w:r>
      <w:r w:rsidRPr="00990E5D">
        <w:rPr>
          <w:i/>
          <w:iCs/>
        </w:rPr>
        <w:t>supra</w:t>
      </w:r>
      <w:r w:rsidRPr="00990E5D">
        <w:t>, se considerará que toda ETEM aeronáutica o marítima transmisora que sea conforme con los requisitos del Anexo</w:t>
      </w:r>
      <w:r w:rsidR="008D5E33" w:rsidRPr="00990E5D">
        <w:t> </w:t>
      </w:r>
      <w:r w:rsidRPr="00990E5D">
        <w:t>2 a la presente Resolución ha satisfecho sus obligaciones con las estaciones terrenales;</w:t>
      </w:r>
    </w:p>
    <w:p w14:paraId="653EA545" w14:textId="49E601B6" w:rsidR="007202EC" w:rsidRPr="00990E5D" w:rsidRDefault="007202EC" w:rsidP="00A17971">
      <w:r w:rsidRPr="00990E5D">
        <w:t>2</w:t>
      </w:r>
      <w:r w:rsidRPr="00990E5D">
        <w:tab/>
        <w:t xml:space="preserve">que </w:t>
      </w:r>
      <w:r w:rsidR="002662DE" w:rsidRPr="00990E5D">
        <w:t xml:space="preserve">no </w:t>
      </w:r>
      <w:r w:rsidR="007B2A1A" w:rsidRPr="00990E5D">
        <w:t xml:space="preserve">se confíe en </w:t>
      </w:r>
      <w:r w:rsidRPr="00990E5D">
        <w:t xml:space="preserve">las ETEM </w:t>
      </w:r>
      <w:r w:rsidR="007B2A1A" w:rsidRPr="00990E5D">
        <w:t>para</w:t>
      </w:r>
      <w:r w:rsidRPr="00990E5D">
        <w:t xml:space="preserve"> aplicaciones de seguridad de la vida humana;</w:t>
      </w:r>
    </w:p>
    <w:p w14:paraId="3D5D8BB6" w14:textId="570ECCE8" w:rsidR="007202EC" w:rsidRPr="00990E5D" w:rsidRDefault="00C74ED6" w:rsidP="007202EC">
      <w:r w:rsidRPr="00990E5D">
        <w:t>3</w:t>
      </w:r>
      <w:r w:rsidR="007202EC" w:rsidRPr="00990E5D">
        <w:tab/>
        <w:t>que la administración responsable de la red de satélites del SFS OSG con la que se comunica la ETEM garantice:</w:t>
      </w:r>
    </w:p>
    <w:p w14:paraId="48C59DE8" w14:textId="34CB7F02" w:rsidR="007202EC" w:rsidRPr="00990E5D" w:rsidRDefault="00C74ED6" w:rsidP="007202EC">
      <w:r w:rsidRPr="00990E5D">
        <w:t>3</w:t>
      </w:r>
      <w:r w:rsidR="007202EC" w:rsidRPr="00990E5D">
        <w:t>.1</w:t>
      </w:r>
      <w:r w:rsidR="007202EC" w:rsidRPr="00990E5D">
        <w:tab/>
        <w:t>que</w:t>
      </w:r>
      <w:r w:rsidR="007B2A1A" w:rsidRPr="00990E5D">
        <w:t>,</w:t>
      </w:r>
      <w:r w:rsidR="007202EC" w:rsidRPr="00990E5D">
        <w:t xml:space="preserve"> para el funcionamiento de la ETEM</w:t>
      </w:r>
      <w:r w:rsidR="007B2A1A" w:rsidRPr="00990E5D">
        <w:t>,</w:t>
      </w:r>
      <w:r w:rsidR="007202EC" w:rsidRPr="00990E5D">
        <w:t xml:space="preserve"> se utilizan de técnicas de mantenimiento de la precisión del apuntamiento respecto del satélite del SFS OSG asociado sin rastrear involuntariamente los satélites OSG adyacentes;</w:t>
      </w:r>
    </w:p>
    <w:p w14:paraId="6047B07C" w14:textId="304FD071" w:rsidR="007202EC" w:rsidRPr="00990E5D" w:rsidRDefault="00C74ED6" w:rsidP="00A17971">
      <w:r w:rsidRPr="00990E5D">
        <w:t>3</w:t>
      </w:r>
      <w:r w:rsidR="007202EC" w:rsidRPr="00990E5D">
        <w:t>.2</w:t>
      </w:r>
      <w:r w:rsidR="007202EC" w:rsidRPr="00990E5D">
        <w:tab/>
        <w:t>que se adoptan todas las medidas que sean necesarias para que la ETEM sea objeto de supervisión y control permanentes por un Centro de Control y Supervisión de la Red (CCSR) o una entidad equivalente y sea capaz de recibir y ejecutar, como mínimo, las instrucciones de «habilitar la transmisión» e «inhabilitar la transmisión» del CCSR o equivalente;</w:t>
      </w:r>
    </w:p>
    <w:p w14:paraId="394A71C5" w14:textId="2ED2A4C5" w:rsidR="007202EC" w:rsidRPr="00990E5D" w:rsidRDefault="00C74ED6" w:rsidP="007202EC">
      <w:r w:rsidRPr="00990E5D">
        <w:t>3</w:t>
      </w:r>
      <w:r w:rsidR="007202EC" w:rsidRPr="00990E5D">
        <w:t>.3</w:t>
      </w:r>
      <w:r w:rsidR="007202EC" w:rsidRPr="00990E5D">
        <w:tab/>
        <w:t>que, cuando sea necesario, se adopten medidas para limitar el funcionamiento de ETEM al territorio o los territorios bajo jurisdicción de las administraciones que autorizan las ETEM;</w:t>
      </w:r>
    </w:p>
    <w:p w14:paraId="77FB5B8B" w14:textId="65E80054" w:rsidR="007202EC" w:rsidRPr="00990E5D" w:rsidRDefault="00C74ED6" w:rsidP="007202EC">
      <w:r w:rsidRPr="00990E5D">
        <w:lastRenderedPageBreak/>
        <w:t>3</w:t>
      </w:r>
      <w:r w:rsidR="007202EC" w:rsidRPr="00990E5D">
        <w:t>.4</w:t>
      </w:r>
      <w:r w:rsidR="007202EC" w:rsidRPr="00990E5D">
        <w:tab/>
        <w:t>que se establezca un punto de contacto con el fin de localizar todo caso sospechoso de interferencia inaceptable provocada por ETEM;</w:t>
      </w:r>
    </w:p>
    <w:p w14:paraId="00F3E08E" w14:textId="056241C3" w:rsidR="007202EC" w:rsidRPr="00990E5D" w:rsidRDefault="00C74ED6" w:rsidP="007202EC">
      <w:r w:rsidRPr="00990E5D">
        <w:t>4</w:t>
      </w:r>
      <w:r w:rsidR="007202EC" w:rsidRPr="00990E5D">
        <w:tab/>
        <w:t>que en caso de interferencia inaceptable causada por cualquier tipo de ETEM:</w:t>
      </w:r>
    </w:p>
    <w:p w14:paraId="26FA6135" w14:textId="50BB39EE" w:rsidR="007202EC" w:rsidRPr="00990E5D" w:rsidRDefault="00C74ED6" w:rsidP="00A17971">
      <w:r w:rsidRPr="00990E5D">
        <w:t>4</w:t>
      </w:r>
      <w:r w:rsidR="007202EC" w:rsidRPr="00990E5D">
        <w:t>.1</w:t>
      </w:r>
      <w:r w:rsidR="007202EC" w:rsidRPr="00990E5D">
        <w:tab/>
        <w:t>la administración del país en el que est</w:t>
      </w:r>
      <w:r w:rsidR="005E670B" w:rsidRPr="00990E5D">
        <w:t>é</w:t>
      </w:r>
      <w:r w:rsidR="007202EC" w:rsidRPr="00990E5D">
        <w:t xml:space="preserve"> autorizada la ETEM cooper</w:t>
      </w:r>
      <w:r w:rsidR="005D7CE1" w:rsidRPr="00990E5D">
        <w:t>ará</w:t>
      </w:r>
      <w:r w:rsidR="007202EC" w:rsidRPr="00990E5D">
        <w:t xml:space="preserve"> en la correspondiente investigación y facilit</w:t>
      </w:r>
      <w:r w:rsidR="005D7CE1" w:rsidRPr="00990E5D">
        <w:t>ará</w:t>
      </w:r>
      <w:r w:rsidR="007202EC" w:rsidRPr="00990E5D">
        <w:t xml:space="preserve">, cuando sea posible, toda la información </w:t>
      </w:r>
      <w:r w:rsidR="005D7CE1" w:rsidRPr="00990E5D">
        <w:t>disponible</w:t>
      </w:r>
      <w:r w:rsidR="007202EC" w:rsidRPr="00990E5D">
        <w:t xml:space="preserve"> sobre el funcionamiento de la ETEM y un punto de contacto para proporcionar esa información;</w:t>
      </w:r>
    </w:p>
    <w:p w14:paraId="6E6FFBE1" w14:textId="583B807D" w:rsidR="007202EC" w:rsidRPr="00990E5D" w:rsidRDefault="00C74ED6" w:rsidP="007202EC">
      <w:r w:rsidRPr="00990E5D">
        <w:t>4</w:t>
      </w:r>
      <w:r w:rsidR="007202EC" w:rsidRPr="00990E5D">
        <w:t>.2</w:t>
      </w:r>
      <w:r w:rsidR="007202EC" w:rsidRPr="00990E5D">
        <w:tab/>
        <w:t xml:space="preserve">la administración del país en el que esté autorizada la ETEM y la administración notificante de la red de satélites con la que comunique la ETEM </w:t>
      </w:r>
      <w:r w:rsidR="005D7CE1" w:rsidRPr="00990E5D">
        <w:t>adoptarán</w:t>
      </w:r>
      <w:r w:rsidR="007202EC" w:rsidRPr="00990E5D">
        <w:t xml:space="preserve"> las medidas necesarias, de forma conjunta o independiente, según el caso, tras la recepción de un informe de interferencia, para suprimir o reducir la interferencia hasta un nivel aceptable;</w:t>
      </w:r>
    </w:p>
    <w:p w14:paraId="0E906FCE" w14:textId="1F0FD6E3" w:rsidR="007202EC" w:rsidRPr="00990E5D" w:rsidRDefault="00C74ED6" w:rsidP="007202EC">
      <w:r w:rsidRPr="00990E5D">
        <w:t>5</w:t>
      </w:r>
      <w:r w:rsidR="007202EC" w:rsidRPr="00990E5D">
        <w:tab/>
        <w:t>que la aplicación de la presente Resolución no otorgará a las ETEM una categoría reglamentaria distinta de la que se deriva de la red del SFS OSG con la que comunican, teniendo en cuenta las disposiciones a las que se refiere la presente Resolución,</w:t>
      </w:r>
    </w:p>
    <w:p w14:paraId="561DE10A" w14:textId="77777777" w:rsidR="007202EC" w:rsidRPr="00990E5D" w:rsidRDefault="007202EC" w:rsidP="007202EC">
      <w:pPr>
        <w:pStyle w:val="Call"/>
      </w:pPr>
      <w:r w:rsidRPr="00990E5D">
        <w:rPr>
          <w:lang w:eastAsia="en-GB"/>
        </w:rPr>
        <w:t>encarga al Director de la Oficina de Radiocomunicaciones</w:t>
      </w:r>
    </w:p>
    <w:p w14:paraId="534F271B" w14:textId="77777777" w:rsidR="007202EC" w:rsidRPr="00990E5D" w:rsidRDefault="007202EC" w:rsidP="00A17971">
      <w:r w:rsidRPr="00990E5D">
        <w:t>1</w:t>
      </w:r>
      <w:r w:rsidRPr="00990E5D">
        <w:tab/>
        <w:t>que adopte las medidas necesarias para la aplicación de la presente Resolución;</w:t>
      </w:r>
    </w:p>
    <w:p w14:paraId="1E9C14EC" w14:textId="3138B01C" w:rsidR="007202EC" w:rsidRPr="00990E5D" w:rsidRDefault="007202EC" w:rsidP="007202EC">
      <w:r w:rsidRPr="00990E5D">
        <w:t>2</w:t>
      </w:r>
      <w:r w:rsidRPr="00990E5D">
        <w:tab/>
        <w:t>que adopte las medidas necesarias para facilitar la aplicación de la presente Resolución, incluida la prestación de asistencia para resolver la interferencia, llegado el caso</w:t>
      </w:r>
      <w:r w:rsidR="00C74ED6" w:rsidRPr="00990E5D">
        <w:t>,</w:t>
      </w:r>
    </w:p>
    <w:p w14:paraId="4E2FC0FA" w14:textId="098D4455" w:rsidR="007202EC" w:rsidRPr="00990E5D" w:rsidRDefault="007202EC" w:rsidP="007202EC">
      <w:pPr>
        <w:pStyle w:val="Call"/>
      </w:pPr>
      <w:r w:rsidRPr="00990E5D">
        <w:t>invita a las administraciones</w:t>
      </w:r>
    </w:p>
    <w:p w14:paraId="0B83373D" w14:textId="0FCD647C" w:rsidR="00C74ED6" w:rsidRPr="00990E5D" w:rsidRDefault="00C74ED6" w:rsidP="00C74ED6">
      <w:r w:rsidRPr="00990E5D">
        <w:t>1</w:t>
      </w:r>
      <w:r w:rsidRPr="00990E5D">
        <w:tab/>
        <w:t>a que, cuando se asignen frecuencias para las ETEM, se consideren como guía las disposiciones del Anexo 2 de esta resolución, cuando sea factible, para ayudar a la administración a facilitar la protección de los servicios terrenales, cuando proceda;</w:t>
      </w:r>
    </w:p>
    <w:p w14:paraId="5A00A441" w14:textId="68E28BED" w:rsidR="007202EC" w:rsidRPr="00990E5D" w:rsidRDefault="00C74ED6" w:rsidP="007202EC">
      <w:r w:rsidRPr="00990E5D">
        <w:t>2</w:t>
      </w:r>
      <w:r w:rsidR="007202EC" w:rsidRPr="00990E5D">
        <w:tab/>
        <w:t>a colaborar, en la medida de lo posible, en la aplicación de la presente Resolución, en particular para resolver la interferencia, llegado el caso</w:t>
      </w:r>
      <w:r w:rsidRPr="00990E5D">
        <w:t>,</w:t>
      </w:r>
    </w:p>
    <w:p w14:paraId="65AA2C59" w14:textId="77777777" w:rsidR="007202EC" w:rsidRPr="00990E5D" w:rsidRDefault="007202EC" w:rsidP="007202EC">
      <w:pPr>
        <w:pStyle w:val="Call"/>
      </w:pPr>
      <w:r w:rsidRPr="00990E5D">
        <w:t>encarga al Secretario General</w:t>
      </w:r>
    </w:p>
    <w:p w14:paraId="4C745143" w14:textId="77777777" w:rsidR="007202EC" w:rsidRPr="00990E5D" w:rsidRDefault="007202EC" w:rsidP="007202EC">
      <w:r w:rsidRPr="00990E5D">
        <w:t>que señale la presente Resolución a la atención de la Secretaría General de la Organización Marítima Internacional (OMI) y de la Secretaría General de la Organización de la Aviación Civil Internacional (OACI).</w:t>
      </w:r>
    </w:p>
    <w:p w14:paraId="255E45A4" w14:textId="3D537E3E" w:rsidR="007202EC" w:rsidRPr="00990E5D" w:rsidRDefault="007202EC" w:rsidP="007202EC">
      <w:pPr>
        <w:pStyle w:val="AnnexNo"/>
      </w:pPr>
      <w:r w:rsidRPr="00990E5D">
        <w:t>ANEXO 1 AL PROYECTO DE NUEVA RESOLUCIÓN [</w:t>
      </w:r>
      <w:r w:rsidR="00C74ED6" w:rsidRPr="00990E5D">
        <w:t>SMO/VUT/</w:t>
      </w:r>
      <w:r w:rsidRPr="00990E5D">
        <w:t>A15] (CMR</w:t>
      </w:r>
      <w:r w:rsidR="00C74ED6" w:rsidRPr="00990E5D">
        <w:noBreakHyphen/>
      </w:r>
      <w:r w:rsidRPr="00990E5D">
        <w:t>19)</w:t>
      </w:r>
    </w:p>
    <w:p w14:paraId="2CA2774D" w14:textId="7EC31CBC" w:rsidR="007202EC" w:rsidRPr="00990E5D" w:rsidRDefault="007202EC" w:rsidP="007202EC">
      <w:pPr>
        <w:pStyle w:val="Annextitle"/>
      </w:pPr>
      <w:r w:rsidRPr="00990E5D">
        <w:t xml:space="preserve">Disposiciones para que las ETEM protejan los servicios </w:t>
      </w:r>
      <w:r w:rsidRPr="00990E5D">
        <w:br/>
        <w:t>espaciales en la banda de frecuencias 27,5-2</w:t>
      </w:r>
      <w:r w:rsidR="00C74ED6" w:rsidRPr="00990E5D">
        <w:t>8</w:t>
      </w:r>
      <w:r w:rsidRPr="00990E5D">
        <w:t>,</w:t>
      </w:r>
      <w:r w:rsidR="00C74ED6" w:rsidRPr="00990E5D">
        <w:t>6</w:t>
      </w:r>
      <w:r w:rsidR="008D5E33" w:rsidRPr="00990E5D">
        <w:t> </w:t>
      </w:r>
      <w:r w:rsidRPr="00990E5D">
        <w:t>GHz</w:t>
      </w:r>
    </w:p>
    <w:p w14:paraId="6FC78CD4" w14:textId="77777777" w:rsidR="007202EC" w:rsidRPr="00990E5D" w:rsidRDefault="007202EC" w:rsidP="007202EC">
      <w:pPr>
        <w:pStyle w:val="Normalaftertitle0"/>
      </w:pPr>
      <w:r w:rsidRPr="00990E5D">
        <w:t>1</w:t>
      </w:r>
      <w:r w:rsidRPr="00990E5D">
        <w:tab/>
        <w:t xml:space="preserve">Con el fin de proteger los sistemas del SFS no OSG a los que se refiere el </w:t>
      </w:r>
      <w:r w:rsidRPr="00990E5D">
        <w:rPr>
          <w:i/>
        </w:rPr>
        <w:t>resuelve </w:t>
      </w:r>
      <w:r w:rsidRPr="00990E5D">
        <w:t>1.1.6 de la presente Resolución, las ETEM deberán cumplir las siguientes disposiciones:</w:t>
      </w:r>
    </w:p>
    <w:p w14:paraId="55728246" w14:textId="5025ECC1" w:rsidR="007202EC" w:rsidRPr="00990E5D" w:rsidRDefault="007202EC" w:rsidP="007202EC">
      <w:r w:rsidRPr="00990E5D">
        <w:rPr>
          <w:i/>
          <w:iCs/>
        </w:rPr>
        <w:t>a)</w:t>
      </w:r>
      <w:r w:rsidRPr="00990E5D">
        <w:tab/>
        <w:t>el nivel de densidad de potencia isótropa radiada equivalente (p.i.r.e.) emitido por una ETEM de una red de satélites geoestacionarios en la banda de frecuencias 27,5</w:t>
      </w:r>
      <w:r w:rsidRPr="00990E5D">
        <w:noBreakHyphen/>
        <w:t xml:space="preserve">28,6 GHz no sobrepasará los siguientes valores para ningún ángulo </w:t>
      </w:r>
      <w:r w:rsidRPr="00990E5D">
        <w:sym w:font="Symbol" w:char="F06A"/>
      </w:r>
      <w:r w:rsidRPr="00990E5D">
        <w:t xml:space="preserve"> fuera del eje que sea igual o superior a 3° con respecto al eje del lóbulo principal de la antena de la ETEM y fuera de los 3° de la OSG:</w:t>
      </w:r>
    </w:p>
    <w:tbl>
      <w:tblPr>
        <w:tblW w:w="0" w:type="auto"/>
        <w:jc w:val="center"/>
        <w:tblCellMar>
          <w:left w:w="0" w:type="dxa"/>
          <w:right w:w="0" w:type="dxa"/>
        </w:tblCellMar>
        <w:tblLook w:val="0000" w:firstRow="0" w:lastRow="0" w:firstColumn="0" w:lastColumn="0" w:noHBand="0" w:noVBand="0"/>
      </w:tblPr>
      <w:tblGrid>
        <w:gridCol w:w="1985"/>
        <w:gridCol w:w="1264"/>
        <w:gridCol w:w="2938"/>
      </w:tblGrid>
      <w:tr w:rsidR="007202EC" w:rsidRPr="00990E5D" w14:paraId="3338143A" w14:textId="77777777" w:rsidTr="007202EC">
        <w:trPr>
          <w:jc w:val="center"/>
        </w:trPr>
        <w:tc>
          <w:tcPr>
            <w:tcW w:w="1985" w:type="dxa"/>
          </w:tcPr>
          <w:p w14:paraId="071064BE" w14:textId="77777777" w:rsidR="007202EC" w:rsidRPr="00990E5D" w:rsidRDefault="007202EC" w:rsidP="00A17971">
            <w:pPr>
              <w:keepNext/>
              <w:keepLines/>
              <w:tabs>
                <w:tab w:val="clear" w:pos="2268"/>
                <w:tab w:val="decimal" w:pos="249"/>
                <w:tab w:val="left" w:pos="2608"/>
                <w:tab w:val="left" w:pos="3345"/>
              </w:tabs>
              <w:spacing w:before="80"/>
              <w:jc w:val="center"/>
              <w:rPr>
                <w:i/>
                <w:color w:val="000000"/>
              </w:rPr>
            </w:pPr>
            <w:r w:rsidRPr="00990E5D">
              <w:rPr>
                <w:i/>
                <w:iCs/>
                <w:color w:val="000000"/>
              </w:rPr>
              <w:lastRenderedPageBreak/>
              <w:t>Ángulo fuera del eje</w:t>
            </w:r>
          </w:p>
        </w:tc>
        <w:tc>
          <w:tcPr>
            <w:tcW w:w="1264" w:type="dxa"/>
          </w:tcPr>
          <w:p w14:paraId="1AF591BC" w14:textId="77777777" w:rsidR="007202EC" w:rsidRPr="00990E5D" w:rsidRDefault="007202EC" w:rsidP="00A17971">
            <w:pPr>
              <w:keepNext/>
              <w:keepLines/>
              <w:tabs>
                <w:tab w:val="clear" w:pos="2268"/>
                <w:tab w:val="left" w:pos="2608"/>
                <w:tab w:val="left" w:pos="3345"/>
              </w:tabs>
              <w:spacing w:before="80"/>
              <w:jc w:val="center"/>
              <w:rPr>
                <w:i/>
                <w:color w:val="000000"/>
              </w:rPr>
            </w:pPr>
          </w:p>
        </w:tc>
        <w:tc>
          <w:tcPr>
            <w:tcW w:w="2938" w:type="dxa"/>
          </w:tcPr>
          <w:p w14:paraId="59E4A26D" w14:textId="77777777" w:rsidR="007202EC" w:rsidRPr="00990E5D" w:rsidRDefault="007202EC" w:rsidP="00A17971">
            <w:pPr>
              <w:keepNext/>
              <w:keepLines/>
              <w:tabs>
                <w:tab w:val="clear" w:pos="2268"/>
                <w:tab w:val="left" w:pos="319"/>
                <w:tab w:val="left" w:pos="2608"/>
                <w:tab w:val="left" w:pos="3345"/>
              </w:tabs>
              <w:spacing w:before="80"/>
              <w:jc w:val="center"/>
              <w:rPr>
                <w:i/>
                <w:color w:val="000000"/>
              </w:rPr>
            </w:pPr>
            <w:r w:rsidRPr="00990E5D">
              <w:rPr>
                <w:i/>
                <w:iCs/>
                <w:color w:val="000000"/>
              </w:rPr>
              <w:t>Densidad de p.i.r.e. máxima</w:t>
            </w:r>
          </w:p>
        </w:tc>
      </w:tr>
      <w:tr w:rsidR="007202EC" w:rsidRPr="00990E5D" w14:paraId="1D593846" w14:textId="77777777" w:rsidTr="007202EC">
        <w:trPr>
          <w:jc w:val="center"/>
        </w:trPr>
        <w:tc>
          <w:tcPr>
            <w:tcW w:w="1985" w:type="dxa"/>
            <w:vAlign w:val="bottom"/>
          </w:tcPr>
          <w:p w14:paraId="096CCCBD" w14:textId="77777777" w:rsidR="007202EC" w:rsidRPr="00990E5D" w:rsidRDefault="007202EC" w:rsidP="00A17971">
            <w:pPr>
              <w:keepNext/>
              <w:keepLines/>
              <w:tabs>
                <w:tab w:val="clear" w:pos="1134"/>
                <w:tab w:val="clear" w:pos="1871"/>
                <w:tab w:val="clear" w:pos="2268"/>
                <w:tab w:val="left" w:pos="567"/>
                <w:tab w:val="left" w:pos="794"/>
                <w:tab w:val="left" w:pos="1021"/>
                <w:tab w:val="left" w:pos="1247"/>
              </w:tabs>
              <w:spacing w:before="80"/>
              <w:rPr>
                <w:color w:val="000000"/>
              </w:rPr>
            </w:pPr>
            <w:r w:rsidRPr="00990E5D">
              <w:rPr>
                <w:color w:val="000000"/>
              </w:rPr>
              <w:t> </w:t>
            </w:r>
            <w:r w:rsidRPr="00990E5D">
              <w:rPr>
                <w:color w:val="000000"/>
              </w:rPr>
              <w:t>3</w:t>
            </w:r>
            <w:r w:rsidRPr="00990E5D">
              <w:rPr>
                <w:rFonts w:ascii="Symbol" w:hAnsi="Symbol"/>
                <w:color w:val="000000"/>
              </w:rPr>
              <w:t></w:t>
            </w:r>
            <w:r w:rsidRPr="00990E5D">
              <w:rPr>
                <w:rFonts w:ascii="Symbol" w:hAnsi="Symbol"/>
                <w:color w:val="000000"/>
              </w:rPr>
              <w:tab/>
            </w:r>
            <w:r w:rsidRPr="00990E5D">
              <w:rPr>
                <w:rFonts w:ascii="Symbol" w:hAnsi="Symbol"/>
                <w:color w:val="000000"/>
              </w:rPr>
              <w:t></w:t>
            </w:r>
            <w:r w:rsidRPr="00990E5D">
              <w:rPr>
                <w:color w:val="000000"/>
              </w:rPr>
              <w:tab/>
            </w:r>
            <w:r w:rsidRPr="00990E5D">
              <w:rPr>
                <w:rFonts w:ascii="Symbol" w:hAnsi="Symbol"/>
                <w:color w:val="000000"/>
              </w:rPr>
              <w:t></w:t>
            </w:r>
            <w:r w:rsidRPr="00990E5D">
              <w:rPr>
                <w:color w:val="000000"/>
              </w:rPr>
              <w:tab/>
            </w:r>
            <w:r w:rsidRPr="00990E5D">
              <w:rPr>
                <w:rFonts w:ascii="Symbol" w:hAnsi="Symbol"/>
                <w:color w:val="000000"/>
              </w:rPr>
              <w:t></w:t>
            </w:r>
            <w:r w:rsidRPr="00990E5D">
              <w:rPr>
                <w:color w:val="000000"/>
              </w:rPr>
              <w:tab/>
              <w:t>7</w:t>
            </w:r>
            <w:r w:rsidRPr="00990E5D">
              <w:rPr>
                <w:rFonts w:ascii="Symbol" w:hAnsi="Symbol"/>
                <w:color w:val="000000"/>
              </w:rPr>
              <w:t></w:t>
            </w:r>
          </w:p>
        </w:tc>
        <w:tc>
          <w:tcPr>
            <w:tcW w:w="1264" w:type="dxa"/>
            <w:vAlign w:val="bottom"/>
          </w:tcPr>
          <w:p w14:paraId="2DF73611" w14:textId="77777777" w:rsidR="007202EC" w:rsidRPr="00990E5D" w:rsidRDefault="007202EC" w:rsidP="00A17971">
            <w:pPr>
              <w:keepNext/>
              <w:keepLines/>
              <w:tabs>
                <w:tab w:val="clear" w:pos="2268"/>
                <w:tab w:val="left" w:pos="390"/>
                <w:tab w:val="left" w:pos="2608"/>
                <w:tab w:val="left" w:pos="3345"/>
              </w:tabs>
              <w:spacing w:before="80"/>
              <w:rPr>
                <w:color w:val="000000"/>
              </w:rPr>
            </w:pPr>
          </w:p>
        </w:tc>
        <w:tc>
          <w:tcPr>
            <w:tcW w:w="2938" w:type="dxa"/>
            <w:vAlign w:val="bottom"/>
          </w:tcPr>
          <w:p w14:paraId="7FE207FC" w14:textId="00821912" w:rsidR="007202EC" w:rsidRPr="00990E5D" w:rsidRDefault="007202EC" w:rsidP="00A17971">
            <w:pPr>
              <w:keepNext/>
              <w:keepLines/>
              <w:tabs>
                <w:tab w:val="clear" w:pos="1134"/>
                <w:tab w:val="clear" w:pos="1871"/>
                <w:tab w:val="clear" w:pos="2268"/>
                <w:tab w:val="left" w:pos="1474"/>
              </w:tabs>
              <w:spacing w:before="80"/>
              <w:ind w:firstLine="7"/>
              <w:rPr>
                <w:color w:val="000000"/>
              </w:rPr>
            </w:pPr>
            <w:r w:rsidRPr="00990E5D">
              <w:rPr>
                <w:color w:val="000000"/>
              </w:rPr>
              <w:t>28</w:t>
            </w:r>
            <w:r w:rsidR="008D5E33" w:rsidRPr="00990E5D">
              <w:t> </w:t>
            </w:r>
            <w:r w:rsidRPr="00990E5D">
              <w:rPr>
                <w:color w:val="000000"/>
              </w:rPr>
              <w:t>–</w:t>
            </w:r>
            <w:r w:rsidR="008D5E33" w:rsidRPr="00990E5D">
              <w:t> </w:t>
            </w:r>
            <w:r w:rsidRPr="00990E5D">
              <w:rPr>
                <w:color w:val="000000"/>
              </w:rPr>
              <w:t>25</w:t>
            </w:r>
            <w:r w:rsidR="008D5E33" w:rsidRPr="00990E5D">
              <w:t> </w:t>
            </w:r>
            <w:r w:rsidRPr="00990E5D">
              <w:rPr>
                <w:color w:val="000000"/>
              </w:rPr>
              <w:t xml:space="preserve">log </w:t>
            </w:r>
            <w:r w:rsidRPr="00990E5D">
              <w:rPr>
                <w:rFonts w:ascii="Symbol" w:hAnsi="Symbol"/>
                <w:color w:val="000000"/>
              </w:rPr>
              <w:t></w:t>
            </w:r>
            <w:r w:rsidRPr="00990E5D">
              <w:rPr>
                <w:rFonts w:ascii="Symbol" w:hAnsi="Symbol"/>
                <w:color w:val="000000"/>
              </w:rPr>
              <w:t></w:t>
            </w:r>
            <w:r w:rsidRPr="00990E5D">
              <w:rPr>
                <w:color w:val="000000"/>
              </w:rPr>
              <w:t>dB(W/40</w:t>
            </w:r>
            <w:r w:rsidR="008D5E33" w:rsidRPr="00990E5D">
              <w:t> </w:t>
            </w:r>
            <w:r w:rsidRPr="00990E5D">
              <w:rPr>
                <w:color w:val="000000"/>
              </w:rPr>
              <w:t>kHz)</w:t>
            </w:r>
          </w:p>
        </w:tc>
      </w:tr>
      <w:tr w:rsidR="007202EC" w:rsidRPr="00990E5D" w14:paraId="7BBCDDF4" w14:textId="77777777" w:rsidTr="007202EC">
        <w:trPr>
          <w:jc w:val="center"/>
        </w:trPr>
        <w:tc>
          <w:tcPr>
            <w:tcW w:w="1985" w:type="dxa"/>
            <w:vAlign w:val="bottom"/>
          </w:tcPr>
          <w:p w14:paraId="02D0944C" w14:textId="77777777" w:rsidR="007202EC" w:rsidRPr="00990E5D" w:rsidRDefault="007202EC" w:rsidP="00A17971">
            <w:pPr>
              <w:keepNext/>
              <w:keepLines/>
              <w:tabs>
                <w:tab w:val="clear" w:pos="1134"/>
                <w:tab w:val="clear" w:pos="1871"/>
                <w:tab w:val="clear" w:pos="2268"/>
                <w:tab w:val="left" w:pos="567"/>
                <w:tab w:val="left" w:pos="794"/>
                <w:tab w:val="left" w:pos="1021"/>
                <w:tab w:val="left" w:pos="1247"/>
              </w:tabs>
              <w:spacing w:before="0"/>
              <w:rPr>
                <w:color w:val="000000"/>
              </w:rPr>
            </w:pPr>
            <w:r w:rsidRPr="00990E5D">
              <w:rPr>
                <w:color w:val="000000"/>
              </w:rPr>
              <w:t> </w:t>
            </w:r>
            <w:r w:rsidRPr="00990E5D">
              <w:rPr>
                <w:color w:val="000000"/>
              </w:rPr>
              <w:t>7</w:t>
            </w:r>
            <w:r w:rsidRPr="00990E5D">
              <w:rPr>
                <w:rFonts w:ascii="Symbol" w:hAnsi="Symbol"/>
                <w:color w:val="000000"/>
              </w:rPr>
              <w:t></w:t>
            </w:r>
            <w:r w:rsidRPr="00990E5D">
              <w:rPr>
                <w:color w:val="000000"/>
              </w:rPr>
              <w:tab/>
            </w:r>
            <w:r w:rsidRPr="00990E5D">
              <w:rPr>
                <w:rFonts w:ascii="Symbol" w:hAnsi="Symbol"/>
                <w:color w:val="000000"/>
              </w:rPr>
              <w:t></w:t>
            </w:r>
            <w:r w:rsidRPr="00990E5D">
              <w:rPr>
                <w:color w:val="000000"/>
              </w:rPr>
              <w:tab/>
            </w:r>
            <w:r w:rsidRPr="00990E5D">
              <w:rPr>
                <w:rFonts w:ascii="Symbol" w:hAnsi="Symbol"/>
                <w:color w:val="000000"/>
              </w:rPr>
              <w:t></w:t>
            </w:r>
            <w:r w:rsidRPr="00990E5D">
              <w:rPr>
                <w:color w:val="000000"/>
              </w:rPr>
              <w:tab/>
            </w:r>
            <w:r w:rsidRPr="00990E5D">
              <w:rPr>
                <w:rFonts w:ascii="Symbol" w:hAnsi="Symbol"/>
                <w:color w:val="000000"/>
              </w:rPr>
              <w:t></w:t>
            </w:r>
            <w:r w:rsidRPr="00990E5D">
              <w:rPr>
                <w:color w:val="000000"/>
              </w:rPr>
              <w:tab/>
              <w:t>9,2</w:t>
            </w:r>
            <w:r w:rsidRPr="00990E5D">
              <w:rPr>
                <w:rFonts w:ascii="Symbol" w:hAnsi="Symbol"/>
                <w:color w:val="000000"/>
              </w:rPr>
              <w:t></w:t>
            </w:r>
          </w:p>
        </w:tc>
        <w:tc>
          <w:tcPr>
            <w:tcW w:w="1264" w:type="dxa"/>
            <w:vAlign w:val="bottom"/>
          </w:tcPr>
          <w:p w14:paraId="16D5EA4C" w14:textId="77777777" w:rsidR="007202EC" w:rsidRPr="00990E5D" w:rsidRDefault="007202EC" w:rsidP="00A17971">
            <w:pPr>
              <w:keepNext/>
              <w:keepLines/>
              <w:tabs>
                <w:tab w:val="clear" w:pos="2268"/>
                <w:tab w:val="left" w:pos="390"/>
                <w:tab w:val="left" w:pos="2608"/>
                <w:tab w:val="left" w:pos="3345"/>
              </w:tabs>
              <w:spacing w:before="0"/>
              <w:rPr>
                <w:color w:val="000000"/>
              </w:rPr>
            </w:pPr>
          </w:p>
        </w:tc>
        <w:tc>
          <w:tcPr>
            <w:tcW w:w="2938" w:type="dxa"/>
            <w:vAlign w:val="bottom"/>
          </w:tcPr>
          <w:p w14:paraId="278A326A" w14:textId="77777777" w:rsidR="007202EC" w:rsidRPr="00990E5D" w:rsidRDefault="007202EC" w:rsidP="00A17971">
            <w:pPr>
              <w:keepNext/>
              <w:keepLines/>
              <w:tabs>
                <w:tab w:val="clear" w:pos="1134"/>
                <w:tab w:val="clear" w:pos="1871"/>
                <w:tab w:val="clear" w:pos="2268"/>
                <w:tab w:val="left" w:pos="567"/>
                <w:tab w:val="left" w:pos="737"/>
                <w:tab w:val="left" w:pos="1474"/>
              </w:tabs>
              <w:spacing w:before="0"/>
              <w:rPr>
                <w:color w:val="000000"/>
              </w:rPr>
            </w:pPr>
            <w:r w:rsidRPr="00990E5D">
              <w:rPr>
                <w:color w:val="000000"/>
              </w:rPr>
              <w:t> </w:t>
            </w:r>
            <w:r w:rsidRPr="00990E5D">
              <w:rPr>
                <w:color w:val="000000"/>
              </w:rPr>
              <w:t>7 dB(W/40 kHz)</w:t>
            </w:r>
          </w:p>
        </w:tc>
      </w:tr>
      <w:tr w:rsidR="007202EC" w:rsidRPr="00990E5D" w14:paraId="6C08C6CF" w14:textId="77777777" w:rsidTr="007202EC">
        <w:trPr>
          <w:jc w:val="center"/>
        </w:trPr>
        <w:tc>
          <w:tcPr>
            <w:tcW w:w="1985" w:type="dxa"/>
            <w:vAlign w:val="bottom"/>
          </w:tcPr>
          <w:p w14:paraId="179BC47E" w14:textId="77777777" w:rsidR="007202EC" w:rsidRPr="00990E5D" w:rsidRDefault="007202EC" w:rsidP="00A17971">
            <w:pPr>
              <w:keepNext/>
              <w:keepLines/>
              <w:tabs>
                <w:tab w:val="clear" w:pos="1134"/>
                <w:tab w:val="clear" w:pos="1871"/>
                <w:tab w:val="clear" w:pos="2268"/>
                <w:tab w:val="left" w:pos="567"/>
                <w:tab w:val="left" w:pos="794"/>
                <w:tab w:val="left" w:pos="1021"/>
                <w:tab w:val="left" w:pos="1247"/>
              </w:tabs>
              <w:spacing w:before="0"/>
              <w:rPr>
                <w:color w:val="000000"/>
              </w:rPr>
            </w:pPr>
            <w:r w:rsidRPr="00990E5D">
              <w:rPr>
                <w:color w:val="000000"/>
              </w:rPr>
              <w:t> </w:t>
            </w:r>
            <w:r w:rsidRPr="00990E5D">
              <w:rPr>
                <w:color w:val="000000"/>
              </w:rPr>
              <w:t>9,2</w:t>
            </w:r>
            <w:r w:rsidRPr="00990E5D">
              <w:rPr>
                <w:rFonts w:ascii="Symbol" w:hAnsi="Symbol"/>
                <w:color w:val="000000"/>
              </w:rPr>
              <w:t></w:t>
            </w:r>
            <w:r w:rsidRPr="00990E5D">
              <w:rPr>
                <w:rFonts w:ascii="Symbol" w:hAnsi="Symbol"/>
                <w:color w:val="000000"/>
              </w:rPr>
              <w:tab/>
            </w:r>
            <w:r w:rsidRPr="00990E5D">
              <w:rPr>
                <w:rFonts w:ascii="Symbol" w:hAnsi="Symbol"/>
                <w:color w:val="000000"/>
              </w:rPr>
              <w:t></w:t>
            </w:r>
            <w:r w:rsidRPr="00990E5D">
              <w:rPr>
                <w:color w:val="000000"/>
              </w:rPr>
              <w:tab/>
            </w:r>
            <w:r w:rsidRPr="00990E5D">
              <w:rPr>
                <w:rFonts w:ascii="Symbol" w:hAnsi="Symbol"/>
                <w:color w:val="000000"/>
              </w:rPr>
              <w:t></w:t>
            </w:r>
            <w:r w:rsidRPr="00990E5D">
              <w:rPr>
                <w:color w:val="000000"/>
              </w:rPr>
              <w:tab/>
            </w:r>
            <w:r w:rsidRPr="00990E5D">
              <w:rPr>
                <w:rFonts w:ascii="Symbol" w:hAnsi="Symbol"/>
                <w:color w:val="000000"/>
              </w:rPr>
              <w:t></w:t>
            </w:r>
            <w:r w:rsidRPr="00990E5D">
              <w:rPr>
                <w:color w:val="000000"/>
              </w:rPr>
              <w:tab/>
              <w:t>48</w:t>
            </w:r>
            <w:r w:rsidRPr="00990E5D">
              <w:rPr>
                <w:rFonts w:ascii="Symbol" w:hAnsi="Symbol"/>
                <w:color w:val="000000"/>
              </w:rPr>
              <w:t></w:t>
            </w:r>
          </w:p>
        </w:tc>
        <w:tc>
          <w:tcPr>
            <w:tcW w:w="1264" w:type="dxa"/>
            <w:vAlign w:val="bottom"/>
          </w:tcPr>
          <w:p w14:paraId="4DCDCA26" w14:textId="77777777" w:rsidR="007202EC" w:rsidRPr="00990E5D" w:rsidRDefault="007202EC" w:rsidP="00A17971">
            <w:pPr>
              <w:keepNext/>
              <w:keepLines/>
              <w:tabs>
                <w:tab w:val="clear" w:pos="2268"/>
                <w:tab w:val="left" w:pos="390"/>
                <w:tab w:val="left" w:pos="2608"/>
                <w:tab w:val="left" w:pos="3345"/>
              </w:tabs>
              <w:spacing w:before="0"/>
              <w:rPr>
                <w:color w:val="000000"/>
              </w:rPr>
            </w:pPr>
          </w:p>
        </w:tc>
        <w:tc>
          <w:tcPr>
            <w:tcW w:w="2938" w:type="dxa"/>
            <w:vAlign w:val="bottom"/>
          </w:tcPr>
          <w:p w14:paraId="6AD0EC5E" w14:textId="591EE915" w:rsidR="007202EC" w:rsidRPr="00990E5D" w:rsidRDefault="007202EC" w:rsidP="00A17971">
            <w:pPr>
              <w:keepNext/>
              <w:keepLines/>
              <w:tabs>
                <w:tab w:val="clear" w:pos="1134"/>
                <w:tab w:val="clear" w:pos="1871"/>
                <w:tab w:val="clear" w:pos="2268"/>
                <w:tab w:val="left" w:pos="1474"/>
              </w:tabs>
              <w:spacing w:before="0"/>
              <w:rPr>
                <w:color w:val="000000"/>
              </w:rPr>
            </w:pPr>
            <w:r w:rsidRPr="00990E5D">
              <w:rPr>
                <w:color w:val="000000"/>
              </w:rPr>
              <w:t>31</w:t>
            </w:r>
            <w:r w:rsidR="008D5E33" w:rsidRPr="00990E5D">
              <w:t> </w:t>
            </w:r>
            <w:r w:rsidRPr="00990E5D">
              <w:rPr>
                <w:color w:val="000000"/>
              </w:rPr>
              <w:t>–</w:t>
            </w:r>
            <w:r w:rsidR="008D5E33" w:rsidRPr="00990E5D">
              <w:t> </w:t>
            </w:r>
            <w:r w:rsidRPr="00990E5D">
              <w:rPr>
                <w:color w:val="000000"/>
              </w:rPr>
              <w:t>25</w:t>
            </w:r>
            <w:r w:rsidR="008D5E33" w:rsidRPr="00990E5D">
              <w:t> </w:t>
            </w:r>
            <w:r w:rsidRPr="00990E5D">
              <w:rPr>
                <w:color w:val="000000"/>
              </w:rPr>
              <w:t xml:space="preserve">log </w:t>
            </w:r>
            <w:r w:rsidRPr="00990E5D">
              <w:rPr>
                <w:rFonts w:ascii="Symbol" w:hAnsi="Symbol"/>
                <w:color w:val="000000"/>
              </w:rPr>
              <w:t></w:t>
            </w:r>
            <w:r w:rsidRPr="00990E5D">
              <w:rPr>
                <w:rFonts w:ascii="Symbol" w:hAnsi="Symbol"/>
                <w:color w:val="000000"/>
              </w:rPr>
              <w:t></w:t>
            </w:r>
            <w:r w:rsidRPr="00990E5D">
              <w:rPr>
                <w:color w:val="000000"/>
              </w:rPr>
              <w:t>dB(W/40</w:t>
            </w:r>
            <w:r w:rsidR="008D5E33" w:rsidRPr="00990E5D">
              <w:t> </w:t>
            </w:r>
            <w:r w:rsidRPr="00990E5D">
              <w:rPr>
                <w:color w:val="000000"/>
              </w:rPr>
              <w:t>kHz)</w:t>
            </w:r>
          </w:p>
        </w:tc>
      </w:tr>
      <w:tr w:rsidR="007202EC" w:rsidRPr="00990E5D" w14:paraId="3D3B6B71" w14:textId="77777777" w:rsidTr="007202EC">
        <w:trPr>
          <w:jc w:val="center"/>
        </w:trPr>
        <w:tc>
          <w:tcPr>
            <w:tcW w:w="1985" w:type="dxa"/>
            <w:vAlign w:val="bottom"/>
          </w:tcPr>
          <w:p w14:paraId="27BFEC5C" w14:textId="77777777" w:rsidR="007202EC" w:rsidRPr="00990E5D" w:rsidRDefault="007202EC" w:rsidP="00A17971">
            <w:pPr>
              <w:keepNext/>
              <w:keepLines/>
              <w:tabs>
                <w:tab w:val="clear" w:pos="1134"/>
                <w:tab w:val="clear" w:pos="1871"/>
                <w:tab w:val="clear" w:pos="2268"/>
                <w:tab w:val="left" w:pos="567"/>
                <w:tab w:val="left" w:pos="794"/>
                <w:tab w:val="left" w:pos="1021"/>
                <w:tab w:val="left" w:pos="1247"/>
              </w:tabs>
              <w:spacing w:before="0"/>
              <w:rPr>
                <w:rFonts w:ascii="Symbol" w:hAnsi="Symbol"/>
                <w:color w:val="000000"/>
              </w:rPr>
            </w:pPr>
            <w:r w:rsidRPr="00990E5D">
              <w:rPr>
                <w:color w:val="000000"/>
              </w:rPr>
              <w:t>48</w:t>
            </w:r>
            <w:r w:rsidRPr="00990E5D">
              <w:rPr>
                <w:rFonts w:ascii="Symbol" w:hAnsi="Symbol"/>
                <w:color w:val="000000"/>
              </w:rPr>
              <w:t></w:t>
            </w:r>
            <w:r w:rsidRPr="00990E5D">
              <w:rPr>
                <w:rFonts w:ascii="Symbol" w:hAnsi="Symbol"/>
                <w:color w:val="000000"/>
              </w:rPr>
              <w:tab/>
            </w:r>
            <w:r w:rsidRPr="00990E5D">
              <w:rPr>
                <w:rFonts w:ascii="Symbol" w:hAnsi="Symbol"/>
                <w:color w:val="000000"/>
              </w:rPr>
              <w:t></w:t>
            </w:r>
            <w:r w:rsidRPr="00990E5D">
              <w:rPr>
                <w:color w:val="000000"/>
              </w:rPr>
              <w:tab/>
            </w:r>
            <w:r w:rsidRPr="00990E5D">
              <w:rPr>
                <w:rFonts w:ascii="Symbol" w:hAnsi="Symbol"/>
                <w:color w:val="000000"/>
              </w:rPr>
              <w:t></w:t>
            </w:r>
            <w:r w:rsidRPr="00990E5D">
              <w:rPr>
                <w:color w:val="000000"/>
              </w:rPr>
              <w:tab/>
            </w:r>
            <w:r w:rsidRPr="00990E5D">
              <w:rPr>
                <w:rFonts w:ascii="Symbol" w:hAnsi="Symbol"/>
                <w:color w:val="000000"/>
              </w:rPr>
              <w:t></w:t>
            </w:r>
            <w:r w:rsidRPr="00990E5D">
              <w:rPr>
                <w:color w:val="000000"/>
              </w:rPr>
              <w:tab/>
              <w:t>180</w:t>
            </w:r>
            <w:r w:rsidRPr="00990E5D">
              <w:rPr>
                <w:rFonts w:ascii="Symbol" w:hAnsi="Symbol"/>
                <w:color w:val="000000"/>
              </w:rPr>
              <w:t></w:t>
            </w:r>
          </w:p>
        </w:tc>
        <w:tc>
          <w:tcPr>
            <w:tcW w:w="1264" w:type="dxa"/>
            <w:vAlign w:val="bottom"/>
          </w:tcPr>
          <w:p w14:paraId="08DB5453" w14:textId="77777777" w:rsidR="007202EC" w:rsidRPr="00990E5D" w:rsidRDefault="007202EC" w:rsidP="00A17971">
            <w:pPr>
              <w:keepNext/>
              <w:keepLines/>
              <w:tabs>
                <w:tab w:val="clear" w:pos="2268"/>
                <w:tab w:val="left" w:pos="390"/>
                <w:tab w:val="left" w:pos="2608"/>
                <w:tab w:val="left" w:pos="3345"/>
              </w:tabs>
              <w:spacing w:before="0"/>
              <w:rPr>
                <w:color w:val="000000"/>
              </w:rPr>
            </w:pPr>
          </w:p>
        </w:tc>
        <w:tc>
          <w:tcPr>
            <w:tcW w:w="2938" w:type="dxa"/>
            <w:vAlign w:val="bottom"/>
          </w:tcPr>
          <w:p w14:paraId="613EB1E4" w14:textId="47F4FAB7" w:rsidR="007202EC" w:rsidRPr="00990E5D" w:rsidRDefault="007202EC" w:rsidP="00A17971">
            <w:pPr>
              <w:keepNext/>
              <w:keepLines/>
              <w:tabs>
                <w:tab w:val="clear" w:pos="1134"/>
                <w:tab w:val="clear" w:pos="1871"/>
                <w:tab w:val="clear" w:pos="2268"/>
                <w:tab w:val="left" w:pos="567"/>
                <w:tab w:val="left" w:pos="737"/>
                <w:tab w:val="left" w:pos="1474"/>
              </w:tabs>
              <w:spacing w:before="0"/>
              <w:rPr>
                <w:color w:val="000000"/>
              </w:rPr>
            </w:pPr>
            <w:r w:rsidRPr="00990E5D">
              <w:rPr>
                <w:rFonts w:ascii="Symbol" w:hAnsi="Symbol"/>
                <w:color w:val="000000"/>
              </w:rPr>
              <w:t></w:t>
            </w:r>
            <w:r w:rsidRPr="00990E5D">
              <w:rPr>
                <w:color w:val="000000"/>
              </w:rPr>
              <w:t>1</w:t>
            </w:r>
            <w:r w:rsidR="008D5E33" w:rsidRPr="00990E5D">
              <w:t> </w:t>
            </w:r>
            <w:r w:rsidRPr="00990E5D">
              <w:rPr>
                <w:color w:val="000000"/>
              </w:rPr>
              <w:t>dB(W/40</w:t>
            </w:r>
            <w:r w:rsidR="008D5E33" w:rsidRPr="00990E5D">
              <w:t> </w:t>
            </w:r>
            <w:r w:rsidRPr="00990E5D">
              <w:rPr>
                <w:color w:val="000000"/>
              </w:rPr>
              <w:t>kHz)</w:t>
            </w:r>
          </w:p>
        </w:tc>
      </w:tr>
    </w:tbl>
    <w:p w14:paraId="28E63587" w14:textId="6D6CF42D" w:rsidR="007202EC" w:rsidRPr="00990E5D" w:rsidRDefault="007202EC" w:rsidP="00A17971">
      <w:pPr>
        <w:keepNext/>
        <w:keepLines/>
      </w:pPr>
      <w:r w:rsidRPr="00990E5D">
        <w:rPr>
          <w:i/>
          <w:iCs/>
        </w:rPr>
        <w:t>b)</w:t>
      </w:r>
      <w:r w:rsidRPr="00990E5D">
        <w:tab/>
        <w:t xml:space="preserve">para toda ETEM que no satisfaga la condición </w:t>
      </w:r>
      <w:r w:rsidRPr="00990E5D">
        <w:rPr>
          <w:i/>
          <w:iCs/>
        </w:rPr>
        <w:t>a)</w:t>
      </w:r>
      <w:r w:rsidRPr="00990E5D">
        <w:t xml:space="preserve"> </w:t>
      </w:r>
      <w:r w:rsidRPr="00990E5D">
        <w:rPr>
          <w:i/>
        </w:rPr>
        <w:t>supra</w:t>
      </w:r>
      <w:r w:rsidRPr="00990E5D">
        <w:t>, fuera de los</w:t>
      </w:r>
      <w:r w:rsidR="008D5E33" w:rsidRPr="00990E5D">
        <w:t> </w:t>
      </w:r>
      <w:r w:rsidRPr="00990E5D">
        <w:t>3 grados de arco OSG, la p.i.r.e. máxima de la ETEM en el eje no superará los 55</w:t>
      </w:r>
      <w:r w:rsidR="008D5E33" w:rsidRPr="00990E5D">
        <w:t> </w:t>
      </w:r>
      <w:r w:rsidRPr="00990E5D">
        <w:t>dBW para anchos de banda de emisión iguales o inferiores a 100</w:t>
      </w:r>
      <w:r w:rsidR="008D5E33" w:rsidRPr="00990E5D">
        <w:t> </w:t>
      </w:r>
      <w:r w:rsidRPr="00990E5D">
        <w:t>MHz. Para anchos de banda de emisión de más de 100</w:t>
      </w:r>
      <w:r w:rsidR="008D5E33" w:rsidRPr="00990E5D">
        <w:t> </w:t>
      </w:r>
      <w:r w:rsidRPr="00990E5D">
        <w:t>MHz, la p.i.r.e. máxima de la ETEM en el eje podrá aumentarse proporcionalmente</w:t>
      </w:r>
      <w:r w:rsidR="00B9186C" w:rsidRPr="00990E5D">
        <w:t>.</w:t>
      </w:r>
    </w:p>
    <w:p w14:paraId="19D3379C" w14:textId="57A4AE25" w:rsidR="007202EC" w:rsidRPr="00990E5D" w:rsidRDefault="007202EC" w:rsidP="007202EC">
      <w:pPr>
        <w:pStyle w:val="AnnexNo"/>
        <w:keepNext w:val="0"/>
        <w:keepLines w:val="0"/>
      </w:pPr>
      <w:r w:rsidRPr="00990E5D">
        <w:t>ANEXO 2 AL PROYECTO DE NUEVA RESOLUCIÓN [</w:t>
      </w:r>
      <w:r w:rsidR="00C74ED6" w:rsidRPr="00990E5D">
        <w:t>SMO/VUT/</w:t>
      </w:r>
      <w:r w:rsidRPr="00990E5D">
        <w:t>A15] (CMR</w:t>
      </w:r>
      <w:r w:rsidR="00C74ED6" w:rsidRPr="00990E5D">
        <w:noBreakHyphen/>
      </w:r>
      <w:r w:rsidRPr="00990E5D">
        <w:t>19)</w:t>
      </w:r>
    </w:p>
    <w:p w14:paraId="57090D6C" w14:textId="78C20759" w:rsidR="007202EC" w:rsidRPr="00990E5D" w:rsidRDefault="007202EC" w:rsidP="00B9186C">
      <w:pPr>
        <w:pStyle w:val="Annextitle"/>
      </w:pPr>
      <w:r w:rsidRPr="00990E5D">
        <w:t>Disposiciones para que las ETEM marítimas y aeronáuticas protejan los servicios terrenales en la banda de frecuencias 27,5-29,5</w:t>
      </w:r>
      <w:r w:rsidR="008D5E33" w:rsidRPr="00990E5D">
        <w:t> </w:t>
      </w:r>
      <w:r w:rsidRPr="00990E5D">
        <w:t>GHz</w:t>
      </w:r>
    </w:p>
    <w:p w14:paraId="639ADE69" w14:textId="2297B1EF" w:rsidR="00C74ED6" w:rsidRPr="00990E5D" w:rsidRDefault="00C74ED6" w:rsidP="00C74ED6">
      <w:pPr>
        <w:pStyle w:val="Normalaftertitle"/>
      </w:pPr>
      <w:r w:rsidRPr="00990E5D">
        <w:t xml:space="preserve">Las partes indicadas a continuación contienen disposiciones para asegurar que las ETEM marítimas y aeronáuticas no causen interferencia inaceptable a los servicios terrenales que funcionen de acuerdo con el Reglamento de Radiocomunicaciones con visibilidad directa en </w:t>
      </w:r>
      <w:r w:rsidR="00321E32" w:rsidRPr="00990E5D">
        <w:t>frecuencia compartida</w:t>
      </w:r>
      <w:r w:rsidRPr="00990E5D">
        <w:t>, en países fronterizos adyacentes en la banda de frecuencias 27,5-29,5</w:t>
      </w:r>
      <w:r w:rsidR="008D5E33" w:rsidRPr="00990E5D">
        <w:t> </w:t>
      </w:r>
      <w:r w:rsidRPr="00990E5D">
        <w:t>GHz.</w:t>
      </w:r>
    </w:p>
    <w:p w14:paraId="1154D974" w14:textId="77777777" w:rsidR="007202EC" w:rsidRPr="00990E5D" w:rsidRDefault="007202EC" w:rsidP="007202EC">
      <w:pPr>
        <w:pStyle w:val="PartNo"/>
        <w:keepNext w:val="0"/>
        <w:keepLines w:val="0"/>
      </w:pPr>
      <w:r w:rsidRPr="00990E5D">
        <w:t>Parte 1: ETEM marítimas</w:t>
      </w:r>
    </w:p>
    <w:p w14:paraId="7F26FC39" w14:textId="77777777" w:rsidR="007202EC" w:rsidRPr="00990E5D" w:rsidRDefault="007202EC" w:rsidP="007202EC">
      <w:pPr>
        <w:pStyle w:val="Normalaftertitle0"/>
      </w:pPr>
      <w:r w:rsidRPr="00990E5D">
        <w:t>1</w:t>
      </w:r>
      <w:r w:rsidRPr="00990E5D">
        <w:tab/>
        <w:t>La administración notificante de la red de satélites del SFS OSG con la que se comunica una ETEM marítima deberá garantizar la conformidad de la ETEM marítima a tenor de las disposiciones siguientes:</w:t>
      </w:r>
    </w:p>
    <w:p w14:paraId="15A702AE" w14:textId="07E044A8" w:rsidR="007202EC" w:rsidRPr="00990E5D" w:rsidRDefault="007202EC" w:rsidP="00A17971">
      <w:r w:rsidRPr="00990E5D">
        <w:t>1.1</w:t>
      </w:r>
      <w:r w:rsidRPr="00990E5D">
        <w:tab/>
        <w:t xml:space="preserve">la distancia mínima desde la marca de bajamar oficialmente reconocida por el Estado costero, más allá de la cual la ETEM puede funcionar sin el acuerdo previo de </w:t>
      </w:r>
      <w:r w:rsidR="001B6286" w:rsidRPr="00990E5D">
        <w:t>ningún Estado costero</w:t>
      </w:r>
      <w:r w:rsidRPr="00990E5D">
        <w:t xml:space="preserve"> </w:t>
      </w:r>
      <w:r w:rsidR="0053771A" w:rsidRPr="00990E5D">
        <w:t>será</w:t>
      </w:r>
      <w:r w:rsidRPr="00990E5D">
        <w:t xml:space="preserve"> </w:t>
      </w:r>
      <w:r w:rsidR="001B6286" w:rsidRPr="00990E5D">
        <w:t xml:space="preserve">de </w:t>
      </w:r>
      <w:r w:rsidRPr="00990E5D">
        <w:t>70</w:t>
      </w:r>
      <w:r w:rsidR="008D5E33" w:rsidRPr="00990E5D">
        <w:t> </w:t>
      </w:r>
      <w:r w:rsidRPr="00990E5D">
        <w:t xml:space="preserve">km </w:t>
      </w:r>
      <w:r w:rsidR="001B6286" w:rsidRPr="00990E5D">
        <w:t xml:space="preserve">en cualquier </w:t>
      </w:r>
      <w:r w:rsidR="003F4570" w:rsidRPr="00990E5D">
        <w:t>parte</w:t>
      </w:r>
      <w:r w:rsidR="001B6286" w:rsidRPr="00990E5D">
        <w:t xml:space="preserve"> de</w:t>
      </w:r>
      <w:r w:rsidRPr="00990E5D">
        <w:t xml:space="preserve"> la banda de frecuencias 27,5-29,5</w:t>
      </w:r>
      <w:r w:rsidR="008D5E33" w:rsidRPr="00990E5D">
        <w:t> </w:t>
      </w:r>
      <w:r w:rsidRPr="00990E5D">
        <w:t>GHz</w:t>
      </w:r>
      <w:r w:rsidR="001B6286" w:rsidRPr="00990E5D">
        <w:t xml:space="preserve"> utilizada </w:t>
      </w:r>
      <w:r w:rsidR="0053771A" w:rsidRPr="00990E5D">
        <w:t>por</w:t>
      </w:r>
      <w:r w:rsidR="001B6286" w:rsidRPr="00990E5D">
        <w:t xml:space="preserve"> los servicios terrenales en dicho Estado costero</w:t>
      </w:r>
      <w:r w:rsidRPr="00990E5D">
        <w:t>;</w:t>
      </w:r>
    </w:p>
    <w:p w14:paraId="0885C036" w14:textId="5255811A" w:rsidR="007202EC" w:rsidRPr="00990E5D" w:rsidRDefault="007202EC" w:rsidP="00A17971">
      <w:r w:rsidRPr="00990E5D">
        <w:t>1.2</w:t>
      </w:r>
      <w:r w:rsidRPr="00990E5D">
        <w:tab/>
        <w:t xml:space="preserve">la densidad espectral de p.i.r.e. máxima de una ETEM marítima en dirección al horizonte </w:t>
      </w:r>
      <w:r w:rsidR="001B6286" w:rsidRPr="00990E5D">
        <w:t xml:space="preserve">y en la visual de un Estado costero </w:t>
      </w:r>
      <w:r w:rsidR="0053771A" w:rsidRPr="00990E5D">
        <w:t>donde</w:t>
      </w:r>
      <w:r w:rsidR="001B6286" w:rsidRPr="00990E5D">
        <w:t xml:space="preserve"> funcionen servicios terrenales </w:t>
      </w:r>
      <w:r w:rsidR="00CC448D" w:rsidRPr="00990E5D">
        <w:t>en frecuencia compartida</w:t>
      </w:r>
      <w:r w:rsidR="001B6286" w:rsidRPr="00990E5D">
        <w:t xml:space="preserve"> en partes de la banda 27,5-29,5</w:t>
      </w:r>
      <w:r w:rsidR="008D5E33" w:rsidRPr="00990E5D">
        <w:t> </w:t>
      </w:r>
      <w:r w:rsidR="001B6286" w:rsidRPr="00990E5D">
        <w:t xml:space="preserve">MHz </w:t>
      </w:r>
      <w:r w:rsidRPr="00990E5D">
        <w:t xml:space="preserve">se limitará a </w:t>
      </w:r>
      <w:r w:rsidR="001B6286" w:rsidRPr="00990E5D">
        <w:t>24,44</w:t>
      </w:r>
      <w:r w:rsidRPr="00990E5D">
        <w:t> dB(W/1</w:t>
      </w:r>
      <w:r w:rsidR="001B6286" w:rsidRPr="00990E5D">
        <w:t>4</w:t>
      </w:r>
      <w:r w:rsidRPr="00990E5D">
        <w:t> MHz)</w:t>
      </w:r>
      <w:r w:rsidR="0053771A" w:rsidRPr="00990E5D">
        <w:t xml:space="preserve"> en esas partes de la banda en frecuenc</w:t>
      </w:r>
      <w:r w:rsidR="0064512D" w:rsidRPr="00990E5D">
        <w:t>i</w:t>
      </w:r>
      <w:r w:rsidR="0053771A" w:rsidRPr="00990E5D">
        <w:t>a compartida.</w:t>
      </w:r>
      <w:r w:rsidRPr="00990E5D">
        <w:t xml:space="preserve"> Las transmisiones de ETEM marítimas con niveles superiores de densidad espectral de p.i.r.e. en dirección al territorio de un Estado costero </w:t>
      </w:r>
      <w:r w:rsidR="001B6286" w:rsidRPr="00990E5D">
        <w:t xml:space="preserve">en </w:t>
      </w:r>
      <w:r w:rsidR="006F685F" w:rsidRPr="00990E5D">
        <w:t>esas</w:t>
      </w:r>
      <w:r w:rsidR="001B6286" w:rsidRPr="00990E5D">
        <w:t xml:space="preserve"> partes de la banda </w:t>
      </w:r>
      <w:r w:rsidR="0064512D" w:rsidRPr="00990E5D">
        <w:t>en</w:t>
      </w:r>
      <w:r w:rsidR="001B6286" w:rsidRPr="00990E5D">
        <w:t xml:space="preserve"> frecuencia compartida </w:t>
      </w:r>
      <w:r w:rsidRPr="00990E5D">
        <w:t xml:space="preserve">deberán obtener el acuerdo previo del Estado costero afectado </w:t>
      </w:r>
      <w:r w:rsidR="006F685F" w:rsidRPr="00990E5D">
        <w:t>junto con el</w:t>
      </w:r>
      <w:r w:rsidRPr="00990E5D">
        <w:t xml:space="preserve"> mecanismo </w:t>
      </w:r>
      <w:r w:rsidR="006F685F" w:rsidRPr="00990E5D">
        <w:t>que deba mantener</w:t>
      </w:r>
      <w:r w:rsidRPr="00990E5D">
        <w:t xml:space="preserve"> ese nivel.</w:t>
      </w:r>
    </w:p>
    <w:p w14:paraId="0E2B894C" w14:textId="77777777" w:rsidR="007202EC" w:rsidRPr="00990E5D" w:rsidRDefault="007202EC" w:rsidP="007202EC">
      <w:pPr>
        <w:pStyle w:val="PartNo"/>
      </w:pPr>
      <w:r w:rsidRPr="00990E5D">
        <w:t>PartE 2: ETEM AERONÁUTICAS</w:t>
      </w:r>
    </w:p>
    <w:p w14:paraId="46C35470" w14:textId="1078D525" w:rsidR="007202EC" w:rsidRPr="00990E5D" w:rsidRDefault="007202EC" w:rsidP="007202EC">
      <w:r w:rsidRPr="00990E5D">
        <w:t>La parte que figura a continuación tiene por objeto servir de disposición sobre las ETEM aeronáuticas para proteger los servicios terrenales que funcionan en la banda de frecuencias 27,5</w:t>
      </w:r>
      <w:r w:rsidRPr="00990E5D">
        <w:noBreakHyphen/>
        <w:t>29,5</w:t>
      </w:r>
      <w:r w:rsidR="008D5E33" w:rsidRPr="00990E5D">
        <w:t> </w:t>
      </w:r>
      <w:r w:rsidRPr="00990E5D">
        <w:t xml:space="preserve">GHz para la aplicación del </w:t>
      </w:r>
      <w:r w:rsidRPr="00990E5D">
        <w:rPr>
          <w:i/>
          <w:iCs/>
        </w:rPr>
        <w:t>resuelve</w:t>
      </w:r>
      <w:r w:rsidR="008D5E33" w:rsidRPr="00990E5D">
        <w:t> </w:t>
      </w:r>
      <w:r w:rsidRPr="00990E5D">
        <w:t>1.2.2</w:t>
      </w:r>
      <w:r w:rsidR="00B9186C" w:rsidRPr="00990E5D">
        <w:t>;</w:t>
      </w:r>
    </w:p>
    <w:p w14:paraId="4DF6C838" w14:textId="77777777" w:rsidR="007202EC" w:rsidRPr="00990E5D" w:rsidRDefault="007202EC" w:rsidP="007202EC">
      <w:r w:rsidRPr="00990E5D">
        <w:t>2</w:t>
      </w:r>
      <w:r w:rsidRPr="00990E5D">
        <w:tab/>
        <w:t>La administración notificante de la red de satélites del SFS OSG con la que comunica una ETEM aeronáutica deberá velar por que dicha ETEM aeronáutica cumpla las condiciones siguientes:</w:t>
      </w:r>
    </w:p>
    <w:p w14:paraId="0F6BF360" w14:textId="5C44B363" w:rsidR="007202EC" w:rsidRPr="00990E5D" w:rsidRDefault="007202EC" w:rsidP="00A17971">
      <w:r w:rsidRPr="00990E5D">
        <w:lastRenderedPageBreak/>
        <w:t>2.1</w:t>
      </w:r>
      <w:r w:rsidRPr="00990E5D">
        <w:tab/>
        <w:t xml:space="preserve">Cuando se encuentre en la visual del territorio de una administración, </w:t>
      </w:r>
      <w:r w:rsidR="003F4570" w:rsidRPr="00990E5D">
        <w:t>en la que los servicios terrenales funcionan en frecuencia compartida en partes de la banda</w:t>
      </w:r>
      <w:r w:rsidR="00CC448D" w:rsidRPr="00990E5D">
        <w:t xml:space="preserve"> 27,5-29,5</w:t>
      </w:r>
      <w:r w:rsidR="008D5E33" w:rsidRPr="00990E5D">
        <w:t> </w:t>
      </w:r>
      <w:r w:rsidR="00CC448D" w:rsidRPr="00990E5D">
        <w:t xml:space="preserve">GHz, </w:t>
      </w:r>
      <w:r w:rsidRPr="00990E5D">
        <w:t xml:space="preserve">la dfp máxima producida </w:t>
      </w:r>
      <w:r w:rsidR="00CC448D" w:rsidRPr="00990E5D">
        <w:t xml:space="preserve">en dichas partes de la banda de frecuencias </w:t>
      </w:r>
      <w:r w:rsidRPr="00990E5D">
        <w:t xml:space="preserve">en la superficie de la Tierra, en el territorio de </w:t>
      </w:r>
      <w:r w:rsidR="00CC448D" w:rsidRPr="00990E5D">
        <w:t>esa</w:t>
      </w:r>
      <w:r w:rsidRPr="00990E5D">
        <w:t xml:space="preserve"> administración, por las emisiones de una sola ETEM aeronáutica no deberá sobrepasar:</w:t>
      </w:r>
    </w:p>
    <w:p w14:paraId="12F6C789" w14:textId="7782A8CE" w:rsidR="007202EC" w:rsidRPr="00990E5D" w:rsidRDefault="007202EC" w:rsidP="007202EC">
      <w:pPr>
        <w:pStyle w:val="enumlev1"/>
      </w:pPr>
      <w:r w:rsidRPr="00990E5D">
        <w:tab/>
      </w:r>
      <w:r w:rsidR="00CC448D" w:rsidRPr="00990E5D">
        <w:t>dfp</w:t>
      </w:r>
      <w:r w:rsidRPr="00990E5D">
        <w:t>(δ)</w:t>
      </w:r>
      <w:r w:rsidR="008D5E33" w:rsidRPr="00990E5D">
        <w:t> </w:t>
      </w:r>
      <w:r w:rsidRPr="00990E5D">
        <w:t>=</w:t>
      </w:r>
      <w:r w:rsidR="008D5E33" w:rsidRPr="00990E5D">
        <w:t> </w:t>
      </w:r>
      <w:r w:rsidRPr="00990E5D">
        <w:t>–124,7</w:t>
      </w:r>
      <w:r w:rsidRPr="00990E5D">
        <w:tab/>
      </w:r>
      <w:r w:rsidRPr="00990E5D">
        <w:tab/>
      </w:r>
      <w:r w:rsidRPr="00990E5D">
        <w:tab/>
        <w:t>(dB(W/m</w:t>
      </w:r>
      <w:r w:rsidRPr="00990E5D">
        <w:rPr>
          <w:vertAlign w:val="superscript"/>
        </w:rPr>
        <w:t>2</w:t>
      </w:r>
      <w:r w:rsidR="008D5E33" w:rsidRPr="00990E5D">
        <w:t> </w:t>
      </w:r>
      <w:r w:rsidRPr="00990E5D">
        <w:sym w:font="Symbol" w:char="F0D7"/>
      </w:r>
      <w:r w:rsidR="008D5E33" w:rsidRPr="00990E5D">
        <w:t> </w:t>
      </w:r>
      <w:r w:rsidRPr="00990E5D">
        <w:t>14</w:t>
      </w:r>
      <w:r w:rsidR="008D5E33" w:rsidRPr="00990E5D">
        <w:t> </w:t>
      </w:r>
      <w:r w:rsidRPr="00990E5D">
        <w:t>MHz))</w:t>
      </w:r>
      <w:r w:rsidRPr="00990E5D">
        <w:tab/>
      </w:r>
      <w:r w:rsidRPr="00990E5D">
        <w:tab/>
        <w:t>para</w:t>
      </w:r>
      <w:r w:rsidRPr="00990E5D">
        <w:tab/>
        <w:t>0°</w:t>
      </w:r>
      <w:r w:rsidR="008D5E33" w:rsidRPr="00990E5D">
        <w:t> </w:t>
      </w:r>
      <w:r w:rsidRPr="00990E5D">
        <w:t>≤</w:t>
      </w:r>
      <w:r w:rsidR="008D5E33" w:rsidRPr="00990E5D">
        <w:t> </w:t>
      </w:r>
      <w:r w:rsidRPr="00990E5D">
        <w:t>δ</w:t>
      </w:r>
      <w:r w:rsidR="008D5E33" w:rsidRPr="00990E5D">
        <w:t> </w:t>
      </w:r>
      <w:r w:rsidRPr="00990E5D">
        <w:t>≤</w:t>
      </w:r>
      <w:r w:rsidR="008D5E33" w:rsidRPr="00990E5D">
        <w:t> </w:t>
      </w:r>
      <w:r w:rsidRPr="00990E5D">
        <w:t>0,01°</w:t>
      </w:r>
    </w:p>
    <w:p w14:paraId="20519635" w14:textId="0695B966" w:rsidR="007202EC" w:rsidRPr="00990E5D" w:rsidRDefault="007202EC" w:rsidP="007202EC">
      <w:pPr>
        <w:pStyle w:val="enumlev1"/>
      </w:pPr>
      <w:r w:rsidRPr="00990E5D">
        <w:tab/>
      </w:r>
      <w:r w:rsidR="00CC448D" w:rsidRPr="00990E5D">
        <w:t>dfp</w:t>
      </w:r>
      <w:r w:rsidRPr="00990E5D">
        <w:t>(δ)</w:t>
      </w:r>
      <w:r w:rsidR="008D5E33" w:rsidRPr="00990E5D">
        <w:t> </w:t>
      </w:r>
      <w:r w:rsidRPr="00990E5D">
        <w:t>=</w:t>
      </w:r>
      <w:r w:rsidR="008D5E33" w:rsidRPr="00990E5D">
        <w:t> </w:t>
      </w:r>
      <w:r w:rsidRPr="00990E5D">
        <w:t>–120,9+1,9∙log10(δ)</w:t>
      </w:r>
      <w:r w:rsidRPr="00990E5D">
        <w:tab/>
        <w:t>(dB(W/m</w:t>
      </w:r>
      <w:r w:rsidRPr="00990E5D">
        <w:rPr>
          <w:vertAlign w:val="superscript"/>
        </w:rPr>
        <w:t>2</w:t>
      </w:r>
      <w:r w:rsidR="008D5E33" w:rsidRPr="00990E5D">
        <w:t> </w:t>
      </w:r>
      <w:r w:rsidRPr="00990E5D">
        <w:sym w:font="Symbol" w:char="F0D7"/>
      </w:r>
      <w:r w:rsidR="008D5E33" w:rsidRPr="00990E5D">
        <w:t> </w:t>
      </w:r>
      <w:r w:rsidRPr="00990E5D">
        <w:t>14</w:t>
      </w:r>
      <w:r w:rsidR="008D5E33" w:rsidRPr="00990E5D">
        <w:t> </w:t>
      </w:r>
      <w:r w:rsidRPr="00990E5D">
        <w:t>MHz))</w:t>
      </w:r>
      <w:r w:rsidRPr="00990E5D">
        <w:tab/>
      </w:r>
      <w:r w:rsidRPr="00990E5D">
        <w:tab/>
        <w:t>para</w:t>
      </w:r>
      <w:r w:rsidRPr="00990E5D">
        <w:tab/>
        <w:t>0,01°</w:t>
      </w:r>
      <w:r w:rsidR="008D5E33" w:rsidRPr="00990E5D">
        <w:t> </w:t>
      </w:r>
      <w:r w:rsidRPr="00990E5D">
        <w:t>≤</w:t>
      </w:r>
      <w:r w:rsidR="008D5E33" w:rsidRPr="00990E5D">
        <w:t> </w:t>
      </w:r>
      <w:r w:rsidRPr="00990E5D">
        <w:t>δ</w:t>
      </w:r>
      <w:r w:rsidR="008D5E33" w:rsidRPr="00990E5D">
        <w:t> </w:t>
      </w:r>
      <w:r w:rsidRPr="00990E5D">
        <w:t>≤</w:t>
      </w:r>
      <w:r w:rsidR="008D5E33" w:rsidRPr="00990E5D">
        <w:t> </w:t>
      </w:r>
      <w:r w:rsidRPr="00990E5D">
        <w:t>0,3°</w:t>
      </w:r>
    </w:p>
    <w:p w14:paraId="74FC3502" w14:textId="38F62013" w:rsidR="007202EC" w:rsidRPr="00990E5D" w:rsidRDefault="007202EC" w:rsidP="007202EC">
      <w:pPr>
        <w:pStyle w:val="enumlev1"/>
      </w:pPr>
      <w:r w:rsidRPr="00990E5D">
        <w:tab/>
      </w:r>
      <w:r w:rsidR="00CC448D" w:rsidRPr="00990E5D">
        <w:t>dfp</w:t>
      </w:r>
      <w:r w:rsidRPr="00990E5D">
        <w:t>(δ)</w:t>
      </w:r>
      <w:r w:rsidR="008D5E33" w:rsidRPr="00990E5D">
        <w:t> </w:t>
      </w:r>
      <w:r w:rsidRPr="00990E5D">
        <w:t>=</w:t>
      </w:r>
      <w:r w:rsidR="008D5E33" w:rsidRPr="00990E5D">
        <w:t> </w:t>
      </w:r>
      <w:r w:rsidRPr="00990E5D">
        <w:t>–116,2+11∙log10(δ)</w:t>
      </w:r>
      <w:r w:rsidRPr="00990E5D">
        <w:tab/>
        <w:t>(dB(W/m</w:t>
      </w:r>
      <w:r w:rsidRPr="00990E5D">
        <w:rPr>
          <w:vertAlign w:val="superscript"/>
        </w:rPr>
        <w:t>2</w:t>
      </w:r>
      <w:r w:rsidR="008D5E33" w:rsidRPr="00990E5D">
        <w:t> </w:t>
      </w:r>
      <w:r w:rsidRPr="00990E5D">
        <w:sym w:font="Symbol" w:char="F0D7"/>
      </w:r>
      <w:r w:rsidR="008D5E33" w:rsidRPr="00990E5D">
        <w:t> </w:t>
      </w:r>
      <w:r w:rsidRPr="00990E5D">
        <w:t>14</w:t>
      </w:r>
      <w:r w:rsidR="008D5E33" w:rsidRPr="00990E5D">
        <w:t> </w:t>
      </w:r>
      <w:r w:rsidRPr="00990E5D">
        <w:t>MHz))</w:t>
      </w:r>
      <w:r w:rsidRPr="00990E5D">
        <w:tab/>
      </w:r>
      <w:r w:rsidRPr="00990E5D">
        <w:tab/>
        <w:t>para</w:t>
      </w:r>
      <w:r w:rsidRPr="00990E5D">
        <w:tab/>
        <w:t>0,3°</w:t>
      </w:r>
      <w:r w:rsidR="008D5E33" w:rsidRPr="00990E5D">
        <w:t> </w:t>
      </w:r>
      <w:r w:rsidRPr="00990E5D">
        <w:t>&lt;</w:t>
      </w:r>
      <w:r w:rsidR="008D5E33" w:rsidRPr="00990E5D">
        <w:t> </w:t>
      </w:r>
      <w:r w:rsidRPr="00990E5D">
        <w:t>δ</w:t>
      </w:r>
      <w:r w:rsidR="008D5E33" w:rsidRPr="00990E5D">
        <w:t> </w:t>
      </w:r>
      <w:r w:rsidRPr="00990E5D">
        <w:t>≤</w:t>
      </w:r>
      <w:r w:rsidR="008D5E33" w:rsidRPr="00990E5D">
        <w:t> </w:t>
      </w:r>
      <w:r w:rsidRPr="00990E5D">
        <w:t>1°</w:t>
      </w:r>
    </w:p>
    <w:p w14:paraId="0A8A920E" w14:textId="55393E36" w:rsidR="007202EC" w:rsidRPr="00990E5D" w:rsidRDefault="007202EC" w:rsidP="007202EC">
      <w:pPr>
        <w:pStyle w:val="enumlev1"/>
      </w:pPr>
      <w:r w:rsidRPr="00990E5D">
        <w:tab/>
      </w:r>
      <w:r w:rsidR="00CC448D" w:rsidRPr="00990E5D">
        <w:t>dfp</w:t>
      </w:r>
      <w:r w:rsidRPr="00990E5D">
        <w:t>(δ)</w:t>
      </w:r>
      <w:r w:rsidR="008D5E33" w:rsidRPr="00990E5D">
        <w:t> </w:t>
      </w:r>
      <w:r w:rsidRPr="00990E5D">
        <w:t>=</w:t>
      </w:r>
      <w:r w:rsidR="008D5E33" w:rsidRPr="00990E5D">
        <w:t> </w:t>
      </w:r>
      <w:r w:rsidRPr="00990E5D">
        <w:t>–116,2+18∙log10(δ)</w:t>
      </w:r>
      <w:r w:rsidRPr="00990E5D">
        <w:tab/>
        <w:t>(dB(W/m</w:t>
      </w:r>
      <w:r w:rsidRPr="00990E5D">
        <w:rPr>
          <w:vertAlign w:val="superscript"/>
        </w:rPr>
        <w:t>2</w:t>
      </w:r>
      <w:r w:rsidR="008D5E33" w:rsidRPr="00990E5D">
        <w:t> </w:t>
      </w:r>
      <w:r w:rsidRPr="00990E5D">
        <w:sym w:font="Symbol" w:char="F0D7"/>
      </w:r>
      <w:r w:rsidR="008D5E33" w:rsidRPr="00990E5D">
        <w:t> </w:t>
      </w:r>
      <w:r w:rsidRPr="00990E5D">
        <w:t>14</w:t>
      </w:r>
      <w:r w:rsidR="008D5E33" w:rsidRPr="00990E5D">
        <w:t> </w:t>
      </w:r>
      <w:r w:rsidRPr="00990E5D">
        <w:t>MHz))</w:t>
      </w:r>
      <w:r w:rsidRPr="00990E5D">
        <w:tab/>
      </w:r>
      <w:r w:rsidRPr="00990E5D">
        <w:tab/>
        <w:t>para</w:t>
      </w:r>
      <w:r w:rsidRPr="00990E5D">
        <w:tab/>
        <w:t>1°</w:t>
      </w:r>
      <w:r w:rsidR="008D5E33" w:rsidRPr="00990E5D">
        <w:t> </w:t>
      </w:r>
      <w:r w:rsidRPr="00990E5D">
        <w:t>&lt;</w:t>
      </w:r>
      <w:r w:rsidR="008D5E33" w:rsidRPr="00990E5D">
        <w:t> </w:t>
      </w:r>
      <w:r w:rsidRPr="00990E5D">
        <w:t>δ</w:t>
      </w:r>
      <w:r w:rsidR="008D5E33" w:rsidRPr="00990E5D">
        <w:t> </w:t>
      </w:r>
      <w:r w:rsidRPr="00990E5D">
        <w:t>≤</w:t>
      </w:r>
      <w:r w:rsidR="008D5E33" w:rsidRPr="00990E5D">
        <w:t> </w:t>
      </w:r>
      <w:r w:rsidRPr="00990E5D">
        <w:t>2°</w:t>
      </w:r>
    </w:p>
    <w:p w14:paraId="0111CE2D" w14:textId="10147822" w:rsidR="007202EC" w:rsidRPr="00990E5D" w:rsidRDefault="007202EC" w:rsidP="007202EC">
      <w:pPr>
        <w:pStyle w:val="enumlev1"/>
      </w:pPr>
      <w:r w:rsidRPr="00990E5D">
        <w:tab/>
      </w:r>
      <w:r w:rsidR="00CC448D" w:rsidRPr="00990E5D">
        <w:t>dfp</w:t>
      </w:r>
      <w:r w:rsidRPr="00990E5D">
        <w:t>(δ)</w:t>
      </w:r>
      <w:r w:rsidR="008D5E33" w:rsidRPr="00990E5D">
        <w:t> </w:t>
      </w:r>
      <w:r w:rsidRPr="00990E5D">
        <w:t>=</w:t>
      </w:r>
      <w:r w:rsidR="008D5E33" w:rsidRPr="00990E5D">
        <w:t> </w:t>
      </w:r>
      <w:r w:rsidRPr="00990E5D">
        <w:t>–117,9+23,7∙log10(δ)</w:t>
      </w:r>
      <w:r w:rsidRPr="00990E5D">
        <w:tab/>
        <w:t>(dB(W/m</w:t>
      </w:r>
      <w:r w:rsidRPr="00990E5D">
        <w:rPr>
          <w:vertAlign w:val="superscript"/>
        </w:rPr>
        <w:t>2</w:t>
      </w:r>
      <w:r w:rsidR="008D5E33" w:rsidRPr="00990E5D">
        <w:t> </w:t>
      </w:r>
      <w:r w:rsidRPr="00990E5D">
        <w:sym w:font="Symbol" w:char="F0D7"/>
      </w:r>
      <w:r w:rsidR="008D5E33" w:rsidRPr="00990E5D">
        <w:t> </w:t>
      </w:r>
      <w:r w:rsidRPr="00990E5D">
        <w:t>14</w:t>
      </w:r>
      <w:r w:rsidR="008D5E33" w:rsidRPr="00990E5D">
        <w:t> </w:t>
      </w:r>
      <w:r w:rsidRPr="00990E5D">
        <w:t>MHz))</w:t>
      </w:r>
      <w:r w:rsidRPr="00990E5D">
        <w:tab/>
      </w:r>
      <w:r w:rsidRPr="00990E5D">
        <w:tab/>
        <w:t>para</w:t>
      </w:r>
      <w:r w:rsidRPr="00990E5D">
        <w:tab/>
        <w:t>2°</w:t>
      </w:r>
      <w:r w:rsidR="008D5E33" w:rsidRPr="00990E5D">
        <w:t> </w:t>
      </w:r>
      <w:r w:rsidRPr="00990E5D">
        <w:t>&lt;</w:t>
      </w:r>
      <w:r w:rsidR="008D5E33" w:rsidRPr="00990E5D">
        <w:t> </w:t>
      </w:r>
      <w:r w:rsidRPr="00990E5D">
        <w:t>δ</w:t>
      </w:r>
      <w:r w:rsidR="008D5E33" w:rsidRPr="00990E5D">
        <w:t> </w:t>
      </w:r>
      <w:r w:rsidRPr="00990E5D">
        <w:t>≤</w:t>
      </w:r>
      <w:r w:rsidR="008D5E33" w:rsidRPr="00990E5D">
        <w:t> </w:t>
      </w:r>
      <w:r w:rsidRPr="00990E5D">
        <w:t>8°</w:t>
      </w:r>
    </w:p>
    <w:p w14:paraId="231F3279" w14:textId="7C517402" w:rsidR="007202EC" w:rsidRPr="00990E5D" w:rsidRDefault="007202EC" w:rsidP="007202EC">
      <w:pPr>
        <w:pStyle w:val="enumlev1"/>
      </w:pPr>
      <w:r w:rsidRPr="00990E5D">
        <w:tab/>
      </w:r>
      <w:r w:rsidR="00CC448D" w:rsidRPr="00990E5D">
        <w:t>dfp</w:t>
      </w:r>
      <w:r w:rsidRPr="00990E5D">
        <w:t>(δ)</w:t>
      </w:r>
      <w:r w:rsidR="008D5E33" w:rsidRPr="00990E5D">
        <w:t> </w:t>
      </w:r>
      <w:r w:rsidRPr="00990E5D">
        <w:t>=</w:t>
      </w:r>
      <w:r w:rsidR="008D5E33" w:rsidRPr="00990E5D">
        <w:t> </w:t>
      </w:r>
      <w:r w:rsidRPr="00990E5D">
        <w:t>–96,5</w:t>
      </w:r>
      <w:r w:rsidRPr="00990E5D">
        <w:tab/>
      </w:r>
      <w:r w:rsidRPr="00990E5D">
        <w:tab/>
      </w:r>
      <w:r w:rsidRPr="00990E5D">
        <w:tab/>
      </w:r>
      <w:r w:rsidR="008D5E33" w:rsidRPr="00990E5D">
        <w:tab/>
      </w:r>
      <w:r w:rsidRPr="00990E5D">
        <w:t>(dB(W/m</w:t>
      </w:r>
      <w:r w:rsidRPr="00990E5D">
        <w:rPr>
          <w:vertAlign w:val="superscript"/>
        </w:rPr>
        <w:t>2</w:t>
      </w:r>
      <w:r w:rsidR="008D5E33" w:rsidRPr="00990E5D">
        <w:t> </w:t>
      </w:r>
      <w:r w:rsidRPr="00990E5D">
        <w:sym w:font="Symbol" w:char="F0D7"/>
      </w:r>
      <w:r w:rsidR="008D5E33" w:rsidRPr="00990E5D">
        <w:t> </w:t>
      </w:r>
      <w:r w:rsidRPr="00990E5D">
        <w:t>14</w:t>
      </w:r>
      <w:r w:rsidR="008D5E33" w:rsidRPr="00990E5D">
        <w:t> </w:t>
      </w:r>
      <w:r w:rsidRPr="00990E5D">
        <w:t>MHz))</w:t>
      </w:r>
      <w:r w:rsidRPr="00990E5D">
        <w:tab/>
      </w:r>
      <w:r w:rsidRPr="00990E5D">
        <w:tab/>
        <w:t>para</w:t>
      </w:r>
      <w:r w:rsidRPr="00990E5D">
        <w:tab/>
        <w:t>8°</w:t>
      </w:r>
      <w:r w:rsidR="008D5E33" w:rsidRPr="00990E5D">
        <w:t> </w:t>
      </w:r>
      <w:r w:rsidRPr="00990E5D">
        <w:t>&lt;</w:t>
      </w:r>
      <w:r w:rsidR="008D5E33" w:rsidRPr="00990E5D">
        <w:t> </w:t>
      </w:r>
      <w:r w:rsidRPr="00990E5D">
        <w:t>δ</w:t>
      </w:r>
      <w:r w:rsidR="008D5E33" w:rsidRPr="00990E5D">
        <w:t> </w:t>
      </w:r>
      <w:r w:rsidRPr="00990E5D">
        <w:t>≤</w:t>
      </w:r>
      <w:r w:rsidR="008D5E33" w:rsidRPr="00990E5D">
        <w:t> </w:t>
      </w:r>
      <w:r w:rsidRPr="00990E5D">
        <w:t>90,0°</w:t>
      </w:r>
    </w:p>
    <w:p w14:paraId="7EE0002E" w14:textId="128A8DD8" w:rsidR="007202EC" w:rsidRPr="00990E5D" w:rsidRDefault="00CC448D" w:rsidP="007202EC">
      <w:r w:rsidRPr="00990E5D">
        <w:t>siendo</w:t>
      </w:r>
      <w:r w:rsidR="007202EC" w:rsidRPr="00990E5D">
        <w:t xml:space="preserve"> δ es el ángulo de incidencia de la onda </w:t>
      </w:r>
      <w:r w:rsidRPr="00990E5D">
        <w:t>de radiofrecuencia</w:t>
      </w:r>
      <w:r w:rsidR="007202EC" w:rsidRPr="00990E5D">
        <w:t xml:space="preserve"> (grados sobre el horizonte)</w:t>
      </w:r>
      <w:r w:rsidR="00B9186C" w:rsidRPr="00990E5D">
        <w:t>;</w:t>
      </w:r>
    </w:p>
    <w:p w14:paraId="021B0885" w14:textId="7AB8BA62" w:rsidR="007202EC" w:rsidRPr="00990E5D" w:rsidRDefault="007202EC" w:rsidP="007202EC">
      <w:r w:rsidRPr="00990E5D">
        <w:t>2.</w:t>
      </w:r>
      <w:r w:rsidR="00C74ED6" w:rsidRPr="00990E5D">
        <w:t>2</w:t>
      </w:r>
      <w:r w:rsidRPr="00990E5D">
        <w:tab/>
        <w:t>Los niveles de dfp superiores a los proporcionados en 2.1 producidos por una ETEM aeronáutica en la superficie de la Tierra en el territorio de una administración deberán obtener el acuerdo previo de esa administración</w:t>
      </w:r>
      <w:r w:rsidR="00B9186C" w:rsidRPr="00990E5D">
        <w:t>;</w:t>
      </w:r>
    </w:p>
    <w:p w14:paraId="0FA2B344" w14:textId="12251A7A" w:rsidR="00C65D71" w:rsidRPr="00990E5D" w:rsidRDefault="007202EC" w:rsidP="00C74ED6">
      <w:r w:rsidRPr="00990E5D">
        <w:t>2.</w:t>
      </w:r>
      <w:r w:rsidR="00C74ED6" w:rsidRPr="00990E5D">
        <w:t>3</w:t>
      </w:r>
      <w:r w:rsidRPr="00990E5D">
        <w:tab/>
        <w:t>En el territorio bajo jurisdicción de una administración en la que funcionen ETEM, las ETEM aeronáuticas deberán cumplir los acuerdos bilaterales o multilaterales concluidos por las administraciones interesadas.</w:t>
      </w:r>
    </w:p>
    <w:p w14:paraId="6FC3E183" w14:textId="77777777" w:rsidR="007202EC" w:rsidRPr="00990E5D" w:rsidRDefault="007202EC" w:rsidP="00C74ED6">
      <w:pPr>
        <w:pStyle w:val="AppendixNo"/>
      </w:pPr>
      <w:r w:rsidRPr="00990E5D">
        <w:t xml:space="preserve">APÉNDICE </w:t>
      </w:r>
      <w:r w:rsidRPr="00990E5D">
        <w:rPr>
          <w:rStyle w:val="href"/>
        </w:rPr>
        <w:t>4</w:t>
      </w:r>
      <w:r w:rsidRPr="00990E5D">
        <w:t xml:space="preserve"> (</w:t>
      </w:r>
      <w:r w:rsidRPr="00990E5D">
        <w:rPr>
          <w:caps w:val="0"/>
        </w:rPr>
        <w:t>REV</w:t>
      </w:r>
      <w:r w:rsidRPr="00990E5D">
        <w:t>.CMR-15)</w:t>
      </w:r>
    </w:p>
    <w:p w14:paraId="48AF4611" w14:textId="77777777" w:rsidR="007202EC" w:rsidRPr="00990E5D" w:rsidRDefault="007202EC" w:rsidP="007202EC">
      <w:pPr>
        <w:pStyle w:val="Appendixtitle"/>
      </w:pPr>
      <w:r w:rsidRPr="00990E5D">
        <w:t>Lista y cuadros recapitulativos de las características</w:t>
      </w:r>
      <w:r w:rsidRPr="00990E5D">
        <w:br/>
        <w:t>que han de utilizarse en la aplicación de</w:t>
      </w:r>
      <w:r w:rsidRPr="00990E5D">
        <w:br/>
        <w:t>los procedimientos del Capítulo III</w:t>
      </w:r>
    </w:p>
    <w:p w14:paraId="071FCE2D" w14:textId="77777777" w:rsidR="007202EC" w:rsidRPr="00990E5D" w:rsidRDefault="007202EC" w:rsidP="007202EC">
      <w:pPr>
        <w:pStyle w:val="AnnexNo"/>
      </w:pPr>
      <w:r w:rsidRPr="00990E5D">
        <w:t>ANEXO 2</w:t>
      </w:r>
    </w:p>
    <w:p w14:paraId="6A353936" w14:textId="1BC21197" w:rsidR="007202EC" w:rsidRPr="00990E5D" w:rsidRDefault="007202EC" w:rsidP="007202EC">
      <w:pPr>
        <w:pStyle w:val="Annextitle"/>
        <w:rPr>
          <w:b w:val="0"/>
          <w:color w:val="000000"/>
        </w:rPr>
      </w:pPr>
      <w:r w:rsidRPr="00990E5D">
        <w:t xml:space="preserve">Características de las redes de satélites, de las estaciones terrenas </w:t>
      </w:r>
      <w:r w:rsidRPr="00990E5D">
        <w:br/>
        <w:t>o de las estaciones de radioastronomía</w:t>
      </w:r>
      <w:r w:rsidR="00C74ED6" w:rsidRPr="00990E5D">
        <w:rPr>
          <w:rFonts w:ascii="Times New Roman"/>
          <w:b w:val="0"/>
          <w:szCs w:val="18"/>
          <w:vertAlign w:val="superscript"/>
        </w:rPr>
        <w:t>2</w:t>
      </w:r>
      <w:r w:rsidRPr="00990E5D">
        <w:rPr>
          <w:b w:val="0"/>
          <w:sz w:val="16"/>
        </w:rPr>
        <w:t>     </w:t>
      </w:r>
      <w:r w:rsidRPr="00990E5D">
        <w:rPr>
          <w:rFonts w:ascii="Times New Roman"/>
          <w:b w:val="0"/>
          <w:sz w:val="16"/>
        </w:rPr>
        <w:t>(</w:t>
      </w:r>
      <w:r w:rsidRPr="00990E5D">
        <w:rPr>
          <w:rFonts w:ascii="Times New Roman"/>
          <w:b w:val="0"/>
          <w:color w:val="000000"/>
          <w:sz w:val="16"/>
        </w:rPr>
        <w:t>Rev.CMR-12)</w:t>
      </w:r>
    </w:p>
    <w:p w14:paraId="16E0B48C" w14:textId="77777777" w:rsidR="00C65D71" w:rsidRPr="00990E5D" w:rsidRDefault="00C65D71">
      <w:pPr>
        <w:sectPr w:rsidR="00C65D71" w:rsidRPr="00990E5D">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457B0FDD" w14:textId="77777777" w:rsidR="007202EC" w:rsidRPr="00990E5D" w:rsidRDefault="007202EC" w:rsidP="007202EC">
      <w:pPr>
        <w:pStyle w:val="Headingb"/>
      </w:pPr>
      <w:r w:rsidRPr="00990E5D">
        <w:lastRenderedPageBreak/>
        <w:t>Notas a los Cuadros A, B, C y D</w:t>
      </w:r>
    </w:p>
    <w:p w14:paraId="1D1C632F" w14:textId="77777777" w:rsidR="00C65D71" w:rsidRPr="00990E5D" w:rsidRDefault="007202EC">
      <w:pPr>
        <w:pStyle w:val="Proposal"/>
      </w:pPr>
      <w:r w:rsidRPr="00990E5D">
        <w:t>MOD</w:t>
      </w:r>
      <w:r w:rsidRPr="00990E5D">
        <w:tab/>
        <w:t>SMO/VUT/95/6</w:t>
      </w:r>
      <w:r w:rsidRPr="00990E5D">
        <w:rPr>
          <w:vanish/>
          <w:color w:val="7F7F7F" w:themeColor="text1" w:themeTint="80"/>
          <w:vertAlign w:val="superscript"/>
        </w:rPr>
        <w:t>#49994</w:t>
      </w:r>
    </w:p>
    <w:p w14:paraId="6515CA01" w14:textId="77777777" w:rsidR="007202EC" w:rsidRPr="00990E5D" w:rsidRDefault="007202EC" w:rsidP="007202EC">
      <w:pPr>
        <w:pStyle w:val="TableNo"/>
      </w:pPr>
      <w:r w:rsidRPr="00990E5D">
        <w:t>CUADRO A</w:t>
      </w:r>
    </w:p>
    <w:p w14:paraId="0FF37097" w14:textId="77777777" w:rsidR="007202EC" w:rsidRPr="00990E5D" w:rsidRDefault="007202EC" w:rsidP="007202EC">
      <w:pPr>
        <w:pStyle w:val="Tabletitle"/>
        <w:rPr>
          <w:rFonts w:ascii="Times New Roman"/>
          <w:b w:val="0"/>
          <w:bCs/>
          <w:color w:val="000000"/>
          <w:sz w:val="16"/>
        </w:rPr>
      </w:pPr>
      <w:r w:rsidRPr="00990E5D">
        <w:t xml:space="preserve">CARACTERÍSTICAS GENERALES DE LA RED DE SATÉLITES, DE LA ESTACIÓN </w:t>
      </w:r>
      <w:r w:rsidRPr="00990E5D">
        <w:br/>
        <w:t>TERRENA O DE LA ESTACIÓN DE RADIOASTRONOMÍA</w:t>
      </w:r>
      <w:r w:rsidRPr="00990E5D">
        <w:rPr>
          <w:color w:val="000000"/>
          <w:sz w:val="16"/>
        </w:rPr>
        <w:t>     </w:t>
      </w:r>
      <w:r w:rsidRPr="00990E5D">
        <w:rPr>
          <w:rFonts w:ascii="Times New Roman"/>
          <w:b w:val="0"/>
          <w:bCs/>
          <w:color w:val="000000"/>
          <w:sz w:val="16"/>
        </w:rPr>
        <w:t>(Rev.CMR</w:t>
      </w:r>
      <w:r w:rsidRPr="00990E5D">
        <w:rPr>
          <w:rFonts w:ascii="Times New Roman"/>
          <w:b w:val="0"/>
          <w:bCs/>
          <w:color w:val="000000"/>
          <w:sz w:val="16"/>
        </w:rPr>
        <w:noBreakHyphen/>
      </w:r>
      <w:del w:id="35" w:author="" w:date="2018-08-02T13:45:00Z">
        <w:r w:rsidRPr="00990E5D" w:rsidDel="00EF6ECB">
          <w:rPr>
            <w:rFonts w:ascii="Times New Roman"/>
            <w:b w:val="0"/>
            <w:bCs/>
            <w:color w:val="000000"/>
            <w:sz w:val="16"/>
          </w:rPr>
          <w:delText>1</w:delText>
        </w:r>
      </w:del>
      <w:del w:id="36" w:author="" w:date="2018-07-23T15:07:00Z">
        <w:r w:rsidRPr="00990E5D" w:rsidDel="002D5857">
          <w:rPr>
            <w:rFonts w:ascii="Times New Roman"/>
            <w:b w:val="0"/>
            <w:bCs/>
            <w:color w:val="000000"/>
            <w:sz w:val="16"/>
          </w:rPr>
          <w:delText>5</w:delText>
        </w:r>
      </w:del>
      <w:ins w:id="37" w:author="" w:date="2018-08-02T13:45:00Z">
        <w:r w:rsidRPr="00990E5D">
          <w:rPr>
            <w:rFonts w:ascii="Times New Roman"/>
            <w:b w:val="0"/>
            <w:bCs/>
            <w:color w:val="000000"/>
            <w:sz w:val="16"/>
          </w:rPr>
          <w:t>1</w:t>
        </w:r>
      </w:ins>
      <w:ins w:id="38" w:author="" w:date="2018-07-23T15:07:00Z">
        <w:r w:rsidRPr="00990E5D">
          <w:rPr>
            <w:rFonts w:ascii="Times New Roman"/>
            <w:b w:val="0"/>
            <w:bCs/>
            <w:color w:val="000000"/>
            <w:sz w:val="16"/>
          </w:rPr>
          <w:t>9</w:t>
        </w:r>
      </w:ins>
      <w:r w:rsidRPr="00990E5D">
        <w:rPr>
          <w:rFonts w:ascii="Times New Roman"/>
          <w:b w:val="0"/>
          <w:bCs/>
          <w:color w:val="000000"/>
          <w:sz w:val="16"/>
        </w:rPr>
        <w:t>)</w:t>
      </w:r>
    </w:p>
    <w:tbl>
      <w:tblPr>
        <w:tblW w:w="5050" w:type="pct"/>
        <w:tblInd w:w="-15" w:type="dxa"/>
        <w:tblLook w:val="04A0" w:firstRow="1" w:lastRow="0" w:firstColumn="1" w:lastColumn="0" w:noHBand="0" w:noVBand="1"/>
      </w:tblPr>
      <w:tblGrid>
        <w:gridCol w:w="1018"/>
        <w:gridCol w:w="4148"/>
        <w:gridCol w:w="699"/>
        <w:gridCol w:w="978"/>
        <w:gridCol w:w="978"/>
        <w:gridCol w:w="1026"/>
        <w:gridCol w:w="629"/>
        <w:gridCol w:w="833"/>
        <w:gridCol w:w="848"/>
        <w:gridCol w:w="765"/>
        <w:gridCol w:w="765"/>
        <w:gridCol w:w="942"/>
        <w:gridCol w:w="479"/>
        <w:tblGridChange w:id="39">
          <w:tblGrid>
            <w:gridCol w:w="1018"/>
            <w:gridCol w:w="4148"/>
            <w:gridCol w:w="699"/>
            <w:gridCol w:w="978"/>
            <w:gridCol w:w="978"/>
            <w:gridCol w:w="1026"/>
            <w:gridCol w:w="629"/>
            <w:gridCol w:w="833"/>
            <w:gridCol w:w="848"/>
            <w:gridCol w:w="765"/>
            <w:gridCol w:w="765"/>
            <w:gridCol w:w="942"/>
            <w:gridCol w:w="479"/>
          </w:tblGrid>
        </w:tblGridChange>
      </w:tblGrid>
      <w:tr w:rsidR="007202EC" w:rsidRPr="00990E5D" w14:paraId="15445930" w14:textId="77777777" w:rsidTr="00990E5D">
        <w:trPr>
          <w:trHeight w:val="3000"/>
          <w:tblHeader/>
        </w:trPr>
        <w:tc>
          <w:tcPr>
            <w:tcW w:w="1018"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09331DBC" w14:textId="77777777" w:rsidR="007202EC" w:rsidRPr="00990E5D" w:rsidRDefault="007202EC" w:rsidP="007202EC">
            <w:pPr>
              <w:overflowPunct/>
              <w:autoSpaceDE/>
              <w:autoSpaceDN/>
              <w:adjustRightInd/>
              <w:spacing w:before="0"/>
              <w:jc w:val="center"/>
              <w:textAlignment w:val="auto"/>
              <w:rPr>
                <w:b/>
                <w:bCs/>
                <w:sz w:val="18"/>
                <w:szCs w:val="18"/>
                <w:lang w:eastAsia="zh-CN"/>
              </w:rPr>
            </w:pPr>
            <w:r w:rsidRPr="00990E5D">
              <w:rPr>
                <w:b/>
                <w:bCs/>
                <w:sz w:val="18"/>
                <w:szCs w:val="18"/>
                <w:lang w:eastAsia="zh-CN"/>
              </w:rPr>
              <w:t>Puntos del Apéndice</w:t>
            </w:r>
          </w:p>
        </w:tc>
        <w:tc>
          <w:tcPr>
            <w:tcW w:w="4148"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090876B7" w14:textId="77777777" w:rsidR="007202EC" w:rsidRPr="00990E5D" w:rsidRDefault="007202EC" w:rsidP="007202EC">
            <w:pPr>
              <w:overflowPunct/>
              <w:autoSpaceDE/>
              <w:autoSpaceDN/>
              <w:adjustRightInd/>
              <w:spacing w:before="0"/>
              <w:jc w:val="center"/>
              <w:textAlignment w:val="auto"/>
              <w:rPr>
                <w:b/>
                <w:bCs/>
                <w:i/>
                <w:iCs/>
                <w:sz w:val="18"/>
                <w:szCs w:val="18"/>
                <w:lang w:eastAsia="zh-CN"/>
              </w:rPr>
            </w:pPr>
            <w:r w:rsidRPr="00990E5D">
              <w:rPr>
                <w:b/>
                <w:bCs/>
                <w:i/>
                <w:iCs/>
                <w:sz w:val="18"/>
                <w:szCs w:val="18"/>
                <w:lang w:eastAsia="zh-CN"/>
              </w:rPr>
              <w:t>A – CARACTERÍSTICAS GENERALES DE LA RED DE SATÉLITES, DE LA ESTACIÓN TERRENA O DE LA ESTACIÓN DE RADIOASTRONOMÍA</w:t>
            </w:r>
          </w:p>
        </w:tc>
        <w:tc>
          <w:tcPr>
            <w:tcW w:w="699"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24BEED8D" w14:textId="77777777" w:rsidR="007202EC" w:rsidRPr="00990E5D" w:rsidRDefault="007202EC" w:rsidP="007202EC">
            <w:pPr>
              <w:overflowPunct/>
              <w:autoSpaceDE/>
              <w:autoSpaceDN/>
              <w:adjustRightInd/>
              <w:spacing w:before="0"/>
              <w:jc w:val="center"/>
              <w:textAlignment w:val="auto"/>
              <w:rPr>
                <w:b/>
                <w:bCs/>
                <w:sz w:val="16"/>
                <w:szCs w:val="16"/>
                <w:lang w:eastAsia="zh-CN"/>
              </w:rPr>
            </w:pPr>
            <w:r w:rsidRPr="00990E5D">
              <w:rPr>
                <w:b/>
                <w:bCs/>
                <w:sz w:val="16"/>
                <w:szCs w:val="16"/>
                <w:lang w:eastAsia="zh-CN"/>
              </w:rPr>
              <w:t xml:space="preserve">Publicación anticipada de una red </w:t>
            </w:r>
            <w:r w:rsidRPr="00990E5D">
              <w:rPr>
                <w:b/>
                <w:bCs/>
                <w:sz w:val="16"/>
                <w:szCs w:val="16"/>
                <w:lang w:eastAsia="zh-CN"/>
              </w:rPr>
              <w:br/>
              <w:t>de satélites geoestacionarios</w:t>
            </w:r>
          </w:p>
        </w:tc>
        <w:tc>
          <w:tcPr>
            <w:tcW w:w="97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BABEDFF" w14:textId="77777777" w:rsidR="007202EC" w:rsidRPr="00990E5D" w:rsidRDefault="007202EC" w:rsidP="007202EC">
            <w:pPr>
              <w:overflowPunct/>
              <w:autoSpaceDE/>
              <w:autoSpaceDN/>
              <w:adjustRightInd/>
              <w:spacing w:before="0"/>
              <w:jc w:val="center"/>
              <w:textAlignment w:val="auto"/>
              <w:rPr>
                <w:b/>
                <w:bCs/>
                <w:sz w:val="16"/>
                <w:szCs w:val="16"/>
                <w:lang w:eastAsia="zh-CN"/>
              </w:rPr>
            </w:pPr>
            <w:r w:rsidRPr="00990E5D">
              <w:rPr>
                <w:b/>
                <w:bCs/>
                <w:sz w:val="16"/>
                <w:szCs w:val="16"/>
                <w:lang w:eastAsia="zh-CN"/>
              </w:rPr>
              <w:t xml:space="preserve">Publicación anticipada de una red </w:t>
            </w:r>
            <w:r w:rsidRPr="00990E5D">
              <w:rPr>
                <w:b/>
                <w:bCs/>
                <w:sz w:val="16"/>
                <w:szCs w:val="16"/>
                <w:lang w:eastAsia="zh-CN"/>
              </w:rPr>
              <w:br/>
              <w:t xml:space="preserve">de satélites no geoestacionarios </w:t>
            </w:r>
            <w:r w:rsidRPr="00990E5D">
              <w:rPr>
                <w:b/>
                <w:bCs/>
                <w:sz w:val="16"/>
                <w:szCs w:val="16"/>
                <w:lang w:eastAsia="zh-CN"/>
              </w:rPr>
              <w:br/>
              <w:t xml:space="preserve">sujeta a coordinación con arreglo </w:t>
            </w:r>
            <w:r w:rsidRPr="00990E5D">
              <w:rPr>
                <w:b/>
                <w:bCs/>
                <w:sz w:val="16"/>
                <w:szCs w:val="16"/>
                <w:lang w:eastAsia="zh-CN"/>
              </w:rPr>
              <w:br/>
              <w:t>a la Sección II del Artículo 9</w:t>
            </w:r>
          </w:p>
        </w:tc>
        <w:tc>
          <w:tcPr>
            <w:tcW w:w="97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DD63D2F" w14:textId="77777777" w:rsidR="007202EC" w:rsidRPr="00990E5D" w:rsidRDefault="007202EC" w:rsidP="007202EC">
            <w:pPr>
              <w:overflowPunct/>
              <w:autoSpaceDE/>
              <w:autoSpaceDN/>
              <w:adjustRightInd/>
              <w:spacing w:before="0"/>
              <w:jc w:val="center"/>
              <w:textAlignment w:val="auto"/>
              <w:rPr>
                <w:b/>
                <w:bCs/>
                <w:sz w:val="16"/>
                <w:szCs w:val="16"/>
                <w:lang w:eastAsia="zh-CN"/>
              </w:rPr>
            </w:pPr>
            <w:r w:rsidRPr="00990E5D">
              <w:rPr>
                <w:b/>
                <w:bCs/>
                <w:sz w:val="16"/>
                <w:szCs w:val="16"/>
                <w:lang w:eastAsia="zh-CN"/>
              </w:rPr>
              <w:t xml:space="preserve">Publicación anticipada de una red </w:t>
            </w:r>
            <w:r w:rsidRPr="00990E5D">
              <w:rPr>
                <w:b/>
                <w:bCs/>
                <w:sz w:val="16"/>
                <w:szCs w:val="16"/>
                <w:lang w:eastAsia="zh-CN"/>
              </w:rPr>
              <w:br/>
              <w:t xml:space="preserve">de satélites no geoestacionarios no </w:t>
            </w:r>
            <w:r w:rsidRPr="00990E5D">
              <w:rPr>
                <w:b/>
                <w:bCs/>
                <w:sz w:val="16"/>
                <w:szCs w:val="16"/>
                <w:lang w:eastAsia="zh-CN"/>
              </w:rPr>
              <w:br/>
              <w:t xml:space="preserve">sujeta a coordinación con arreglo </w:t>
            </w:r>
            <w:r w:rsidRPr="00990E5D">
              <w:rPr>
                <w:b/>
                <w:bCs/>
                <w:sz w:val="16"/>
                <w:szCs w:val="16"/>
                <w:lang w:eastAsia="zh-CN"/>
              </w:rPr>
              <w:br/>
              <w:t>a la Sección II del Artículo 9</w:t>
            </w:r>
          </w:p>
        </w:tc>
        <w:tc>
          <w:tcPr>
            <w:tcW w:w="102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EF5FCFB" w14:textId="77777777" w:rsidR="007202EC" w:rsidRPr="00990E5D" w:rsidRDefault="007202EC" w:rsidP="007202EC">
            <w:pPr>
              <w:overflowPunct/>
              <w:autoSpaceDE/>
              <w:autoSpaceDN/>
              <w:adjustRightInd/>
              <w:spacing w:before="0"/>
              <w:jc w:val="center"/>
              <w:textAlignment w:val="auto"/>
              <w:rPr>
                <w:b/>
                <w:bCs/>
                <w:sz w:val="16"/>
                <w:szCs w:val="16"/>
                <w:lang w:eastAsia="zh-CN"/>
              </w:rPr>
            </w:pPr>
            <w:r w:rsidRPr="00990E5D">
              <w:rPr>
                <w:b/>
                <w:bCs/>
                <w:sz w:val="16"/>
                <w:szCs w:val="16"/>
                <w:lang w:eastAsia="zh-CN"/>
              </w:rPr>
              <w:t xml:space="preserve">Notificación o coordinación de una </w:t>
            </w:r>
            <w:r w:rsidRPr="00990E5D">
              <w:rPr>
                <w:sz w:val="16"/>
                <w:szCs w:val="16"/>
                <w:lang w:eastAsia="zh-CN"/>
              </w:rPr>
              <w:br/>
            </w:r>
            <w:r w:rsidRPr="00990E5D">
              <w:rPr>
                <w:b/>
                <w:bCs/>
                <w:sz w:val="16"/>
                <w:szCs w:val="16"/>
                <w:lang w:eastAsia="zh-CN"/>
              </w:rPr>
              <w:t>red de satélites geoestacionarios (incluidas las funciones de</w:t>
            </w:r>
            <w:r w:rsidRPr="00990E5D">
              <w:rPr>
                <w:b/>
                <w:bCs/>
                <w:sz w:val="16"/>
                <w:szCs w:val="16"/>
                <w:lang w:eastAsia="zh-CN"/>
              </w:rPr>
              <w:br/>
              <w:t>operaciones espaciales del Artículo 2A de los Apéndices 30 o 30A)</w:t>
            </w:r>
          </w:p>
        </w:tc>
        <w:tc>
          <w:tcPr>
            <w:tcW w:w="62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DF6F8E7" w14:textId="77777777" w:rsidR="007202EC" w:rsidRPr="00990E5D" w:rsidRDefault="007202EC" w:rsidP="007202EC">
            <w:pPr>
              <w:overflowPunct/>
              <w:autoSpaceDE/>
              <w:autoSpaceDN/>
              <w:adjustRightInd/>
              <w:spacing w:before="0"/>
              <w:jc w:val="center"/>
              <w:textAlignment w:val="auto"/>
              <w:rPr>
                <w:b/>
                <w:bCs/>
                <w:sz w:val="16"/>
                <w:szCs w:val="16"/>
                <w:lang w:eastAsia="zh-CN"/>
              </w:rPr>
            </w:pPr>
            <w:r w:rsidRPr="00990E5D">
              <w:rPr>
                <w:b/>
                <w:bCs/>
                <w:sz w:val="16"/>
                <w:szCs w:val="16"/>
                <w:lang w:eastAsia="zh-CN"/>
              </w:rPr>
              <w:t xml:space="preserve">Notificación o coordinación de una </w:t>
            </w:r>
            <w:r w:rsidRPr="00990E5D">
              <w:rPr>
                <w:sz w:val="16"/>
                <w:szCs w:val="16"/>
                <w:lang w:eastAsia="zh-CN"/>
              </w:rPr>
              <w:br/>
            </w:r>
            <w:r w:rsidRPr="00990E5D">
              <w:rPr>
                <w:b/>
                <w:bCs/>
                <w:sz w:val="16"/>
                <w:szCs w:val="16"/>
                <w:lang w:eastAsia="zh-CN"/>
              </w:rPr>
              <w:t>red de satélites no geoestacionarios</w:t>
            </w:r>
          </w:p>
        </w:tc>
        <w:tc>
          <w:tcPr>
            <w:tcW w:w="83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6B7C050" w14:textId="77777777" w:rsidR="007202EC" w:rsidRPr="00990E5D" w:rsidRDefault="007202EC" w:rsidP="007202EC">
            <w:pPr>
              <w:overflowPunct/>
              <w:autoSpaceDE/>
              <w:autoSpaceDN/>
              <w:adjustRightInd/>
              <w:spacing w:before="0"/>
              <w:jc w:val="center"/>
              <w:textAlignment w:val="auto"/>
              <w:rPr>
                <w:b/>
                <w:bCs/>
                <w:sz w:val="16"/>
                <w:szCs w:val="16"/>
                <w:lang w:eastAsia="zh-CN"/>
              </w:rPr>
            </w:pPr>
            <w:r w:rsidRPr="00990E5D">
              <w:rPr>
                <w:b/>
                <w:bCs/>
                <w:sz w:val="16"/>
                <w:szCs w:val="16"/>
                <w:lang w:eastAsia="zh-CN"/>
              </w:rPr>
              <w:t xml:space="preserve">Notificación o coordinación de </w:t>
            </w:r>
            <w:r w:rsidRPr="00990E5D">
              <w:rPr>
                <w:b/>
                <w:bCs/>
                <w:sz w:val="16"/>
                <w:szCs w:val="16"/>
                <w:lang w:eastAsia="zh-CN"/>
              </w:rPr>
              <w:br/>
              <w:t xml:space="preserve">una estación terrena (incluida notificación según los </w:t>
            </w:r>
            <w:r w:rsidRPr="00990E5D">
              <w:rPr>
                <w:sz w:val="16"/>
                <w:szCs w:val="16"/>
                <w:lang w:eastAsia="zh-CN"/>
              </w:rPr>
              <w:br/>
            </w:r>
            <w:r w:rsidRPr="00990E5D">
              <w:rPr>
                <w:b/>
                <w:bCs/>
                <w:sz w:val="16"/>
                <w:szCs w:val="16"/>
                <w:lang w:eastAsia="zh-CN"/>
              </w:rPr>
              <w:t>Apéndices 30A o 30B)</w:t>
            </w:r>
          </w:p>
        </w:tc>
        <w:tc>
          <w:tcPr>
            <w:tcW w:w="84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259836B" w14:textId="77777777" w:rsidR="007202EC" w:rsidRPr="00990E5D" w:rsidRDefault="007202EC" w:rsidP="007202EC">
            <w:pPr>
              <w:overflowPunct/>
              <w:autoSpaceDE/>
              <w:autoSpaceDN/>
              <w:adjustRightInd/>
              <w:spacing w:before="0"/>
              <w:jc w:val="center"/>
              <w:textAlignment w:val="auto"/>
              <w:rPr>
                <w:b/>
                <w:bCs/>
                <w:sz w:val="16"/>
                <w:szCs w:val="16"/>
                <w:lang w:eastAsia="zh-CN"/>
              </w:rPr>
            </w:pPr>
            <w:r w:rsidRPr="00990E5D">
              <w:rPr>
                <w:b/>
                <w:bCs/>
                <w:sz w:val="16"/>
                <w:szCs w:val="16"/>
                <w:lang w:eastAsia="zh-CN"/>
              </w:rPr>
              <w:t xml:space="preserve">Notificación para una red de satélites del servicio de radiodifusión </w:t>
            </w:r>
            <w:r w:rsidRPr="00990E5D">
              <w:rPr>
                <w:b/>
                <w:bCs/>
                <w:sz w:val="16"/>
                <w:szCs w:val="16"/>
                <w:lang w:eastAsia="zh-CN"/>
              </w:rPr>
              <w:br/>
              <w:t>por satélite según el Apéndice 30</w:t>
            </w:r>
            <w:r w:rsidRPr="00990E5D">
              <w:rPr>
                <w:b/>
                <w:bCs/>
                <w:sz w:val="16"/>
                <w:szCs w:val="16"/>
                <w:lang w:eastAsia="zh-CN"/>
              </w:rPr>
              <w:br/>
              <w:t>(Artículos 4 y 5)</w:t>
            </w:r>
          </w:p>
        </w:tc>
        <w:tc>
          <w:tcPr>
            <w:tcW w:w="76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F138F37" w14:textId="77777777" w:rsidR="007202EC" w:rsidRPr="00990E5D" w:rsidRDefault="007202EC" w:rsidP="007202EC">
            <w:pPr>
              <w:overflowPunct/>
              <w:autoSpaceDE/>
              <w:autoSpaceDN/>
              <w:adjustRightInd/>
              <w:spacing w:before="0"/>
              <w:jc w:val="center"/>
              <w:textAlignment w:val="auto"/>
              <w:rPr>
                <w:b/>
                <w:bCs/>
                <w:sz w:val="16"/>
                <w:szCs w:val="16"/>
                <w:lang w:eastAsia="zh-CN"/>
              </w:rPr>
            </w:pPr>
            <w:r w:rsidRPr="00990E5D">
              <w:rPr>
                <w:b/>
                <w:bCs/>
                <w:sz w:val="16"/>
                <w:szCs w:val="16"/>
                <w:lang w:eastAsia="zh-CN"/>
              </w:rPr>
              <w:t xml:space="preserve">Notificación para una red de satélites de enlace de conexión según </w:t>
            </w:r>
            <w:r w:rsidRPr="00990E5D">
              <w:rPr>
                <w:b/>
                <w:bCs/>
                <w:sz w:val="16"/>
                <w:szCs w:val="16"/>
                <w:lang w:eastAsia="zh-CN"/>
              </w:rPr>
              <w:br/>
              <w:t>el Apéndice 30A (Artículos 4 y 5)</w:t>
            </w:r>
          </w:p>
        </w:tc>
        <w:tc>
          <w:tcPr>
            <w:tcW w:w="765"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3C6A07AC" w14:textId="77777777" w:rsidR="007202EC" w:rsidRPr="00990E5D" w:rsidRDefault="007202EC" w:rsidP="007202EC">
            <w:pPr>
              <w:overflowPunct/>
              <w:autoSpaceDE/>
              <w:autoSpaceDN/>
              <w:adjustRightInd/>
              <w:spacing w:before="0"/>
              <w:jc w:val="center"/>
              <w:textAlignment w:val="auto"/>
              <w:rPr>
                <w:b/>
                <w:bCs/>
                <w:sz w:val="16"/>
                <w:szCs w:val="16"/>
                <w:lang w:eastAsia="zh-CN"/>
              </w:rPr>
            </w:pPr>
            <w:r w:rsidRPr="00990E5D">
              <w:rPr>
                <w:b/>
                <w:bCs/>
                <w:sz w:val="16"/>
                <w:szCs w:val="16"/>
                <w:lang w:eastAsia="zh-CN"/>
              </w:rPr>
              <w:t xml:space="preserve">Notificación para una red de satélites del servicio fijo por satélite según </w:t>
            </w:r>
            <w:r w:rsidRPr="00990E5D">
              <w:rPr>
                <w:sz w:val="16"/>
                <w:szCs w:val="16"/>
                <w:lang w:eastAsia="zh-CN"/>
              </w:rPr>
              <w:br/>
            </w:r>
            <w:r w:rsidRPr="00990E5D">
              <w:rPr>
                <w:b/>
                <w:bCs/>
                <w:sz w:val="16"/>
                <w:szCs w:val="16"/>
                <w:lang w:eastAsia="zh-CN"/>
              </w:rPr>
              <w:t>el Apéndice 30B Artículos 6 y 8)</w:t>
            </w:r>
          </w:p>
        </w:tc>
        <w:tc>
          <w:tcPr>
            <w:tcW w:w="942" w:type="dxa"/>
            <w:tcBorders>
              <w:top w:val="single" w:sz="12" w:space="0" w:color="auto"/>
              <w:left w:val="nil"/>
              <w:bottom w:val="single" w:sz="12" w:space="0" w:color="auto"/>
              <w:right w:val="nil"/>
            </w:tcBorders>
            <w:shd w:val="clear" w:color="000000" w:fill="auto"/>
            <w:textDirection w:val="btLr"/>
            <w:vAlign w:val="center"/>
            <w:hideMark/>
          </w:tcPr>
          <w:p w14:paraId="4AB53164" w14:textId="77777777" w:rsidR="007202EC" w:rsidRPr="00990E5D" w:rsidRDefault="007202EC" w:rsidP="007202EC">
            <w:pPr>
              <w:overflowPunct/>
              <w:autoSpaceDE/>
              <w:autoSpaceDN/>
              <w:adjustRightInd/>
              <w:spacing w:before="0"/>
              <w:jc w:val="center"/>
              <w:textAlignment w:val="auto"/>
              <w:rPr>
                <w:b/>
                <w:bCs/>
                <w:sz w:val="16"/>
                <w:szCs w:val="16"/>
                <w:lang w:eastAsia="zh-CN"/>
              </w:rPr>
            </w:pPr>
            <w:r w:rsidRPr="00990E5D">
              <w:rPr>
                <w:b/>
                <w:bCs/>
                <w:sz w:val="16"/>
                <w:szCs w:val="16"/>
                <w:lang w:eastAsia="zh-CN"/>
              </w:rPr>
              <w:t>Puntos del Apéndice</w:t>
            </w:r>
          </w:p>
        </w:tc>
        <w:tc>
          <w:tcPr>
            <w:tcW w:w="47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2434B65A" w14:textId="77777777" w:rsidR="007202EC" w:rsidRPr="00990E5D" w:rsidRDefault="007202EC" w:rsidP="007202EC">
            <w:pPr>
              <w:overflowPunct/>
              <w:autoSpaceDE/>
              <w:autoSpaceDN/>
              <w:adjustRightInd/>
              <w:spacing w:before="0"/>
              <w:jc w:val="center"/>
              <w:textAlignment w:val="auto"/>
              <w:rPr>
                <w:b/>
                <w:bCs/>
                <w:sz w:val="16"/>
                <w:szCs w:val="16"/>
                <w:lang w:eastAsia="zh-CN"/>
              </w:rPr>
            </w:pPr>
            <w:r w:rsidRPr="00990E5D">
              <w:rPr>
                <w:b/>
                <w:bCs/>
                <w:sz w:val="16"/>
                <w:szCs w:val="16"/>
                <w:lang w:eastAsia="zh-CN"/>
              </w:rPr>
              <w:t>Radioastronomía</w:t>
            </w:r>
          </w:p>
        </w:tc>
      </w:tr>
      <w:tr w:rsidR="007202EC" w:rsidRPr="00990E5D" w14:paraId="070F369B" w14:textId="77777777" w:rsidTr="00990E5D">
        <w:trPr>
          <w:cantSplit/>
        </w:trPr>
        <w:tc>
          <w:tcPr>
            <w:tcW w:w="1018" w:type="dxa"/>
            <w:tcBorders>
              <w:top w:val="nil"/>
              <w:left w:val="single" w:sz="12" w:space="0" w:color="auto"/>
              <w:bottom w:val="single" w:sz="4" w:space="0" w:color="auto"/>
              <w:right w:val="double" w:sz="6" w:space="0" w:color="auto"/>
            </w:tcBorders>
            <w:shd w:val="clear" w:color="auto" w:fill="auto"/>
            <w:hideMark/>
          </w:tcPr>
          <w:p w14:paraId="7A1E4CA4" w14:textId="77777777" w:rsidR="007202EC" w:rsidRPr="00990E5D" w:rsidRDefault="007202EC" w:rsidP="007202E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990E5D">
              <w:rPr>
                <w:rFonts w:asciiTheme="majorBidi" w:hAnsiTheme="majorBidi" w:cstheme="majorBidi"/>
                <w:b/>
                <w:bCs/>
                <w:sz w:val="18"/>
                <w:szCs w:val="18"/>
                <w:lang w:eastAsia="zh-CN"/>
              </w:rPr>
              <w:t>A.18</w:t>
            </w:r>
          </w:p>
        </w:tc>
        <w:tc>
          <w:tcPr>
            <w:tcW w:w="4148" w:type="dxa"/>
            <w:tcBorders>
              <w:top w:val="single" w:sz="4" w:space="0" w:color="auto"/>
              <w:left w:val="nil"/>
              <w:bottom w:val="single" w:sz="4" w:space="0" w:color="auto"/>
              <w:right w:val="double" w:sz="4" w:space="0" w:color="auto"/>
            </w:tcBorders>
            <w:shd w:val="clear" w:color="auto" w:fill="auto"/>
            <w:hideMark/>
          </w:tcPr>
          <w:p w14:paraId="776F3758" w14:textId="77777777" w:rsidR="007202EC" w:rsidRPr="00990E5D" w:rsidRDefault="007202EC" w:rsidP="007202E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990E5D">
              <w:rPr>
                <w:rFonts w:asciiTheme="majorBidi" w:hAnsiTheme="majorBidi" w:cstheme="majorBidi"/>
                <w:b/>
                <w:bCs/>
                <w:sz w:val="18"/>
                <w:szCs w:val="18"/>
                <w:lang w:eastAsia="zh-CN"/>
              </w:rPr>
              <w:t>CONFORMIDAD CON LA NOTIFICACIÓN DE UNA O VARIAS ESTACIONES TERRENAS DE AERONAVES</w:t>
            </w:r>
          </w:p>
        </w:tc>
        <w:tc>
          <w:tcPr>
            <w:tcW w:w="7521" w:type="dxa"/>
            <w:gridSpan w:val="9"/>
            <w:tcBorders>
              <w:top w:val="nil"/>
              <w:left w:val="double" w:sz="4" w:space="0" w:color="auto"/>
              <w:bottom w:val="single" w:sz="4" w:space="0" w:color="auto"/>
              <w:right w:val="double" w:sz="6" w:space="0" w:color="auto"/>
            </w:tcBorders>
            <w:shd w:val="clear" w:color="000000" w:fill="C0C0C0"/>
            <w:vAlign w:val="center"/>
            <w:hideMark/>
          </w:tcPr>
          <w:p w14:paraId="00AB3045" w14:textId="77777777" w:rsidR="007202EC" w:rsidRPr="00990E5D" w:rsidRDefault="007202EC" w:rsidP="007202EC">
            <w:pPr>
              <w:keepNext/>
              <w:spacing w:before="40" w:after="40"/>
              <w:jc w:val="center"/>
              <w:rPr>
                <w:rFonts w:asciiTheme="majorBidi" w:hAnsiTheme="majorBidi" w:cstheme="majorBidi"/>
                <w:b/>
                <w:bCs/>
                <w:sz w:val="18"/>
                <w:szCs w:val="18"/>
              </w:rPr>
            </w:pPr>
          </w:p>
        </w:tc>
        <w:tc>
          <w:tcPr>
            <w:tcW w:w="942" w:type="dxa"/>
            <w:tcBorders>
              <w:top w:val="nil"/>
              <w:left w:val="nil"/>
              <w:bottom w:val="single" w:sz="4" w:space="0" w:color="auto"/>
              <w:right w:val="double" w:sz="6" w:space="0" w:color="auto"/>
            </w:tcBorders>
            <w:shd w:val="clear" w:color="auto" w:fill="auto"/>
            <w:hideMark/>
          </w:tcPr>
          <w:p w14:paraId="42677FF0" w14:textId="77777777" w:rsidR="007202EC" w:rsidRPr="00990E5D" w:rsidRDefault="007202EC" w:rsidP="007202E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990E5D">
              <w:rPr>
                <w:rFonts w:asciiTheme="majorBidi" w:hAnsiTheme="majorBidi" w:cstheme="majorBidi"/>
                <w:b/>
                <w:bCs/>
                <w:sz w:val="18"/>
                <w:szCs w:val="18"/>
                <w:lang w:eastAsia="zh-CN"/>
              </w:rPr>
              <w:t>A.18</w:t>
            </w:r>
          </w:p>
        </w:tc>
        <w:tc>
          <w:tcPr>
            <w:tcW w:w="479" w:type="dxa"/>
            <w:tcBorders>
              <w:top w:val="nil"/>
              <w:left w:val="nil"/>
              <w:bottom w:val="single" w:sz="4" w:space="0" w:color="auto"/>
              <w:right w:val="single" w:sz="12" w:space="0" w:color="auto"/>
            </w:tcBorders>
            <w:shd w:val="clear" w:color="000000" w:fill="C0C0C0"/>
            <w:vAlign w:val="center"/>
            <w:hideMark/>
          </w:tcPr>
          <w:p w14:paraId="17A3EEDC" w14:textId="77777777" w:rsidR="007202EC" w:rsidRPr="00990E5D" w:rsidRDefault="007202EC" w:rsidP="007202EC">
            <w:pPr>
              <w:keepNext/>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r>
      <w:tr w:rsidR="007202EC" w:rsidRPr="00990E5D" w14:paraId="5402089E" w14:textId="77777777" w:rsidTr="00990E5D">
        <w:trPr>
          <w:cantSplit/>
        </w:trPr>
        <w:tc>
          <w:tcPr>
            <w:tcW w:w="1018" w:type="dxa"/>
            <w:tcBorders>
              <w:top w:val="nil"/>
              <w:left w:val="single" w:sz="12" w:space="0" w:color="auto"/>
              <w:bottom w:val="single" w:sz="4" w:space="0" w:color="auto"/>
              <w:right w:val="double" w:sz="6" w:space="0" w:color="auto"/>
            </w:tcBorders>
            <w:shd w:val="clear" w:color="auto" w:fill="auto"/>
            <w:hideMark/>
          </w:tcPr>
          <w:p w14:paraId="6DAE9320" w14:textId="77777777" w:rsidR="007202EC" w:rsidRPr="00990E5D" w:rsidRDefault="007202EC" w:rsidP="007202E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990E5D">
              <w:rPr>
                <w:rFonts w:asciiTheme="majorBidi" w:hAnsiTheme="majorBidi" w:cstheme="majorBidi"/>
                <w:sz w:val="18"/>
                <w:szCs w:val="18"/>
                <w:lang w:eastAsia="zh-CN"/>
              </w:rPr>
              <w:t>A.18.a</w:t>
            </w:r>
          </w:p>
        </w:tc>
        <w:tc>
          <w:tcPr>
            <w:tcW w:w="4148" w:type="dxa"/>
            <w:tcBorders>
              <w:top w:val="nil"/>
              <w:left w:val="nil"/>
              <w:bottom w:val="single" w:sz="2" w:space="0" w:color="auto"/>
              <w:right w:val="double" w:sz="4" w:space="0" w:color="auto"/>
            </w:tcBorders>
            <w:shd w:val="clear" w:color="auto" w:fill="auto"/>
            <w:hideMark/>
          </w:tcPr>
          <w:p w14:paraId="5D4F2304" w14:textId="77777777" w:rsidR="007202EC" w:rsidRPr="00990E5D" w:rsidRDefault="007202EC" w:rsidP="007202EC">
            <w:pPr>
              <w:spacing w:before="40" w:after="40"/>
              <w:ind w:left="170"/>
              <w:rPr>
                <w:rFonts w:asciiTheme="majorBidi" w:hAnsiTheme="majorBidi" w:cstheme="majorBidi"/>
                <w:sz w:val="18"/>
                <w:szCs w:val="18"/>
              </w:rPr>
            </w:pPr>
            <w:r w:rsidRPr="00990E5D">
              <w:rPr>
                <w:sz w:val="18"/>
                <w:szCs w:val="18"/>
                <w:lang w:eastAsia="zh-CN"/>
              </w:rPr>
              <w:t>comprometerse al cumplimiento de que las características de la estación terrena de aeronave (AES) del servicio móvil aeronáutico por satélite se ajustan a las características de las estaciones terrenas específicas y/o típicas publicadas por la Oficina para la estación espacial con la que está asociada la AES</w:t>
            </w:r>
          </w:p>
          <w:p w14:paraId="3FFF3BFA" w14:textId="77777777" w:rsidR="007202EC" w:rsidRPr="00990E5D" w:rsidRDefault="007202EC" w:rsidP="007202EC">
            <w:pPr>
              <w:spacing w:before="40" w:after="40"/>
              <w:ind w:left="340"/>
              <w:rPr>
                <w:rFonts w:asciiTheme="majorBidi" w:hAnsiTheme="majorBidi" w:cstheme="majorBidi"/>
                <w:sz w:val="18"/>
                <w:szCs w:val="18"/>
              </w:rPr>
            </w:pPr>
            <w:r w:rsidRPr="00990E5D">
              <w:rPr>
                <w:sz w:val="18"/>
                <w:szCs w:val="18"/>
                <w:lang w:eastAsia="zh-CN"/>
              </w:rPr>
              <w:t>Obligatorio únicamente en la banda 14-14,5 GHz, cuando una estación terrena del servicio móvil aeronáutico por satélite se comunica con una estación espacial del servicio fijo por satélite</w:t>
            </w:r>
          </w:p>
        </w:tc>
        <w:tc>
          <w:tcPr>
            <w:tcW w:w="699" w:type="dxa"/>
            <w:tcBorders>
              <w:top w:val="nil"/>
              <w:left w:val="double" w:sz="4" w:space="0" w:color="auto"/>
              <w:bottom w:val="single" w:sz="4" w:space="0" w:color="auto"/>
              <w:right w:val="single" w:sz="4" w:space="0" w:color="auto"/>
            </w:tcBorders>
            <w:shd w:val="clear" w:color="auto" w:fill="auto"/>
            <w:vAlign w:val="center"/>
            <w:hideMark/>
          </w:tcPr>
          <w:p w14:paraId="3DACB266"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978" w:type="dxa"/>
            <w:tcBorders>
              <w:top w:val="nil"/>
              <w:left w:val="single" w:sz="4" w:space="0" w:color="auto"/>
              <w:bottom w:val="single" w:sz="4" w:space="0" w:color="auto"/>
              <w:right w:val="single" w:sz="4" w:space="0" w:color="auto"/>
            </w:tcBorders>
            <w:shd w:val="clear" w:color="auto" w:fill="auto"/>
            <w:vAlign w:val="center"/>
            <w:hideMark/>
          </w:tcPr>
          <w:p w14:paraId="2544BEF6"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978" w:type="dxa"/>
            <w:tcBorders>
              <w:top w:val="nil"/>
              <w:left w:val="single" w:sz="4" w:space="0" w:color="auto"/>
              <w:bottom w:val="single" w:sz="4" w:space="0" w:color="auto"/>
              <w:right w:val="single" w:sz="4" w:space="0" w:color="auto"/>
            </w:tcBorders>
            <w:shd w:val="clear" w:color="auto" w:fill="auto"/>
            <w:vAlign w:val="center"/>
            <w:hideMark/>
          </w:tcPr>
          <w:p w14:paraId="595E96EB"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1026" w:type="dxa"/>
            <w:tcBorders>
              <w:top w:val="nil"/>
              <w:left w:val="single" w:sz="4" w:space="0" w:color="auto"/>
              <w:bottom w:val="single" w:sz="4" w:space="0" w:color="auto"/>
              <w:right w:val="single" w:sz="4" w:space="0" w:color="auto"/>
            </w:tcBorders>
            <w:shd w:val="clear" w:color="auto" w:fill="auto"/>
            <w:vAlign w:val="center"/>
            <w:hideMark/>
          </w:tcPr>
          <w:p w14:paraId="1CD08E04"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w:t>
            </w:r>
          </w:p>
        </w:tc>
        <w:tc>
          <w:tcPr>
            <w:tcW w:w="629" w:type="dxa"/>
            <w:tcBorders>
              <w:top w:val="nil"/>
              <w:left w:val="single" w:sz="4" w:space="0" w:color="auto"/>
              <w:bottom w:val="single" w:sz="4" w:space="0" w:color="auto"/>
              <w:right w:val="single" w:sz="4" w:space="0" w:color="auto"/>
            </w:tcBorders>
            <w:shd w:val="clear" w:color="auto" w:fill="auto"/>
            <w:vAlign w:val="center"/>
            <w:hideMark/>
          </w:tcPr>
          <w:p w14:paraId="07E4DE5D"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w:t>
            </w:r>
          </w:p>
        </w:tc>
        <w:tc>
          <w:tcPr>
            <w:tcW w:w="833" w:type="dxa"/>
            <w:tcBorders>
              <w:top w:val="nil"/>
              <w:left w:val="single" w:sz="4" w:space="0" w:color="auto"/>
              <w:bottom w:val="single" w:sz="4" w:space="0" w:color="auto"/>
              <w:right w:val="single" w:sz="4" w:space="0" w:color="auto"/>
            </w:tcBorders>
            <w:shd w:val="clear" w:color="auto" w:fill="auto"/>
            <w:vAlign w:val="center"/>
            <w:hideMark/>
          </w:tcPr>
          <w:p w14:paraId="72333E05"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848" w:type="dxa"/>
            <w:tcBorders>
              <w:top w:val="nil"/>
              <w:left w:val="single" w:sz="4" w:space="0" w:color="auto"/>
              <w:bottom w:val="single" w:sz="4" w:space="0" w:color="auto"/>
              <w:right w:val="single" w:sz="4" w:space="0" w:color="auto"/>
            </w:tcBorders>
            <w:shd w:val="clear" w:color="auto" w:fill="auto"/>
            <w:vAlign w:val="center"/>
            <w:hideMark/>
          </w:tcPr>
          <w:p w14:paraId="32DF3469"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765" w:type="dxa"/>
            <w:tcBorders>
              <w:top w:val="nil"/>
              <w:left w:val="single" w:sz="4" w:space="0" w:color="auto"/>
              <w:bottom w:val="single" w:sz="4" w:space="0" w:color="auto"/>
              <w:right w:val="single" w:sz="4" w:space="0" w:color="auto"/>
            </w:tcBorders>
            <w:shd w:val="clear" w:color="auto" w:fill="auto"/>
            <w:vAlign w:val="center"/>
            <w:hideMark/>
          </w:tcPr>
          <w:p w14:paraId="37EA7DE1"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765" w:type="dxa"/>
            <w:tcBorders>
              <w:top w:val="nil"/>
              <w:left w:val="single" w:sz="4" w:space="0" w:color="auto"/>
              <w:bottom w:val="single" w:sz="4" w:space="0" w:color="auto"/>
              <w:right w:val="single" w:sz="4" w:space="0" w:color="auto"/>
            </w:tcBorders>
            <w:shd w:val="clear" w:color="auto" w:fill="auto"/>
            <w:vAlign w:val="center"/>
            <w:hideMark/>
          </w:tcPr>
          <w:p w14:paraId="39EC037F"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942" w:type="dxa"/>
            <w:tcBorders>
              <w:top w:val="nil"/>
              <w:left w:val="double" w:sz="6" w:space="0" w:color="auto"/>
              <w:bottom w:val="single" w:sz="4" w:space="0" w:color="auto"/>
              <w:right w:val="double" w:sz="6" w:space="0" w:color="auto"/>
            </w:tcBorders>
            <w:shd w:val="clear" w:color="auto" w:fill="auto"/>
            <w:hideMark/>
          </w:tcPr>
          <w:p w14:paraId="2E4EE20D" w14:textId="77777777" w:rsidR="007202EC" w:rsidRPr="00990E5D" w:rsidRDefault="007202EC" w:rsidP="007202E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990E5D">
              <w:rPr>
                <w:rFonts w:asciiTheme="majorBidi" w:hAnsiTheme="majorBidi" w:cstheme="majorBidi"/>
                <w:sz w:val="18"/>
                <w:szCs w:val="18"/>
                <w:lang w:eastAsia="zh-CN"/>
              </w:rPr>
              <w:t>A.18.a</w:t>
            </w:r>
          </w:p>
        </w:tc>
        <w:tc>
          <w:tcPr>
            <w:tcW w:w="479" w:type="dxa"/>
            <w:tcBorders>
              <w:top w:val="nil"/>
              <w:left w:val="double" w:sz="6" w:space="0" w:color="auto"/>
              <w:bottom w:val="single" w:sz="4" w:space="0" w:color="auto"/>
              <w:right w:val="single" w:sz="12" w:space="0" w:color="auto"/>
            </w:tcBorders>
            <w:shd w:val="clear" w:color="auto" w:fill="auto"/>
            <w:vAlign w:val="center"/>
            <w:hideMark/>
          </w:tcPr>
          <w:p w14:paraId="2342C811"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r>
      <w:tr w:rsidR="007202EC" w:rsidRPr="00990E5D" w14:paraId="5F386510" w14:textId="77777777" w:rsidTr="00990E5D">
        <w:trPr>
          <w:cantSplit/>
        </w:trPr>
        <w:tc>
          <w:tcPr>
            <w:tcW w:w="1018" w:type="dxa"/>
            <w:tcBorders>
              <w:top w:val="nil"/>
              <w:left w:val="single" w:sz="12" w:space="0" w:color="auto"/>
              <w:bottom w:val="single" w:sz="4" w:space="0" w:color="auto"/>
              <w:right w:val="double" w:sz="6" w:space="0" w:color="auto"/>
            </w:tcBorders>
            <w:shd w:val="clear" w:color="auto" w:fill="auto"/>
            <w:hideMark/>
          </w:tcPr>
          <w:p w14:paraId="6D118A6F" w14:textId="77777777" w:rsidR="007202EC" w:rsidRPr="00990E5D" w:rsidRDefault="007202EC" w:rsidP="007202E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990E5D">
              <w:rPr>
                <w:rFonts w:asciiTheme="majorBidi" w:hAnsiTheme="majorBidi" w:cstheme="majorBidi"/>
                <w:b/>
                <w:bCs/>
                <w:sz w:val="18"/>
                <w:szCs w:val="18"/>
                <w:lang w:eastAsia="zh-CN"/>
              </w:rPr>
              <w:t>A.19</w:t>
            </w:r>
          </w:p>
        </w:tc>
        <w:tc>
          <w:tcPr>
            <w:tcW w:w="4148" w:type="dxa"/>
            <w:tcBorders>
              <w:top w:val="single" w:sz="2" w:space="0" w:color="auto"/>
              <w:left w:val="nil"/>
              <w:bottom w:val="single" w:sz="4" w:space="0" w:color="auto"/>
              <w:right w:val="double" w:sz="4" w:space="0" w:color="auto"/>
            </w:tcBorders>
            <w:shd w:val="clear" w:color="auto" w:fill="auto"/>
            <w:hideMark/>
          </w:tcPr>
          <w:p w14:paraId="54F8B9E3" w14:textId="77777777" w:rsidR="007202EC" w:rsidRPr="00990E5D" w:rsidRDefault="007202EC" w:rsidP="007202E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990E5D">
              <w:rPr>
                <w:b/>
                <w:bCs/>
                <w:sz w:val="18"/>
                <w:szCs w:val="18"/>
                <w:lang w:eastAsia="zh-CN"/>
              </w:rPr>
              <w:t>CONFORMIDAD CON EL § 6.26 DEL ARTÍCULO 6 DEL APÉNDICE 30B</w:t>
            </w:r>
          </w:p>
        </w:tc>
        <w:tc>
          <w:tcPr>
            <w:tcW w:w="699" w:type="dxa"/>
            <w:tcBorders>
              <w:top w:val="nil"/>
              <w:left w:val="double" w:sz="4" w:space="0" w:color="auto"/>
              <w:bottom w:val="single" w:sz="4" w:space="0" w:color="auto"/>
              <w:right w:val="single" w:sz="4" w:space="0" w:color="auto"/>
            </w:tcBorders>
            <w:shd w:val="clear" w:color="000000" w:fill="C0C0C0"/>
            <w:vAlign w:val="center"/>
            <w:hideMark/>
          </w:tcPr>
          <w:p w14:paraId="65001327" w14:textId="77777777" w:rsidR="007202EC" w:rsidRPr="00990E5D" w:rsidRDefault="007202EC" w:rsidP="007202EC">
            <w:pPr>
              <w:keepNext/>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978" w:type="dxa"/>
            <w:tcBorders>
              <w:top w:val="nil"/>
              <w:left w:val="nil"/>
              <w:bottom w:val="single" w:sz="4" w:space="0" w:color="auto"/>
              <w:right w:val="single" w:sz="4" w:space="0" w:color="auto"/>
            </w:tcBorders>
            <w:shd w:val="clear" w:color="000000" w:fill="C0C0C0"/>
            <w:vAlign w:val="center"/>
            <w:hideMark/>
          </w:tcPr>
          <w:p w14:paraId="4EEBA944" w14:textId="77777777" w:rsidR="007202EC" w:rsidRPr="00990E5D" w:rsidRDefault="007202EC" w:rsidP="007202EC">
            <w:pPr>
              <w:keepNext/>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978" w:type="dxa"/>
            <w:tcBorders>
              <w:top w:val="nil"/>
              <w:left w:val="nil"/>
              <w:bottom w:val="single" w:sz="4" w:space="0" w:color="auto"/>
              <w:right w:val="single" w:sz="4" w:space="0" w:color="auto"/>
            </w:tcBorders>
            <w:shd w:val="clear" w:color="000000" w:fill="C0C0C0"/>
            <w:vAlign w:val="center"/>
            <w:hideMark/>
          </w:tcPr>
          <w:p w14:paraId="41C97756" w14:textId="77777777" w:rsidR="007202EC" w:rsidRPr="00990E5D" w:rsidRDefault="007202EC" w:rsidP="007202EC">
            <w:pPr>
              <w:keepNext/>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1026" w:type="dxa"/>
            <w:tcBorders>
              <w:top w:val="nil"/>
              <w:left w:val="nil"/>
              <w:bottom w:val="single" w:sz="4" w:space="0" w:color="auto"/>
              <w:right w:val="single" w:sz="4" w:space="0" w:color="auto"/>
            </w:tcBorders>
            <w:shd w:val="clear" w:color="000000" w:fill="C0C0C0"/>
            <w:vAlign w:val="center"/>
            <w:hideMark/>
          </w:tcPr>
          <w:p w14:paraId="68F3EBB7" w14:textId="77777777" w:rsidR="007202EC" w:rsidRPr="00990E5D" w:rsidRDefault="007202EC" w:rsidP="007202EC">
            <w:pPr>
              <w:keepNext/>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629" w:type="dxa"/>
            <w:tcBorders>
              <w:top w:val="nil"/>
              <w:left w:val="nil"/>
              <w:bottom w:val="single" w:sz="4" w:space="0" w:color="auto"/>
              <w:right w:val="single" w:sz="4" w:space="0" w:color="auto"/>
            </w:tcBorders>
            <w:shd w:val="clear" w:color="000000" w:fill="C0C0C0"/>
            <w:vAlign w:val="center"/>
            <w:hideMark/>
          </w:tcPr>
          <w:p w14:paraId="70A6C4A3" w14:textId="77777777" w:rsidR="007202EC" w:rsidRPr="00990E5D" w:rsidRDefault="007202EC" w:rsidP="007202EC">
            <w:pPr>
              <w:keepNext/>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833" w:type="dxa"/>
            <w:tcBorders>
              <w:top w:val="nil"/>
              <w:left w:val="nil"/>
              <w:bottom w:val="single" w:sz="4" w:space="0" w:color="auto"/>
              <w:right w:val="single" w:sz="4" w:space="0" w:color="auto"/>
            </w:tcBorders>
            <w:shd w:val="clear" w:color="000000" w:fill="C0C0C0"/>
            <w:vAlign w:val="center"/>
            <w:hideMark/>
          </w:tcPr>
          <w:p w14:paraId="48D29667" w14:textId="77777777" w:rsidR="007202EC" w:rsidRPr="00990E5D" w:rsidRDefault="007202EC" w:rsidP="007202EC">
            <w:pPr>
              <w:keepNext/>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848" w:type="dxa"/>
            <w:tcBorders>
              <w:top w:val="nil"/>
              <w:left w:val="nil"/>
              <w:bottom w:val="single" w:sz="4" w:space="0" w:color="auto"/>
              <w:right w:val="single" w:sz="4" w:space="0" w:color="auto"/>
            </w:tcBorders>
            <w:shd w:val="clear" w:color="000000" w:fill="C0C0C0"/>
            <w:vAlign w:val="center"/>
            <w:hideMark/>
          </w:tcPr>
          <w:p w14:paraId="51E0CA8E" w14:textId="77777777" w:rsidR="007202EC" w:rsidRPr="00990E5D" w:rsidRDefault="007202EC" w:rsidP="007202EC">
            <w:pPr>
              <w:keepNext/>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765" w:type="dxa"/>
            <w:tcBorders>
              <w:top w:val="nil"/>
              <w:left w:val="nil"/>
              <w:bottom w:val="single" w:sz="4" w:space="0" w:color="auto"/>
              <w:right w:val="single" w:sz="4" w:space="0" w:color="auto"/>
            </w:tcBorders>
            <w:shd w:val="clear" w:color="000000" w:fill="C0C0C0"/>
            <w:vAlign w:val="center"/>
            <w:hideMark/>
          </w:tcPr>
          <w:p w14:paraId="37C77AF5" w14:textId="77777777" w:rsidR="007202EC" w:rsidRPr="00990E5D" w:rsidRDefault="007202EC" w:rsidP="007202EC">
            <w:pPr>
              <w:keepNext/>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765" w:type="dxa"/>
            <w:tcBorders>
              <w:top w:val="nil"/>
              <w:left w:val="nil"/>
              <w:bottom w:val="single" w:sz="4" w:space="0" w:color="auto"/>
              <w:right w:val="double" w:sz="6" w:space="0" w:color="auto"/>
            </w:tcBorders>
            <w:shd w:val="clear" w:color="000000" w:fill="C0C0C0"/>
            <w:vAlign w:val="center"/>
            <w:hideMark/>
          </w:tcPr>
          <w:p w14:paraId="7AC4ECE1" w14:textId="77777777" w:rsidR="007202EC" w:rsidRPr="00990E5D" w:rsidRDefault="007202EC" w:rsidP="007202EC">
            <w:pPr>
              <w:keepNext/>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942" w:type="dxa"/>
            <w:tcBorders>
              <w:top w:val="nil"/>
              <w:left w:val="nil"/>
              <w:bottom w:val="single" w:sz="4" w:space="0" w:color="auto"/>
              <w:right w:val="double" w:sz="6" w:space="0" w:color="auto"/>
            </w:tcBorders>
            <w:shd w:val="clear" w:color="auto" w:fill="auto"/>
            <w:hideMark/>
          </w:tcPr>
          <w:p w14:paraId="6FC078CF" w14:textId="77777777" w:rsidR="007202EC" w:rsidRPr="00990E5D" w:rsidRDefault="007202EC" w:rsidP="007202E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990E5D">
              <w:rPr>
                <w:rFonts w:asciiTheme="majorBidi" w:hAnsiTheme="majorBidi" w:cstheme="majorBidi"/>
                <w:b/>
                <w:bCs/>
                <w:sz w:val="18"/>
                <w:szCs w:val="18"/>
              </w:rPr>
              <w:t>A.19</w:t>
            </w:r>
          </w:p>
        </w:tc>
        <w:tc>
          <w:tcPr>
            <w:tcW w:w="479" w:type="dxa"/>
            <w:tcBorders>
              <w:top w:val="nil"/>
              <w:left w:val="nil"/>
              <w:bottom w:val="single" w:sz="4" w:space="0" w:color="auto"/>
              <w:right w:val="single" w:sz="12" w:space="0" w:color="auto"/>
            </w:tcBorders>
            <w:shd w:val="clear" w:color="000000" w:fill="C0C0C0"/>
            <w:vAlign w:val="center"/>
            <w:hideMark/>
          </w:tcPr>
          <w:p w14:paraId="45E78DD1" w14:textId="77777777" w:rsidR="007202EC" w:rsidRPr="00990E5D" w:rsidRDefault="007202EC" w:rsidP="007202EC">
            <w:pPr>
              <w:keepNext/>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r>
      <w:tr w:rsidR="007202EC" w:rsidRPr="00990E5D" w14:paraId="5BD1A8EC" w14:textId="77777777" w:rsidTr="00990E5D">
        <w:trPr>
          <w:cantSplit/>
        </w:trPr>
        <w:tc>
          <w:tcPr>
            <w:tcW w:w="1018" w:type="dxa"/>
            <w:tcBorders>
              <w:top w:val="single" w:sz="4" w:space="0" w:color="auto"/>
              <w:left w:val="single" w:sz="12" w:space="0" w:color="auto"/>
              <w:bottom w:val="single" w:sz="4" w:space="0" w:color="auto"/>
              <w:right w:val="double" w:sz="6" w:space="0" w:color="auto"/>
            </w:tcBorders>
            <w:shd w:val="clear" w:color="auto" w:fill="auto"/>
            <w:hideMark/>
          </w:tcPr>
          <w:p w14:paraId="118A045C" w14:textId="77777777" w:rsidR="007202EC" w:rsidRPr="00990E5D" w:rsidRDefault="007202EC" w:rsidP="007202E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990E5D">
              <w:rPr>
                <w:rFonts w:asciiTheme="majorBidi" w:hAnsiTheme="majorBidi" w:cstheme="majorBidi"/>
                <w:sz w:val="18"/>
                <w:szCs w:val="18"/>
                <w:lang w:eastAsia="zh-CN"/>
              </w:rPr>
              <w:t>A.19.a</w:t>
            </w:r>
          </w:p>
        </w:tc>
        <w:tc>
          <w:tcPr>
            <w:tcW w:w="4148" w:type="dxa"/>
            <w:tcBorders>
              <w:top w:val="single" w:sz="4" w:space="0" w:color="auto"/>
              <w:left w:val="nil"/>
              <w:bottom w:val="single" w:sz="4" w:space="0" w:color="auto"/>
              <w:right w:val="double" w:sz="4" w:space="0" w:color="auto"/>
            </w:tcBorders>
            <w:shd w:val="clear" w:color="auto" w:fill="auto"/>
            <w:hideMark/>
          </w:tcPr>
          <w:p w14:paraId="76D60653" w14:textId="77777777" w:rsidR="007202EC" w:rsidRPr="00990E5D" w:rsidRDefault="007202EC" w:rsidP="007202EC">
            <w:pPr>
              <w:spacing w:before="40" w:after="40"/>
              <w:ind w:left="170"/>
              <w:rPr>
                <w:rFonts w:asciiTheme="majorBidi" w:hAnsiTheme="majorBidi" w:cstheme="majorBidi"/>
                <w:sz w:val="18"/>
                <w:szCs w:val="18"/>
              </w:rPr>
            </w:pPr>
            <w:r w:rsidRPr="00990E5D">
              <w:rPr>
                <w:sz w:val="18"/>
                <w:szCs w:val="18"/>
                <w:lang w:eastAsia="zh-CN"/>
              </w:rPr>
              <w:t>compromiso de que la utilización de la asignación no causará interferencia perjudicial a las asignaciones cuyo acuerdo aún se ha de obtener, ni reclamará protección contra las mismas</w:t>
            </w:r>
          </w:p>
          <w:p w14:paraId="0BBD943E" w14:textId="77777777" w:rsidR="007202EC" w:rsidRPr="00990E5D" w:rsidRDefault="007202EC" w:rsidP="007202EC">
            <w:pPr>
              <w:spacing w:before="40" w:after="40"/>
              <w:ind w:left="340"/>
              <w:rPr>
                <w:rFonts w:asciiTheme="majorBidi" w:hAnsiTheme="majorBidi" w:cstheme="majorBidi"/>
                <w:sz w:val="18"/>
                <w:szCs w:val="18"/>
              </w:rPr>
            </w:pPr>
            <w:r w:rsidRPr="00990E5D">
              <w:rPr>
                <w:sz w:val="18"/>
                <w:szCs w:val="18"/>
                <w:lang w:eastAsia="zh-CN"/>
              </w:rPr>
              <w:t xml:space="preserve">Obligatorio si se presenta la notificación en virtud del § 6.25 del Artículo 6 del Apéndice </w:t>
            </w:r>
            <w:r w:rsidRPr="00990E5D">
              <w:rPr>
                <w:b/>
                <w:bCs/>
                <w:sz w:val="18"/>
                <w:szCs w:val="18"/>
                <w:lang w:eastAsia="zh-CN"/>
              </w:rPr>
              <w:t>30B</w:t>
            </w:r>
          </w:p>
        </w:tc>
        <w:tc>
          <w:tcPr>
            <w:tcW w:w="699"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2ECCC32"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3A15"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B2002"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7B82F"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1932E"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816B8"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C5480"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2B387"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E2AB7"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w:t>
            </w:r>
          </w:p>
        </w:tc>
        <w:tc>
          <w:tcPr>
            <w:tcW w:w="942" w:type="dxa"/>
            <w:tcBorders>
              <w:top w:val="single" w:sz="4" w:space="0" w:color="auto"/>
              <w:left w:val="double" w:sz="6" w:space="0" w:color="auto"/>
              <w:bottom w:val="single" w:sz="4" w:space="0" w:color="auto"/>
              <w:right w:val="double" w:sz="6" w:space="0" w:color="auto"/>
            </w:tcBorders>
            <w:shd w:val="clear" w:color="auto" w:fill="auto"/>
            <w:hideMark/>
          </w:tcPr>
          <w:p w14:paraId="2389A53E" w14:textId="77777777" w:rsidR="007202EC" w:rsidRPr="00990E5D" w:rsidRDefault="007202EC" w:rsidP="007202E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990E5D">
              <w:rPr>
                <w:rFonts w:asciiTheme="majorBidi" w:hAnsiTheme="majorBidi" w:cstheme="majorBidi"/>
                <w:sz w:val="18"/>
                <w:szCs w:val="18"/>
                <w:lang w:eastAsia="zh-CN"/>
              </w:rPr>
              <w:t>A.19.a</w:t>
            </w:r>
          </w:p>
        </w:tc>
        <w:tc>
          <w:tcPr>
            <w:tcW w:w="479"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7295119D" w14:textId="77777777" w:rsidR="007202EC" w:rsidRPr="00990E5D" w:rsidRDefault="007202EC" w:rsidP="007202EC">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r>
      <w:tr w:rsidR="007202EC" w:rsidRPr="00990E5D" w14:paraId="3F3AE1BB" w14:textId="77777777" w:rsidTr="00990E5D">
        <w:tblPrEx>
          <w:tblW w:w="5050" w:type="pct"/>
          <w:tblInd w:w="-15" w:type="dxa"/>
          <w:tblPrExChange w:id="40" w:author="Spanish" w:date="2019-10-18T12:35:00Z">
            <w:tblPrEx>
              <w:tblW w:w="5050" w:type="pct"/>
              <w:tblInd w:w="-15" w:type="dxa"/>
            </w:tblPrEx>
          </w:tblPrExChange>
        </w:tblPrEx>
        <w:trPr>
          <w:cantSplit/>
          <w:trPrChange w:id="41" w:author="Spanish" w:date="2019-10-18T12:35:00Z">
            <w:trPr>
              <w:cantSplit/>
            </w:trPr>
          </w:trPrChange>
        </w:trPr>
        <w:tc>
          <w:tcPr>
            <w:tcW w:w="1018" w:type="dxa"/>
            <w:tcBorders>
              <w:top w:val="single" w:sz="4" w:space="0" w:color="auto"/>
              <w:left w:val="single" w:sz="12" w:space="0" w:color="auto"/>
              <w:bottom w:val="single" w:sz="4" w:space="0" w:color="auto"/>
              <w:right w:val="double" w:sz="6" w:space="0" w:color="auto"/>
            </w:tcBorders>
            <w:shd w:val="clear" w:color="auto" w:fill="auto"/>
            <w:tcPrChange w:id="42" w:author="Spanish" w:date="2019-10-18T12:35:00Z">
              <w:tcPr>
                <w:tcW w:w="1022" w:type="dxa"/>
                <w:tcBorders>
                  <w:top w:val="single" w:sz="4" w:space="0" w:color="auto"/>
                  <w:left w:val="single" w:sz="12" w:space="0" w:color="auto"/>
                  <w:bottom w:val="single" w:sz="4" w:space="0" w:color="auto"/>
                  <w:right w:val="double" w:sz="6" w:space="0" w:color="auto"/>
                </w:tcBorders>
                <w:shd w:val="clear" w:color="auto" w:fill="auto"/>
              </w:tcPr>
            </w:tcPrChange>
          </w:tcPr>
          <w:p w14:paraId="154A4D5D" w14:textId="77777777" w:rsidR="007202EC" w:rsidRPr="00990E5D" w:rsidRDefault="007202EC" w:rsidP="007202E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43" w:author="Soto Romero, Alicia" w:date="2018-07-23T15:11:00Z">
              <w:r w:rsidRPr="00990E5D">
                <w:rPr>
                  <w:rFonts w:asciiTheme="majorBidi" w:hAnsiTheme="majorBidi" w:cstheme="majorBidi"/>
                  <w:b/>
                  <w:bCs/>
                  <w:sz w:val="18"/>
                  <w:szCs w:val="18"/>
                  <w:lang w:eastAsia="zh-CN"/>
                </w:rPr>
                <w:t>A.20</w:t>
              </w:r>
            </w:ins>
          </w:p>
        </w:tc>
        <w:tc>
          <w:tcPr>
            <w:tcW w:w="4148" w:type="dxa"/>
            <w:tcBorders>
              <w:top w:val="single" w:sz="4" w:space="0" w:color="auto"/>
              <w:left w:val="nil"/>
              <w:bottom w:val="single" w:sz="4" w:space="0" w:color="auto"/>
              <w:right w:val="double" w:sz="4" w:space="0" w:color="auto"/>
            </w:tcBorders>
            <w:shd w:val="clear" w:color="auto" w:fill="auto"/>
            <w:tcPrChange w:id="44" w:author="Spanish" w:date="2019-10-18T12:35:00Z">
              <w:tcPr>
                <w:tcW w:w="4175" w:type="dxa"/>
                <w:tcBorders>
                  <w:top w:val="single" w:sz="4" w:space="0" w:color="auto"/>
                  <w:left w:val="nil"/>
                  <w:bottom w:val="single" w:sz="4" w:space="0" w:color="auto"/>
                  <w:right w:val="double" w:sz="4" w:space="0" w:color="auto"/>
                </w:tcBorders>
                <w:shd w:val="clear" w:color="auto" w:fill="auto"/>
              </w:tcPr>
            </w:tcPrChange>
          </w:tcPr>
          <w:p w14:paraId="5E86A447" w14:textId="72B2C8CC" w:rsidR="007202EC" w:rsidRPr="00990E5D" w:rsidRDefault="007202EC" w:rsidP="007202EC">
            <w:pPr>
              <w:spacing w:before="40" w:after="40"/>
              <w:rPr>
                <w:rFonts w:asciiTheme="majorBidi" w:hAnsiTheme="majorBidi" w:cstheme="majorBidi"/>
                <w:sz w:val="18"/>
                <w:szCs w:val="18"/>
              </w:rPr>
            </w:pPr>
            <w:ins w:id="45" w:author="Antonio-Carlos" w:date="2018-08-03T10:07:00Z">
              <w:r w:rsidRPr="00990E5D">
                <w:rPr>
                  <w:rFonts w:asciiTheme="majorBidi" w:hAnsiTheme="majorBidi" w:cstheme="majorBidi"/>
                  <w:b/>
                  <w:bCs/>
                  <w:sz w:val="18"/>
                  <w:szCs w:val="18"/>
                  <w:lang w:eastAsia="zh-CN"/>
                </w:rPr>
                <w:t xml:space="preserve">CONFORMIDAD CON </w:t>
              </w:r>
              <w:r w:rsidR="00CC448D" w:rsidRPr="00990E5D">
                <w:rPr>
                  <w:rFonts w:asciiTheme="majorBidi" w:hAnsiTheme="majorBidi" w:cstheme="majorBidi"/>
                  <w:bCs/>
                  <w:sz w:val="18"/>
                  <w:szCs w:val="18"/>
                  <w:lang w:eastAsia="zh-CN"/>
                </w:rPr>
                <w:t>EL</w:t>
              </w:r>
              <w:r w:rsidR="00CC448D" w:rsidRPr="00990E5D">
                <w:rPr>
                  <w:rFonts w:asciiTheme="majorBidi" w:hAnsiTheme="majorBidi" w:cstheme="majorBidi"/>
                  <w:b/>
                  <w:bCs/>
                  <w:sz w:val="18"/>
                  <w:szCs w:val="18"/>
                  <w:lang w:eastAsia="zh-CN"/>
                </w:rPr>
                <w:t xml:space="preserve"> </w:t>
              </w:r>
              <w:r w:rsidRPr="00990E5D">
                <w:rPr>
                  <w:rFonts w:asciiTheme="majorBidi" w:hAnsiTheme="majorBidi" w:cstheme="majorBidi"/>
                  <w:b/>
                  <w:bCs/>
                  <w:i/>
                  <w:sz w:val="18"/>
                  <w:szCs w:val="18"/>
                  <w:lang w:eastAsia="zh-CN"/>
                </w:rPr>
                <w:t>resuelve</w:t>
              </w:r>
            </w:ins>
            <w:ins w:id="46" w:author="Spanish" w:date="2019-10-17T18:50:00Z">
              <w:r w:rsidR="00541117" w:rsidRPr="00990E5D">
                <w:rPr>
                  <w:sz w:val="18"/>
                  <w:szCs w:val="14"/>
                  <w:rPrChange w:id="47" w:author="Spanish" w:date="2019-10-17T18:51:00Z">
                    <w:rPr>
                      <w:lang w:val="es-ES"/>
                    </w:rPr>
                  </w:rPrChange>
                </w:rPr>
                <w:t> </w:t>
              </w:r>
            </w:ins>
            <w:ins w:id="48" w:author="Unknown" w:date="2018-07-23T15:11:00Z">
              <w:r w:rsidR="005E670B" w:rsidRPr="00990E5D">
                <w:rPr>
                  <w:rFonts w:asciiTheme="majorBidi" w:hAnsiTheme="majorBidi" w:cstheme="majorBidi"/>
                  <w:b/>
                  <w:bCs/>
                  <w:sz w:val="18"/>
                  <w:szCs w:val="18"/>
                  <w:lang w:eastAsia="zh-CN"/>
                  <w:rPrChange w:id="49" w:author="Spanish" w:date="2019-10-18T12:32:00Z">
                    <w:rPr>
                      <w:rFonts w:asciiTheme="majorBidi" w:hAnsiTheme="majorBidi" w:cstheme="majorBidi"/>
                      <w:b/>
                      <w:bCs/>
                      <w:sz w:val="18"/>
                      <w:szCs w:val="18"/>
                      <w:lang w:val="en-GB" w:eastAsia="zh-CN"/>
                    </w:rPr>
                  </w:rPrChange>
                </w:rPr>
                <w:t>1.1.</w:t>
              </w:r>
              <w:del w:id="50" w:author="author" w:date="2019-10-12T17:28:00Z">
                <w:r w:rsidR="005E670B" w:rsidRPr="00990E5D" w:rsidDel="00154AAA">
                  <w:rPr>
                    <w:rFonts w:asciiTheme="majorBidi" w:hAnsiTheme="majorBidi" w:cstheme="majorBidi"/>
                    <w:b/>
                    <w:bCs/>
                    <w:sz w:val="18"/>
                    <w:szCs w:val="18"/>
                    <w:lang w:eastAsia="zh-CN"/>
                    <w:rPrChange w:id="51" w:author="Spanish" w:date="2019-10-18T12:32:00Z">
                      <w:rPr>
                        <w:rFonts w:asciiTheme="majorBidi" w:hAnsiTheme="majorBidi" w:cstheme="majorBidi"/>
                        <w:b/>
                        <w:bCs/>
                        <w:sz w:val="18"/>
                        <w:szCs w:val="18"/>
                        <w:lang w:val="en-GB" w:eastAsia="zh-CN"/>
                      </w:rPr>
                    </w:rPrChange>
                  </w:rPr>
                  <w:delText>2</w:delText>
                </w:r>
              </w:del>
            </w:ins>
            <w:ins w:id="52" w:author="author" w:date="2019-10-12T17:28:00Z">
              <w:r w:rsidR="005E670B" w:rsidRPr="00990E5D">
                <w:rPr>
                  <w:rFonts w:asciiTheme="majorBidi" w:hAnsiTheme="majorBidi" w:cstheme="majorBidi"/>
                  <w:b/>
                  <w:bCs/>
                  <w:sz w:val="18"/>
                  <w:szCs w:val="18"/>
                  <w:lang w:eastAsia="zh-CN"/>
                  <w:rPrChange w:id="53" w:author="Spanish" w:date="2019-10-18T12:32:00Z">
                    <w:rPr>
                      <w:rFonts w:asciiTheme="majorBidi" w:hAnsiTheme="majorBidi" w:cstheme="majorBidi"/>
                      <w:b/>
                      <w:bCs/>
                      <w:sz w:val="18"/>
                      <w:szCs w:val="18"/>
                      <w:lang w:val="en-GB" w:eastAsia="zh-CN"/>
                    </w:rPr>
                  </w:rPrChange>
                </w:rPr>
                <w:t>3</w:t>
              </w:r>
            </w:ins>
            <w:ins w:id="54" w:author="Antonio-Carlos" w:date="2018-08-03T10:07:00Z">
              <w:r w:rsidRPr="00990E5D">
                <w:rPr>
                  <w:rFonts w:asciiTheme="majorBidi" w:hAnsiTheme="majorBidi" w:cstheme="majorBidi"/>
                  <w:b/>
                  <w:bCs/>
                  <w:sz w:val="18"/>
                  <w:szCs w:val="18"/>
                  <w:lang w:eastAsia="zh-CN"/>
                </w:rPr>
                <w:t xml:space="preserve"> </w:t>
              </w:r>
              <w:r w:rsidR="00CC448D" w:rsidRPr="00990E5D">
                <w:rPr>
                  <w:rFonts w:asciiTheme="majorBidi" w:hAnsiTheme="majorBidi" w:cstheme="majorBidi"/>
                  <w:b/>
                  <w:bCs/>
                  <w:sz w:val="18"/>
                  <w:szCs w:val="18"/>
                  <w:lang w:eastAsia="zh-CN"/>
                </w:rPr>
                <w:t xml:space="preserve">DEL PROYECTO DE NUEVA RESOLUCIÓN </w:t>
              </w:r>
              <w:r w:rsidRPr="00990E5D">
                <w:rPr>
                  <w:rFonts w:asciiTheme="majorBidi" w:hAnsiTheme="majorBidi" w:cstheme="majorBidi"/>
                  <w:b/>
                  <w:bCs/>
                  <w:sz w:val="18"/>
                  <w:szCs w:val="18"/>
                  <w:lang w:eastAsia="zh-CN"/>
                </w:rPr>
                <w:t>[</w:t>
              </w:r>
            </w:ins>
            <w:ins w:id="55" w:author="Spanish" w:date="2019-10-16T16:19:00Z">
              <w:r w:rsidR="00070D62" w:rsidRPr="00990E5D">
                <w:rPr>
                  <w:rFonts w:asciiTheme="majorBidi" w:hAnsiTheme="majorBidi" w:cstheme="majorBidi"/>
                  <w:b/>
                  <w:bCs/>
                  <w:sz w:val="18"/>
                  <w:szCs w:val="18"/>
                  <w:lang w:eastAsia="zh-CN"/>
                </w:rPr>
                <w:t>SMO/VTU/</w:t>
              </w:r>
            </w:ins>
            <w:ins w:id="56" w:author="Antonio-Carlos" w:date="2018-08-03T10:07:00Z">
              <w:r w:rsidRPr="00990E5D">
                <w:rPr>
                  <w:rFonts w:asciiTheme="majorBidi" w:hAnsiTheme="majorBidi" w:cstheme="majorBidi"/>
                  <w:b/>
                  <w:bCs/>
                  <w:sz w:val="18"/>
                  <w:szCs w:val="18"/>
                  <w:lang w:eastAsia="zh-CN"/>
                </w:rPr>
                <w:t>A</w:t>
              </w:r>
              <w:del w:id="57" w:author="Spanish" w:date="2019-10-18T12:32:00Z">
                <w:r w:rsidRPr="00990E5D" w:rsidDel="005E670B">
                  <w:rPr>
                    <w:rFonts w:asciiTheme="majorBidi" w:hAnsiTheme="majorBidi" w:cstheme="majorBidi"/>
                    <w:b/>
                    <w:bCs/>
                    <w:sz w:val="18"/>
                    <w:szCs w:val="18"/>
                    <w:lang w:eastAsia="zh-CN"/>
                  </w:rPr>
                  <w:delText>1</w:delText>
                </w:r>
              </w:del>
              <w:r w:rsidRPr="00990E5D">
                <w:rPr>
                  <w:rFonts w:asciiTheme="majorBidi" w:hAnsiTheme="majorBidi" w:cstheme="majorBidi"/>
                  <w:b/>
                  <w:bCs/>
                  <w:sz w:val="18"/>
                  <w:szCs w:val="18"/>
                  <w:lang w:eastAsia="zh-CN"/>
                </w:rPr>
                <w:t>5] (C</w:t>
              </w:r>
            </w:ins>
            <w:ins w:id="58" w:author="Antonio-Carlos" w:date="2018-08-04T10:07:00Z">
              <w:r w:rsidRPr="00990E5D">
                <w:rPr>
                  <w:rFonts w:asciiTheme="majorBidi" w:hAnsiTheme="majorBidi" w:cstheme="majorBidi"/>
                  <w:b/>
                  <w:bCs/>
                  <w:sz w:val="18"/>
                  <w:szCs w:val="18"/>
                  <w:lang w:eastAsia="zh-CN"/>
                </w:rPr>
                <w:t>M</w:t>
              </w:r>
            </w:ins>
            <w:ins w:id="59" w:author="Antonio-Carlos" w:date="2018-08-03T10:07:00Z">
              <w:r w:rsidRPr="00990E5D">
                <w:rPr>
                  <w:rFonts w:asciiTheme="majorBidi" w:hAnsiTheme="majorBidi" w:cstheme="majorBidi"/>
                  <w:b/>
                  <w:bCs/>
                  <w:sz w:val="18"/>
                  <w:szCs w:val="18"/>
                  <w:lang w:eastAsia="zh-CN"/>
                </w:rPr>
                <w:t>R-19)</w:t>
              </w:r>
            </w:ins>
          </w:p>
        </w:tc>
        <w:tc>
          <w:tcPr>
            <w:tcW w:w="699" w:type="dxa"/>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Change w:id="60" w:author="Spanish" w:date="2019-10-18T12:35:00Z">
              <w:tcPr>
                <w:tcW w:w="700" w:type="dxa"/>
                <w:tcBorders>
                  <w:top w:val="single" w:sz="4" w:space="0" w:color="auto"/>
                  <w:left w:val="double" w:sz="4" w:space="0" w:color="auto"/>
                  <w:bottom w:val="single" w:sz="4" w:space="0" w:color="auto"/>
                  <w:right w:val="single" w:sz="4" w:space="0" w:color="auto"/>
                </w:tcBorders>
                <w:shd w:val="clear" w:color="auto" w:fill="auto"/>
                <w:vAlign w:val="center"/>
              </w:tcPr>
            </w:tcPrChange>
          </w:tcPr>
          <w:p w14:paraId="6E591A2C" w14:textId="77777777" w:rsidR="007202EC" w:rsidRPr="00990E5D" w:rsidRDefault="007202EC" w:rsidP="007202EC">
            <w:pPr>
              <w:spacing w:before="40" w:after="40"/>
              <w:jc w:val="center"/>
              <w:rPr>
                <w:rFonts w:asciiTheme="majorBidi" w:hAnsiTheme="majorBidi" w:cstheme="majorBidi"/>
                <w:b/>
                <w:bCs/>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61" w:author="Spanish" w:date="2019-10-18T12:35:00Z">
              <w:tcPr>
                <w:tcW w:w="95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4DF6C7" w14:textId="77777777" w:rsidR="007202EC" w:rsidRPr="00990E5D" w:rsidRDefault="007202EC" w:rsidP="007202EC">
            <w:pPr>
              <w:spacing w:before="40" w:after="40"/>
              <w:jc w:val="center"/>
              <w:rPr>
                <w:rFonts w:asciiTheme="majorBidi" w:hAnsiTheme="majorBidi" w:cstheme="majorBidi"/>
                <w:b/>
                <w:bCs/>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62" w:author="Spanish" w:date="2019-10-18T12:35:00Z">
              <w:tcPr>
                <w:tcW w:w="95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901269B" w14:textId="77777777" w:rsidR="007202EC" w:rsidRPr="00990E5D" w:rsidRDefault="007202EC" w:rsidP="007202EC">
            <w:pPr>
              <w:spacing w:before="40" w:after="40"/>
              <w:jc w:val="center"/>
              <w:rPr>
                <w:rFonts w:asciiTheme="majorBidi" w:hAnsiTheme="majorBidi" w:cstheme="majorBidi"/>
                <w:b/>
                <w:bCs/>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63" w:author="Spanish" w:date="2019-10-18T12:35:00Z">
              <w:tcPr>
                <w:tcW w:w="102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C32DAF5" w14:textId="77777777" w:rsidR="007202EC" w:rsidRPr="00990E5D" w:rsidRDefault="007202EC" w:rsidP="007202EC">
            <w:pPr>
              <w:spacing w:before="40" w:after="40"/>
              <w:jc w:val="center"/>
              <w:rPr>
                <w:rFonts w:asciiTheme="majorBidi" w:hAnsiTheme="majorBidi" w:cstheme="majorBidi"/>
                <w:b/>
                <w:bCs/>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64" w:author="Spanish" w:date="2019-10-18T12:35:00Z">
              <w:tcPr>
                <w:tcW w:w="62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606A9E5" w14:textId="77777777" w:rsidR="007202EC" w:rsidRPr="00990E5D" w:rsidRDefault="007202EC" w:rsidP="007202EC">
            <w:pPr>
              <w:spacing w:before="40" w:after="40"/>
              <w:jc w:val="center"/>
              <w:rPr>
                <w:rFonts w:asciiTheme="majorBidi" w:hAnsiTheme="majorBidi" w:cstheme="majorBidi"/>
                <w:b/>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65" w:author="Spanish" w:date="2019-10-18T12:35:00Z">
              <w:tcPr>
                <w:tcW w:w="83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B07535" w14:textId="77777777" w:rsidR="007202EC" w:rsidRPr="00990E5D" w:rsidRDefault="007202EC" w:rsidP="007202EC">
            <w:pPr>
              <w:spacing w:before="40" w:after="40"/>
              <w:jc w:val="center"/>
              <w:rPr>
                <w:rFonts w:asciiTheme="majorBidi" w:hAnsiTheme="majorBidi" w:cstheme="majorBidi"/>
                <w:b/>
                <w:bCs/>
                <w:sz w:val="18"/>
                <w:szCs w:val="18"/>
              </w:rPr>
            </w:pPr>
          </w:p>
        </w:tc>
        <w:tc>
          <w:tcPr>
            <w:tcW w:w="8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66" w:author="Spanish" w:date="2019-10-18T12:35:00Z">
              <w:tcPr>
                <w:tcW w:w="84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8D42E0" w14:textId="77777777" w:rsidR="007202EC" w:rsidRPr="00990E5D" w:rsidRDefault="007202EC" w:rsidP="007202EC">
            <w:pPr>
              <w:spacing w:before="40" w:after="40"/>
              <w:jc w:val="center"/>
              <w:rPr>
                <w:rFonts w:asciiTheme="majorBidi" w:hAnsiTheme="majorBidi" w:cstheme="majorBidi"/>
                <w:b/>
                <w:bCs/>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67" w:author="Spanish" w:date="2019-10-18T12:35:00Z">
              <w:tcPr>
                <w:tcW w:w="76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4B764D" w14:textId="77777777" w:rsidR="007202EC" w:rsidRPr="00990E5D" w:rsidRDefault="007202EC" w:rsidP="007202EC">
            <w:pPr>
              <w:spacing w:before="40" w:after="40"/>
              <w:jc w:val="center"/>
              <w:rPr>
                <w:rFonts w:asciiTheme="majorBidi" w:hAnsiTheme="majorBidi" w:cstheme="majorBidi"/>
                <w:b/>
                <w:bCs/>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68" w:author="Spanish" w:date="2019-10-18T12:35:00Z">
              <w:tcPr>
                <w:tcW w:w="76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06232A" w14:textId="77777777" w:rsidR="007202EC" w:rsidRPr="00990E5D" w:rsidRDefault="007202EC" w:rsidP="007202EC">
            <w:pPr>
              <w:spacing w:before="40" w:after="40"/>
              <w:jc w:val="center"/>
              <w:rPr>
                <w:rFonts w:asciiTheme="majorBidi" w:hAnsiTheme="majorBidi" w:cstheme="majorBidi"/>
                <w:b/>
                <w:bCs/>
                <w:sz w:val="18"/>
                <w:szCs w:val="18"/>
              </w:rPr>
            </w:pPr>
          </w:p>
        </w:tc>
        <w:tc>
          <w:tcPr>
            <w:tcW w:w="942" w:type="dxa"/>
            <w:tcBorders>
              <w:top w:val="single" w:sz="4" w:space="0" w:color="auto"/>
              <w:left w:val="double" w:sz="6" w:space="0" w:color="auto"/>
              <w:bottom w:val="single" w:sz="4" w:space="0" w:color="auto"/>
              <w:right w:val="double" w:sz="6" w:space="0" w:color="auto"/>
            </w:tcBorders>
            <w:shd w:val="clear" w:color="auto" w:fill="BFBFBF" w:themeFill="background1" w:themeFillShade="BF"/>
            <w:tcPrChange w:id="69" w:author="Spanish" w:date="2019-10-18T12:35:00Z">
              <w:tcPr>
                <w:tcW w:w="945" w:type="dxa"/>
                <w:tcBorders>
                  <w:top w:val="single" w:sz="4" w:space="0" w:color="auto"/>
                  <w:left w:val="double" w:sz="6" w:space="0" w:color="auto"/>
                  <w:bottom w:val="single" w:sz="4" w:space="0" w:color="auto"/>
                  <w:right w:val="double" w:sz="6" w:space="0" w:color="auto"/>
                </w:tcBorders>
                <w:shd w:val="clear" w:color="auto" w:fill="auto"/>
              </w:tcPr>
            </w:tcPrChange>
          </w:tcPr>
          <w:p w14:paraId="727FEF20" w14:textId="77777777" w:rsidR="007202EC" w:rsidRPr="00990E5D" w:rsidRDefault="007202EC" w:rsidP="007202EC">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70" w:author="Soto Romero, Alicia" w:date="2018-07-23T15:11:00Z">
              <w:r w:rsidRPr="00990E5D">
                <w:rPr>
                  <w:rFonts w:asciiTheme="majorBidi" w:hAnsiTheme="majorBidi" w:cstheme="majorBidi"/>
                  <w:b/>
                  <w:bCs/>
                  <w:sz w:val="18"/>
                  <w:szCs w:val="18"/>
                  <w:lang w:eastAsia="zh-CN"/>
                </w:rPr>
                <w:t>A.20</w:t>
              </w:r>
            </w:ins>
          </w:p>
        </w:tc>
        <w:tc>
          <w:tcPr>
            <w:tcW w:w="479"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Change w:id="71" w:author="Spanish" w:date="2019-10-18T12:35:00Z">
              <w:tcPr>
                <w:tcW w:w="480" w:type="dxa"/>
                <w:tcBorders>
                  <w:top w:val="single" w:sz="4" w:space="0" w:color="auto"/>
                  <w:left w:val="double" w:sz="6" w:space="0" w:color="auto"/>
                  <w:bottom w:val="single" w:sz="4" w:space="0" w:color="auto"/>
                  <w:right w:val="single" w:sz="12" w:space="0" w:color="auto"/>
                </w:tcBorders>
                <w:shd w:val="clear" w:color="auto" w:fill="auto"/>
                <w:vAlign w:val="center"/>
              </w:tcPr>
            </w:tcPrChange>
          </w:tcPr>
          <w:p w14:paraId="31059BE8" w14:textId="77777777" w:rsidR="007202EC" w:rsidRPr="00990E5D" w:rsidRDefault="007202EC" w:rsidP="007202EC">
            <w:pPr>
              <w:spacing w:before="40" w:after="40"/>
              <w:jc w:val="center"/>
              <w:rPr>
                <w:rFonts w:asciiTheme="majorBidi" w:hAnsiTheme="majorBidi" w:cstheme="majorBidi"/>
                <w:b/>
                <w:bCs/>
                <w:sz w:val="18"/>
                <w:szCs w:val="18"/>
              </w:rPr>
            </w:pPr>
            <w:ins w:id="72" w:author="Soto Romero, Alicia" w:date="2018-07-23T15:11:00Z">
              <w:r w:rsidRPr="00990E5D">
                <w:rPr>
                  <w:rFonts w:asciiTheme="majorBidi" w:hAnsiTheme="majorBidi" w:cstheme="majorBidi"/>
                  <w:b/>
                  <w:bCs/>
                  <w:sz w:val="18"/>
                  <w:szCs w:val="18"/>
                </w:rPr>
                <w:t> </w:t>
              </w:r>
            </w:ins>
          </w:p>
        </w:tc>
      </w:tr>
      <w:tr w:rsidR="00990E5D" w:rsidRPr="00990E5D" w14:paraId="0151492E" w14:textId="77777777" w:rsidTr="00990E5D">
        <w:trPr>
          <w:cantSplit/>
        </w:trPr>
        <w:tc>
          <w:tcPr>
            <w:tcW w:w="1018" w:type="dxa"/>
            <w:tcBorders>
              <w:top w:val="single" w:sz="4" w:space="0" w:color="auto"/>
              <w:left w:val="single" w:sz="12" w:space="0" w:color="auto"/>
              <w:bottom w:val="single" w:sz="4" w:space="0" w:color="auto"/>
              <w:right w:val="double" w:sz="6" w:space="0" w:color="auto"/>
            </w:tcBorders>
            <w:shd w:val="clear" w:color="auto" w:fill="auto"/>
          </w:tcPr>
          <w:p w14:paraId="50F2A397" w14:textId="0DDEC960" w:rsidR="00990E5D" w:rsidRPr="00990E5D" w:rsidRDefault="00990E5D" w:rsidP="00990E5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73" w:author="Spanish" w:date="2019-10-18T12:34:00Z">
              <w:r w:rsidRPr="00990E5D">
                <w:rPr>
                  <w:rFonts w:asciiTheme="majorBidi" w:hAnsiTheme="majorBidi" w:cstheme="majorBidi"/>
                  <w:sz w:val="18"/>
                  <w:szCs w:val="18"/>
                  <w:lang w:eastAsia="zh-CN"/>
                </w:rPr>
                <w:t>A.20.a</w:t>
              </w:r>
            </w:ins>
          </w:p>
        </w:tc>
        <w:tc>
          <w:tcPr>
            <w:tcW w:w="4148" w:type="dxa"/>
            <w:tcBorders>
              <w:top w:val="single" w:sz="4" w:space="0" w:color="auto"/>
              <w:left w:val="nil"/>
              <w:bottom w:val="single" w:sz="4" w:space="0" w:color="auto"/>
              <w:right w:val="double" w:sz="4" w:space="0" w:color="auto"/>
            </w:tcBorders>
            <w:shd w:val="clear" w:color="auto" w:fill="auto"/>
          </w:tcPr>
          <w:p w14:paraId="077ABDD6" w14:textId="5D105086" w:rsidR="00990E5D" w:rsidRPr="00990E5D" w:rsidRDefault="00990E5D" w:rsidP="00990E5D">
            <w:pPr>
              <w:spacing w:before="40" w:after="40"/>
              <w:ind w:left="170"/>
              <w:rPr>
                <w:rFonts w:asciiTheme="majorBidi" w:hAnsiTheme="majorBidi" w:cstheme="majorBidi"/>
                <w:b/>
                <w:bCs/>
                <w:sz w:val="18"/>
                <w:szCs w:val="18"/>
                <w:lang w:eastAsia="zh-CN"/>
              </w:rPr>
            </w:pPr>
            <w:ins w:id="74" w:author="Antonio-Carlos" w:date="2018-08-03T10:11:00Z">
              <w:r w:rsidRPr="00990E5D">
                <w:rPr>
                  <w:sz w:val="18"/>
                  <w:szCs w:val="18"/>
                </w:rPr>
                <w:t>indicador (sí) si la E</w:t>
              </w:r>
            </w:ins>
            <w:ins w:id="75" w:author="Spanish" w:date="2019-03-27T11:51:00Z">
              <w:r w:rsidRPr="00990E5D">
                <w:rPr>
                  <w:sz w:val="18"/>
                  <w:szCs w:val="18"/>
                </w:rPr>
                <w:t>TEM</w:t>
              </w:r>
            </w:ins>
            <w:ins w:id="76" w:author="Antonio-Carlos" w:date="2018-08-03T10:11:00Z">
              <w:r w:rsidRPr="00990E5D">
                <w:rPr>
                  <w:sz w:val="18"/>
                  <w:szCs w:val="18"/>
                </w:rPr>
                <w:t xml:space="preserve"> utiliza una asignación </w:t>
              </w:r>
            </w:ins>
            <w:ins w:id="77" w:author="Spanish" w:date="2019-03-27T11:51:00Z">
              <w:r w:rsidRPr="00990E5D">
                <w:rPr>
                  <w:sz w:val="18"/>
                  <w:szCs w:val="18"/>
                </w:rPr>
                <w:t>en</w:t>
              </w:r>
            </w:ins>
            <w:ins w:id="78" w:author="Antonio-Carlos" w:date="2018-08-03T10:11:00Z">
              <w:r w:rsidRPr="00990E5D">
                <w:rPr>
                  <w:sz w:val="18"/>
                  <w:szCs w:val="18"/>
                </w:rPr>
                <w:t xml:space="preserve"> la banda 27,5-29,5</w:t>
              </w:r>
            </w:ins>
            <w:ins w:id="79" w:author="Spanish" w:date="2019-10-17T18:51:00Z">
              <w:r w:rsidRPr="00990E5D">
                <w:rPr>
                  <w:sz w:val="18"/>
                  <w:szCs w:val="14"/>
                  <w:rPrChange w:id="80" w:author="Spanish" w:date="2019-10-17T18:51:00Z">
                    <w:rPr>
                      <w:lang w:val="es-ES"/>
                    </w:rPr>
                  </w:rPrChange>
                </w:rPr>
                <w:t> </w:t>
              </w:r>
            </w:ins>
            <w:ins w:id="81" w:author="Antonio-Carlos" w:date="2018-08-03T10:11:00Z">
              <w:r w:rsidRPr="00990E5D">
                <w:rPr>
                  <w:sz w:val="18"/>
                  <w:szCs w:val="18"/>
                </w:rPr>
                <w:t>GHz y/o 17,7-19,7</w:t>
              </w:r>
            </w:ins>
            <w:ins w:id="82" w:author="Spanish" w:date="2019-10-17T18:51:00Z">
              <w:r w:rsidRPr="00990E5D">
                <w:rPr>
                  <w:sz w:val="18"/>
                  <w:szCs w:val="14"/>
                  <w:rPrChange w:id="83" w:author="Spanish" w:date="2019-10-17T18:51:00Z">
                    <w:rPr>
                      <w:lang w:val="es-ES"/>
                    </w:rPr>
                  </w:rPrChange>
                </w:rPr>
                <w:t> </w:t>
              </w:r>
            </w:ins>
            <w:ins w:id="84" w:author="Antonio-Carlos" w:date="2018-08-03T10:11:00Z">
              <w:r w:rsidRPr="00990E5D">
                <w:rPr>
                  <w:sz w:val="18"/>
                  <w:szCs w:val="18"/>
                </w:rPr>
                <w:t xml:space="preserve">GHz </w:t>
              </w:r>
            </w:ins>
            <w:ins w:id="85" w:author="Spanish" w:date="2019-03-27T11:51:00Z">
              <w:r w:rsidRPr="00990E5D">
                <w:rPr>
                  <w:sz w:val="18"/>
                  <w:szCs w:val="18"/>
                </w:rPr>
                <w:t>a</w:t>
              </w:r>
            </w:ins>
            <w:ins w:id="86" w:author="Antonio-Carlos" w:date="2018-08-03T10:11:00Z">
              <w:r w:rsidRPr="00990E5D">
                <w:rPr>
                  <w:sz w:val="18"/>
                  <w:szCs w:val="18"/>
                </w:rPr>
                <w:t xml:space="preserve"> la red de satélites</w:t>
              </w:r>
            </w:ins>
          </w:p>
        </w:tc>
        <w:tc>
          <w:tcPr>
            <w:tcW w:w="699" w:type="dxa"/>
            <w:tcBorders>
              <w:top w:val="single" w:sz="4" w:space="0" w:color="auto"/>
              <w:left w:val="double" w:sz="4" w:space="0" w:color="auto"/>
              <w:bottom w:val="single" w:sz="4" w:space="0" w:color="auto"/>
              <w:right w:val="single" w:sz="4" w:space="0" w:color="auto"/>
            </w:tcBorders>
            <w:shd w:val="clear" w:color="auto" w:fill="auto"/>
            <w:vAlign w:val="center"/>
          </w:tcPr>
          <w:p w14:paraId="0AD17664" w14:textId="4D007B12" w:rsidR="00990E5D" w:rsidRPr="00990E5D" w:rsidRDefault="00990E5D" w:rsidP="00990E5D">
            <w:pPr>
              <w:spacing w:before="40" w:after="40"/>
              <w:jc w:val="center"/>
              <w:rPr>
                <w:rFonts w:asciiTheme="majorBidi" w:hAnsiTheme="majorBidi" w:cstheme="majorBidi"/>
                <w:b/>
                <w:bCs/>
                <w:sz w:val="18"/>
                <w:szCs w:val="18"/>
              </w:rPr>
            </w:pPr>
            <w:ins w:id="87" w:author="Unknown" w:date="2018-07-23T15:12:00Z">
              <w:r w:rsidRPr="00990E5D">
                <w:rPr>
                  <w:rFonts w:asciiTheme="majorBidi" w:hAnsiTheme="majorBidi" w:cstheme="majorBidi"/>
                  <w:b/>
                  <w:bCs/>
                  <w:sz w:val="18"/>
                  <w:szCs w:val="18"/>
                </w:rPr>
                <w:t> </w:t>
              </w:r>
            </w:ins>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B77DEC" w14:textId="267E4E69" w:rsidR="00990E5D" w:rsidRPr="00990E5D" w:rsidRDefault="00990E5D" w:rsidP="00990E5D">
            <w:pPr>
              <w:spacing w:before="40" w:after="40"/>
              <w:jc w:val="center"/>
              <w:rPr>
                <w:rFonts w:asciiTheme="majorBidi" w:hAnsiTheme="majorBidi" w:cstheme="majorBidi"/>
                <w:b/>
                <w:bCs/>
                <w:sz w:val="18"/>
                <w:szCs w:val="18"/>
              </w:rPr>
            </w:pPr>
            <w:ins w:id="88" w:author="Unknown" w:date="2018-07-23T15:12:00Z">
              <w:r w:rsidRPr="00990E5D">
                <w:rPr>
                  <w:rFonts w:asciiTheme="majorBidi" w:hAnsiTheme="majorBidi" w:cstheme="majorBidi"/>
                  <w:b/>
                  <w:bCs/>
                  <w:sz w:val="18"/>
                  <w:szCs w:val="18"/>
                </w:rPr>
                <w:t> </w:t>
              </w:r>
            </w:ins>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A6684ED" w14:textId="5692E90F" w:rsidR="00990E5D" w:rsidRPr="00990E5D" w:rsidRDefault="00990E5D" w:rsidP="00990E5D">
            <w:pPr>
              <w:spacing w:before="40" w:after="40"/>
              <w:jc w:val="center"/>
              <w:rPr>
                <w:rFonts w:asciiTheme="majorBidi" w:hAnsiTheme="majorBidi" w:cstheme="majorBidi"/>
                <w:b/>
                <w:bCs/>
                <w:sz w:val="18"/>
                <w:szCs w:val="18"/>
              </w:rPr>
            </w:pPr>
            <w:ins w:id="89" w:author="Unknown" w:date="2018-07-23T15:12:00Z">
              <w:r w:rsidRPr="00990E5D">
                <w:rPr>
                  <w:rFonts w:asciiTheme="majorBidi" w:hAnsiTheme="majorBidi" w:cstheme="majorBidi"/>
                  <w:b/>
                  <w:bCs/>
                  <w:sz w:val="18"/>
                  <w:szCs w:val="18"/>
                </w:rPr>
                <w:t> </w:t>
              </w:r>
            </w:ins>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A0648CD" w14:textId="5D03D943" w:rsidR="00990E5D" w:rsidRPr="00990E5D" w:rsidRDefault="00990E5D" w:rsidP="00990E5D">
            <w:pPr>
              <w:spacing w:before="40" w:after="40"/>
              <w:jc w:val="center"/>
              <w:rPr>
                <w:rFonts w:asciiTheme="majorBidi" w:hAnsiTheme="majorBidi" w:cstheme="majorBidi"/>
                <w:b/>
                <w:bCs/>
                <w:sz w:val="18"/>
                <w:szCs w:val="18"/>
              </w:rPr>
            </w:pPr>
            <w:ins w:id="90" w:author="Unknown" w:date="2018-07-23T15:12:00Z">
              <w:r w:rsidRPr="00990E5D">
                <w:rPr>
                  <w:rFonts w:asciiTheme="majorBidi" w:hAnsiTheme="majorBidi" w:cstheme="majorBidi"/>
                  <w:b/>
                  <w:bCs/>
                  <w:sz w:val="18"/>
                  <w:szCs w:val="18"/>
                </w:rPr>
                <w:t> </w:t>
              </w:r>
            </w:ins>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E2385A3" w14:textId="77B2BFFF" w:rsidR="00990E5D" w:rsidRPr="00990E5D" w:rsidRDefault="00990E5D" w:rsidP="00990E5D">
            <w:pPr>
              <w:spacing w:before="40" w:after="40"/>
              <w:jc w:val="center"/>
              <w:rPr>
                <w:rFonts w:asciiTheme="majorBidi" w:hAnsiTheme="majorBidi" w:cstheme="majorBidi"/>
                <w:b/>
                <w:bCs/>
                <w:sz w:val="18"/>
                <w:szCs w:val="18"/>
              </w:rPr>
            </w:pPr>
            <w:ins w:id="91" w:author="Unknown" w:date="2018-07-23T15:12:00Z">
              <w:r w:rsidRPr="00990E5D">
                <w:rPr>
                  <w:rFonts w:asciiTheme="majorBidi" w:hAnsiTheme="majorBidi" w:cstheme="majorBidi"/>
                  <w:b/>
                  <w:bCs/>
                  <w:sz w:val="18"/>
                  <w:szCs w:val="18"/>
                </w:rPr>
                <w:t> </w:t>
              </w:r>
            </w:ins>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3CA9BA7" w14:textId="06388C1F" w:rsidR="00990E5D" w:rsidRPr="00990E5D" w:rsidRDefault="00990E5D" w:rsidP="00990E5D">
            <w:pPr>
              <w:spacing w:before="40" w:after="40"/>
              <w:jc w:val="center"/>
              <w:rPr>
                <w:rFonts w:asciiTheme="majorBidi" w:hAnsiTheme="majorBidi" w:cstheme="majorBidi"/>
                <w:b/>
                <w:bCs/>
                <w:sz w:val="18"/>
                <w:szCs w:val="18"/>
              </w:rPr>
            </w:pPr>
            <w:ins w:id="92" w:author="Unknown" w:date="2018-07-23T15:12:00Z">
              <w:r w:rsidRPr="00990E5D">
                <w:rPr>
                  <w:rFonts w:asciiTheme="majorBidi" w:hAnsiTheme="majorBidi" w:cstheme="majorBidi"/>
                  <w:b/>
                  <w:bCs/>
                  <w:sz w:val="18"/>
                  <w:szCs w:val="18"/>
                </w:rPr>
                <w:t>O</w:t>
              </w:r>
            </w:ins>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EC21C8D" w14:textId="42642BD2" w:rsidR="00990E5D" w:rsidRPr="00990E5D" w:rsidRDefault="00990E5D" w:rsidP="00990E5D">
            <w:pPr>
              <w:spacing w:before="40" w:after="40"/>
              <w:jc w:val="center"/>
              <w:rPr>
                <w:rFonts w:asciiTheme="majorBidi" w:hAnsiTheme="majorBidi" w:cstheme="majorBidi"/>
                <w:b/>
                <w:bCs/>
                <w:sz w:val="18"/>
                <w:szCs w:val="18"/>
              </w:rPr>
            </w:pPr>
            <w:ins w:id="93" w:author="Unknown" w:date="2018-07-23T15:12:00Z">
              <w:r w:rsidRPr="00990E5D">
                <w:rPr>
                  <w:rFonts w:asciiTheme="majorBidi" w:hAnsiTheme="majorBidi" w:cstheme="majorBidi"/>
                  <w:b/>
                  <w:bCs/>
                  <w:sz w:val="18"/>
                  <w:szCs w:val="18"/>
                </w:rPr>
                <w:t> </w:t>
              </w:r>
            </w:ins>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7CE209E" w14:textId="17F1F7B9" w:rsidR="00990E5D" w:rsidRPr="00990E5D" w:rsidRDefault="00990E5D" w:rsidP="00990E5D">
            <w:pPr>
              <w:spacing w:before="40" w:after="40"/>
              <w:jc w:val="center"/>
              <w:rPr>
                <w:rFonts w:asciiTheme="majorBidi" w:hAnsiTheme="majorBidi" w:cstheme="majorBidi"/>
                <w:b/>
                <w:bCs/>
                <w:sz w:val="18"/>
                <w:szCs w:val="18"/>
              </w:rPr>
            </w:pPr>
            <w:ins w:id="94" w:author="Unknown" w:date="2018-07-23T15:12:00Z">
              <w:r w:rsidRPr="00990E5D">
                <w:rPr>
                  <w:rFonts w:asciiTheme="majorBidi" w:hAnsiTheme="majorBidi" w:cstheme="majorBidi"/>
                  <w:b/>
                  <w:bCs/>
                  <w:sz w:val="18"/>
                  <w:szCs w:val="18"/>
                </w:rPr>
                <w:t> </w:t>
              </w:r>
            </w:ins>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9C62D9B" w14:textId="38B94548" w:rsidR="00990E5D" w:rsidRPr="00990E5D" w:rsidRDefault="00990E5D" w:rsidP="00990E5D">
            <w:pPr>
              <w:spacing w:before="40" w:after="40"/>
              <w:jc w:val="center"/>
              <w:rPr>
                <w:rFonts w:asciiTheme="majorBidi" w:hAnsiTheme="majorBidi" w:cstheme="majorBidi"/>
                <w:b/>
                <w:bCs/>
                <w:sz w:val="18"/>
                <w:szCs w:val="18"/>
              </w:rPr>
            </w:pPr>
            <w:ins w:id="95" w:author="Unknown" w:date="2018-07-23T15:12:00Z">
              <w:r w:rsidRPr="00990E5D">
                <w:rPr>
                  <w:rFonts w:asciiTheme="majorBidi" w:hAnsiTheme="majorBidi" w:cstheme="majorBidi"/>
                  <w:b/>
                  <w:bCs/>
                  <w:sz w:val="18"/>
                  <w:szCs w:val="18"/>
                </w:rPr>
                <w:t> </w:t>
              </w:r>
            </w:ins>
          </w:p>
        </w:tc>
        <w:tc>
          <w:tcPr>
            <w:tcW w:w="942" w:type="dxa"/>
            <w:tcBorders>
              <w:top w:val="single" w:sz="4" w:space="0" w:color="auto"/>
              <w:left w:val="double" w:sz="6" w:space="0" w:color="auto"/>
              <w:bottom w:val="single" w:sz="4" w:space="0" w:color="auto"/>
              <w:right w:val="double" w:sz="6" w:space="0" w:color="auto"/>
            </w:tcBorders>
            <w:shd w:val="clear" w:color="auto" w:fill="auto"/>
          </w:tcPr>
          <w:p w14:paraId="72D075D6" w14:textId="3EB74B17" w:rsidR="00990E5D" w:rsidRPr="00990E5D" w:rsidRDefault="00990E5D" w:rsidP="00990E5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96" w:author="Unknown" w:date="2018-07-23T15:12:00Z">
              <w:r w:rsidRPr="00990E5D">
                <w:rPr>
                  <w:rFonts w:asciiTheme="majorBidi" w:hAnsiTheme="majorBidi" w:cstheme="majorBidi"/>
                  <w:sz w:val="18"/>
                  <w:szCs w:val="18"/>
                  <w:lang w:eastAsia="zh-CN"/>
                </w:rPr>
                <w:t>A.20.a</w:t>
              </w:r>
            </w:ins>
          </w:p>
        </w:tc>
        <w:tc>
          <w:tcPr>
            <w:tcW w:w="479" w:type="dxa"/>
            <w:tcBorders>
              <w:top w:val="single" w:sz="4" w:space="0" w:color="auto"/>
              <w:left w:val="double" w:sz="6" w:space="0" w:color="auto"/>
              <w:bottom w:val="single" w:sz="4" w:space="0" w:color="auto"/>
              <w:right w:val="single" w:sz="12" w:space="0" w:color="auto"/>
            </w:tcBorders>
            <w:shd w:val="clear" w:color="auto" w:fill="auto"/>
            <w:vAlign w:val="center"/>
          </w:tcPr>
          <w:p w14:paraId="42458D7A" w14:textId="5E016C52" w:rsidR="00990E5D" w:rsidRPr="00990E5D" w:rsidRDefault="00990E5D" w:rsidP="00990E5D">
            <w:pPr>
              <w:spacing w:before="40" w:after="40"/>
              <w:jc w:val="center"/>
              <w:rPr>
                <w:rFonts w:asciiTheme="majorBidi" w:hAnsiTheme="majorBidi" w:cstheme="majorBidi"/>
                <w:b/>
                <w:bCs/>
                <w:sz w:val="18"/>
                <w:szCs w:val="18"/>
              </w:rPr>
            </w:pPr>
            <w:ins w:id="97" w:author="Unknown" w:date="2018-07-23T15:12:00Z">
              <w:r w:rsidRPr="00990E5D">
                <w:rPr>
                  <w:rFonts w:asciiTheme="majorBidi" w:hAnsiTheme="majorBidi" w:cstheme="majorBidi"/>
                  <w:b/>
                  <w:bCs/>
                  <w:sz w:val="18"/>
                  <w:szCs w:val="18"/>
                </w:rPr>
                <w:t> </w:t>
              </w:r>
            </w:ins>
          </w:p>
        </w:tc>
      </w:tr>
      <w:tr w:rsidR="00990E5D" w:rsidRPr="00990E5D" w14:paraId="25B9CCFC" w14:textId="77777777" w:rsidTr="00990E5D">
        <w:trPr>
          <w:cantSplit/>
        </w:trPr>
        <w:tc>
          <w:tcPr>
            <w:tcW w:w="1018" w:type="dxa"/>
            <w:tcBorders>
              <w:top w:val="single" w:sz="4" w:space="0" w:color="auto"/>
              <w:left w:val="single" w:sz="12" w:space="0" w:color="auto"/>
              <w:bottom w:val="single" w:sz="12" w:space="0" w:color="auto"/>
              <w:right w:val="double" w:sz="6" w:space="0" w:color="auto"/>
            </w:tcBorders>
            <w:shd w:val="clear" w:color="auto" w:fill="auto"/>
          </w:tcPr>
          <w:p w14:paraId="2671249B" w14:textId="56246564" w:rsidR="00990E5D" w:rsidRPr="00990E5D" w:rsidRDefault="00990E5D" w:rsidP="00990E5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98" w:author="Spanish" w:date="2019-10-18T12:34:00Z">
              <w:r w:rsidRPr="00990E5D">
                <w:rPr>
                  <w:rFonts w:asciiTheme="majorBidi" w:hAnsiTheme="majorBidi" w:cstheme="majorBidi"/>
                  <w:sz w:val="18"/>
                  <w:szCs w:val="18"/>
                  <w:lang w:eastAsia="zh-CN"/>
                </w:rPr>
                <w:t>A.20.b</w:t>
              </w:r>
            </w:ins>
          </w:p>
        </w:tc>
        <w:tc>
          <w:tcPr>
            <w:tcW w:w="4148" w:type="dxa"/>
            <w:tcBorders>
              <w:top w:val="single" w:sz="4" w:space="0" w:color="auto"/>
              <w:left w:val="nil"/>
              <w:bottom w:val="single" w:sz="12" w:space="0" w:color="auto"/>
              <w:right w:val="double" w:sz="4" w:space="0" w:color="auto"/>
            </w:tcBorders>
            <w:shd w:val="clear" w:color="auto" w:fill="auto"/>
          </w:tcPr>
          <w:p w14:paraId="5D961F4E" w14:textId="6AE09F0B" w:rsidR="00990E5D" w:rsidRPr="00990E5D" w:rsidRDefault="00990E5D" w:rsidP="00990E5D">
            <w:pPr>
              <w:spacing w:before="40" w:after="40"/>
              <w:ind w:left="170"/>
              <w:rPr>
                <w:sz w:val="18"/>
                <w:szCs w:val="18"/>
              </w:rPr>
            </w:pPr>
            <w:ins w:id="99" w:author="Antonio-Carlos" w:date="2018-08-03T10:16:00Z">
              <w:r w:rsidRPr="00990E5D">
                <w:rPr>
                  <w:sz w:val="18"/>
                  <w:szCs w:val="18"/>
                </w:rPr>
                <w:t>si es sí en el</w:t>
              </w:r>
            </w:ins>
            <w:ins w:id="100" w:author="Antonio-Carlos" w:date="2018-08-03T10:35:00Z">
              <w:r w:rsidRPr="00990E5D">
                <w:rPr>
                  <w:sz w:val="18"/>
                  <w:szCs w:val="18"/>
                </w:rPr>
                <w:t xml:space="preserve"> </w:t>
              </w:r>
            </w:ins>
            <w:ins w:id="101" w:author="Antonio-Carlos" w:date="2018-08-03T10:16:00Z">
              <w:r w:rsidRPr="00990E5D">
                <w:rPr>
                  <w:sz w:val="18"/>
                  <w:szCs w:val="18"/>
                </w:rPr>
                <w:t>marco de A.20.a, un compromiso de que el funcionamiento de la E</w:t>
              </w:r>
            </w:ins>
            <w:ins w:id="102" w:author="Spanish" w:date="2019-03-27T11:51:00Z">
              <w:r w:rsidRPr="00990E5D">
                <w:rPr>
                  <w:sz w:val="18"/>
                  <w:szCs w:val="18"/>
                </w:rPr>
                <w:t>TEM</w:t>
              </w:r>
            </w:ins>
            <w:ins w:id="103" w:author="Antonio-Carlos" w:date="2018-08-03T10:16:00Z">
              <w:r w:rsidRPr="00990E5D">
                <w:rPr>
                  <w:sz w:val="18"/>
                  <w:szCs w:val="18"/>
                </w:rPr>
                <w:t xml:space="preserve"> ser</w:t>
              </w:r>
            </w:ins>
            <w:ins w:id="104" w:author="Antonio-Carlos" w:date="2018-08-04T10:08:00Z">
              <w:r w:rsidRPr="00990E5D">
                <w:rPr>
                  <w:sz w:val="18"/>
                  <w:szCs w:val="18"/>
                </w:rPr>
                <w:t>á</w:t>
              </w:r>
            </w:ins>
            <w:ins w:id="105" w:author="Antonio-Carlos" w:date="2018-08-03T10:16:00Z">
              <w:r w:rsidRPr="00990E5D">
                <w:rPr>
                  <w:sz w:val="18"/>
                  <w:szCs w:val="18"/>
                </w:rPr>
                <w:t xml:space="preserve"> conforme con el Reglamento de Radiocomunicaciones y el </w:t>
              </w:r>
              <w:r w:rsidRPr="00990E5D">
                <w:rPr>
                  <w:rFonts w:asciiTheme="majorBidi" w:hAnsiTheme="majorBidi" w:cstheme="majorBidi"/>
                  <w:b/>
                  <w:bCs/>
                  <w:sz w:val="18"/>
                  <w:szCs w:val="18"/>
                  <w:lang w:eastAsia="zh-CN"/>
                </w:rPr>
                <w:t>proyecto de nueva Resolución [</w:t>
              </w:r>
            </w:ins>
            <w:ins w:id="106" w:author="Spanish" w:date="2019-10-16T16:18:00Z">
              <w:r w:rsidRPr="00990E5D">
                <w:rPr>
                  <w:rFonts w:asciiTheme="majorBidi" w:hAnsiTheme="majorBidi" w:cstheme="majorBidi"/>
                  <w:b/>
                  <w:bCs/>
                  <w:sz w:val="18"/>
                  <w:szCs w:val="18"/>
                  <w:lang w:eastAsia="zh-CN"/>
                </w:rPr>
                <w:t>SMO/VTU/</w:t>
              </w:r>
            </w:ins>
            <w:ins w:id="107" w:author="Antonio-Carlos" w:date="2018-08-03T10:16:00Z">
              <w:r w:rsidRPr="00990E5D">
                <w:rPr>
                  <w:rFonts w:asciiTheme="majorBidi" w:hAnsiTheme="majorBidi" w:cstheme="majorBidi"/>
                  <w:b/>
                  <w:bCs/>
                  <w:sz w:val="18"/>
                  <w:szCs w:val="18"/>
                  <w:lang w:eastAsia="zh-CN"/>
                </w:rPr>
                <w:t>A15] (CMR-19)</w:t>
              </w:r>
              <w:r w:rsidRPr="00990E5D">
                <w:rPr>
                  <w:sz w:val="18"/>
                  <w:szCs w:val="18"/>
                </w:rPr>
                <w:t xml:space="preserve"> (incluidos sus anexos)</w:t>
              </w:r>
            </w:ins>
          </w:p>
        </w:tc>
        <w:tc>
          <w:tcPr>
            <w:tcW w:w="699" w:type="dxa"/>
            <w:tcBorders>
              <w:top w:val="single" w:sz="4" w:space="0" w:color="auto"/>
              <w:left w:val="double" w:sz="4" w:space="0" w:color="auto"/>
              <w:bottom w:val="single" w:sz="12" w:space="0" w:color="auto"/>
              <w:right w:val="single" w:sz="4" w:space="0" w:color="auto"/>
            </w:tcBorders>
            <w:shd w:val="clear" w:color="auto" w:fill="auto"/>
            <w:vAlign w:val="center"/>
          </w:tcPr>
          <w:p w14:paraId="633BE63D" w14:textId="0BC78A99" w:rsidR="00990E5D" w:rsidRPr="00990E5D" w:rsidRDefault="00990E5D" w:rsidP="00990E5D">
            <w:pPr>
              <w:spacing w:before="40" w:after="40"/>
              <w:jc w:val="center"/>
              <w:rPr>
                <w:rFonts w:asciiTheme="majorBidi" w:hAnsiTheme="majorBidi" w:cstheme="majorBidi"/>
                <w:b/>
                <w:bCs/>
                <w:sz w:val="16"/>
                <w:szCs w:val="16"/>
              </w:rPr>
            </w:pPr>
            <w:ins w:id="108" w:author="ITU" w:date="2019-10-11T21:16:00Z">
              <w:r w:rsidRPr="00990E5D">
                <w:rPr>
                  <w:rFonts w:asciiTheme="majorBidi" w:hAnsiTheme="majorBidi" w:cstheme="majorBidi"/>
                  <w:b/>
                  <w:bCs/>
                  <w:sz w:val="18"/>
                  <w:szCs w:val="18"/>
                </w:rPr>
                <w:t> </w:t>
              </w:r>
            </w:ins>
          </w:p>
        </w:tc>
        <w:tc>
          <w:tcPr>
            <w:tcW w:w="978" w:type="dxa"/>
            <w:tcBorders>
              <w:top w:val="single" w:sz="4" w:space="0" w:color="auto"/>
              <w:left w:val="single" w:sz="4" w:space="0" w:color="auto"/>
              <w:bottom w:val="single" w:sz="12" w:space="0" w:color="auto"/>
              <w:right w:val="single" w:sz="4" w:space="0" w:color="auto"/>
            </w:tcBorders>
            <w:shd w:val="clear" w:color="auto" w:fill="auto"/>
            <w:vAlign w:val="center"/>
          </w:tcPr>
          <w:p w14:paraId="0BFC8DBA" w14:textId="4A764576" w:rsidR="00990E5D" w:rsidRPr="00990E5D" w:rsidRDefault="00990E5D" w:rsidP="00990E5D">
            <w:pPr>
              <w:spacing w:before="40" w:after="40"/>
              <w:jc w:val="center"/>
              <w:rPr>
                <w:rFonts w:asciiTheme="majorBidi" w:hAnsiTheme="majorBidi" w:cstheme="majorBidi"/>
                <w:b/>
                <w:bCs/>
                <w:sz w:val="16"/>
                <w:szCs w:val="16"/>
              </w:rPr>
            </w:pPr>
            <w:ins w:id="109" w:author="ITU" w:date="2019-10-11T21:16:00Z">
              <w:r w:rsidRPr="00990E5D">
                <w:rPr>
                  <w:rFonts w:asciiTheme="majorBidi" w:hAnsiTheme="majorBidi" w:cstheme="majorBidi"/>
                  <w:b/>
                  <w:bCs/>
                  <w:sz w:val="18"/>
                  <w:szCs w:val="18"/>
                </w:rPr>
                <w:t> </w:t>
              </w:r>
            </w:ins>
          </w:p>
        </w:tc>
        <w:tc>
          <w:tcPr>
            <w:tcW w:w="978" w:type="dxa"/>
            <w:tcBorders>
              <w:top w:val="single" w:sz="4" w:space="0" w:color="auto"/>
              <w:left w:val="single" w:sz="4" w:space="0" w:color="auto"/>
              <w:bottom w:val="single" w:sz="12" w:space="0" w:color="auto"/>
              <w:right w:val="single" w:sz="4" w:space="0" w:color="auto"/>
            </w:tcBorders>
            <w:shd w:val="clear" w:color="auto" w:fill="auto"/>
            <w:vAlign w:val="center"/>
          </w:tcPr>
          <w:p w14:paraId="72D5CAB2" w14:textId="4161C4B3" w:rsidR="00990E5D" w:rsidRPr="00990E5D" w:rsidRDefault="00990E5D" w:rsidP="00990E5D">
            <w:pPr>
              <w:spacing w:before="40" w:after="40"/>
              <w:jc w:val="center"/>
              <w:rPr>
                <w:rFonts w:asciiTheme="majorBidi" w:hAnsiTheme="majorBidi" w:cstheme="majorBidi"/>
                <w:b/>
                <w:bCs/>
                <w:sz w:val="16"/>
                <w:szCs w:val="16"/>
              </w:rPr>
            </w:pPr>
            <w:ins w:id="110" w:author="ITU" w:date="2019-10-11T21:16:00Z">
              <w:r w:rsidRPr="00990E5D">
                <w:rPr>
                  <w:rFonts w:asciiTheme="majorBidi" w:hAnsiTheme="majorBidi" w:cstheme="majorBidi"/>
                  <w:b/>
                  <w:bCs/>
                  <w:sz w:val="18"/>
                  <w:szCs w:val="18"/>
                </w:rPr>
                <w:t> </w:t>
              </w:r>
            </w:ins>
          </w:p>
        </w:tc>
        <w:tc>
          <w:tcPr>
            <w:tcW w:w="1026" w:type="dxa"/>
            <w:tcBorders>
              <w:top w:val="single" w:sz="4" w:space="0" w:color="auto"/>
              <w:left w:val="single" w:sz="4" w:space="0" w:color="auto"/>
              <w:bottom w:val="single" w:sz="12" w:space="0" w:color="auto"/>
              <w:right w:val="single" w:sz="4" w:space="0" w:color="auto"/>
            </w:tcBorders>
            <w:shd w:val="clear" w:color="auto" w:fill="auto"/>
            <w:vAlign w:val="center"/>
          </w:tcPr>
          <w:p w14:paraId="0ECDFC5D" w14:textId="1A90E217" w:rsidR="00990E5D" w:rsidRPr="00990E5D" w:rsidRDefault="00990E5D" w:rsidP="00990E5D">
            <w:pPr>
              <w:spacing w:before="40" w:after="40"/>
              <w:jc w:val="center"/>
              <w:rPr>
                <w:rFonts w:asciiTheme="majorBidi" w:hAnsiTheme="majorBidi" w:cstheme="majorBidi"/>
                <w:b/>
                <w:bCs/>
                <w:sz w:val="16"/>
                <w:szCs w:val="16"/>
              </w:rPr>
            </w:pPr>
            <w:ins w:id="111" w:author="ITU" w:date="2019-10-11T21:16:00Z">
              <w:r w:rsidRPr="00990E5D">
                <w:rPr>
                  <w:rFonts w:asciiTheme="majorBidi" w:hAnsiTheme="majorBidi" w:cstheme="majorBidi"/>
                  <w:b/>
                  <w:bCs/>
                  <w:sz w:val="18"/>
                  <w:szCs w:val="18"/>
                </w:rPr>
                <w:t> </w:t>
              </w:r>
            </w:ins>
          </w:p>
        </w:tc>
        <w:tc>
          <w:tcPr>
            <w:tcW w:w="629" w:type="dxa"/>
            <w:tcBorders>
              <w:top w:val="single" w:sz="4" w:space="0" w:color="auto"/>
              <w:left w:val="single" w:sz="4" w:space="0" w:color="auto"/>
              <w:bottom w:val="single" w:sz="12" w:space="0" w:color="auto"/>
              <w:right w:val="single" w:sz="4" w:space="0" w:color="auto"/>
            </w:tcBorders>
            <w:shd w:val="clear" w:color="auto" w:fill="auto"/>
            <w:vAlign w:val="center"/>
          </w:tcPr>
          <w:p w14:paraId="0F572C44" w14:textId="4A878D7C" w:rsidR="00990E5D" w:rsidRPr="00990E5D" w:rsidRDefault="00990E5D" w:rsidP="00990E5D">
            <w:pPr>
              <w:spacing w:before="40" w:after="40"/>
              <w:jc w:val="center"/>
              <w:rPr>
                <w:rFonts w:asciiTheme="majorBidi" w:hAnsiTheme="majorBidi" w:cstheme="majorBidi"/>
                <w:b/>
                <w:bCs/>
                <w:sz w:val="16"/>
                <w:szCs w:val="16"/>
              </w:rPr>
            </w:pPr>
            <w:ins w:id="112" w:author="ITU" w:date="2019-10-11T21:16:00Z">
              <w:r w:rsidRPr="00990E5D">
                <w:rPr>
                  <w:rFonts w:asciiTheme="majorBidi" w:hAnsiTheme="majorBidi" w:cstheme="majorBidi"/>
                  <w:b/>
                  <w:bCs/>
                  <w:sz w:val="18"/>
                  <w:szCs w:val="18"/>
                </w:rPr>
                <w:t> </w:t>
              </w:r>
            </w:ins>
          </w:p>
        </w:tc>
        <w:tc>
          <w:tcPr>
            <w:tcW w:w="833" w:type="dxa"/>
            <w:tcBorders>
              <w:top w:val="single" w:sz="4" w:space="0" w:color="auto"/>
              <w:left w:val="single" w:sz="4" w:space="0" w:color="auto"/>
              <w:bottom w:val="single" w:sz="12" w:space="0" w:color="auto"/>
              <w:right w:val="single" w:sz="4" w:space="0" w:color="auto"/>
            </w:tcBorders>
            <w:shd w:val="clear" w:color="auto" w:fill="auto"/>
            <w:vAlign w:val="center"/>
          </w:tcPr>
          <w:p w14:paraId="1E49F430" w14:textId="6A60620A" w:rsidR="00990E5D" w:rsidRPr="00990E5D" w:rsidRDefault="00990E5D" w:rsidP="00990E5D">
            <w:pPr>
              <w:spacing w:before="40" w:after="40"/>
              <w:jc w:val="center"/>
              <w:rPr>
                <w:rFonts w:asciiTheme="majorBidi" w:hAnsiTheme="majorBidi" w:cstheme="majorBidi"/>
                <w:b/>
                <w:bCs/>
                <w:sz w:val="18"/>
                <w:szCs w:val="18"/>
              </w:rPr>
            </w:pPr>
            <w:ins w:id="113" w:author="ITU" w:date="2019-10-11T21:16:00Z">
              <w:r w:rsidRPr="00990E5D">
                <w:rPr>
                  <w:rFonts w:asciiTheme="majorBidi" w:hAnsiTheme="majorBidi" w:cstheme="majorBidi"/>
                  <w:b/>
                  <w:bCs/>
                  <w:sz w:val="18"/>
                  <w:szCs w:val="18"/>
                </w:rPr>
                <w:t>+</w:t>
              </w:r>
            </w:ins>
          </w:p>
        </w:tc>
        <w:tc>
          <w:tcPr>
            <w:tcW w:w="848" w:type="dxa"/>
            <w:tcBorders>
              <w:top w:val="single" w:sz="4" w:space="0" w:color="auto"/>
              <w:left w:val="single" w:sz="4" w:space="0" w:color="auto"/>
              <w:bottom w:val="single" w:sz="12" w:space="0" w:color="auto"/>
              <w:right w:val="single" w:sz="4" w:space="0" w:color="auto"/>
            </w:tcBorders>
            <w:shd w:val="clear" w:color="auto" w:fill="auto"/>
            <w:vAlign w:val="center"/>
          </w:tcPr>
          <w:p w14:paraId="162993DB" w14:textId="60D3A99D" w:rsidR="00990E5D" w:rsidRPr="00990E5D" w:rsidRDefault="00990E5D" w:rsidP="00990E5D">
            <w:pPr>
              <w:spacing w:before="40" w:after="40"/>
              <w:jc w:val="center"/>
              <w:rPr>
                <w:rFonts w:asciiTheme="majorBidi" w:hAnsiTheme="majorBidi" w:cstheme="majorBidi"/>
                <w:b/>
                <w:bCs/>
                <w:sz w:val="16"/>
                <w:szCs w:val="16"/>
              </w:rPr>
            </w:pPr>
            <w:ins w:id="114" w:author="ITU" w:date="2019-10-11T21:16:00Z">
              <w:r w:rsidRPr="00990E5D">
                <w:rPr>
                  <w:rFonts w:asciiTheme="majorBidi" w:hAnsiTheme="majorBidi" w:cstheme="majorBidi"/>
                  <w:b/>
                  <w:bCs/>
                  <w:sz w:val="18"/>
                  <w:szCs w:val="18"/>
                </w:rPr>
                <w:t> </w:t>
              </w:r>
            </w:ins>
          </w:p>
        </w:tc>
        <w:tc>
          <w:tcPr>
            <w:tcW w:w="765" w:type="dxa"/>
            <w:tcBorders>
              <w:top w:val="single" w:sz="4" w:space="0" w:color="auto"/>
              <w:left w:val="single" w:sz="4" w:space="0" w:color="auto"/>
              <w:bottom w:val="single" w:sz="12" w:space="0" w:color="auto"/>
              <w:right w:val="single" w:sz="4" w:space="0" w:color="auto"/>
            </w:tcBorders>
            <w:shd w:val="clear" w:color="auto" w:fill="auto"/>
            <w:vAlign w:val="center"/>
          </w:tcPr>
          <w:p w14:paraId="5419F7CC" w14:textId="402F41D0" w:rsidR="00990E5D" w:rsidRPr="00990E5D" w:rsidRDefault="00990E5D" w:rsidP="00990E5D">
            <w:pPr>
              <w:spacing w:before="40" w:after="40"/>
              <w:jc w:val="center"/>
              <w:rPr>
                <w:rFonts w:asciiTheme="majorBidi" w:hAnsiTheme="majorBidi" w:cstheme="majorBidi"/>
                <w:b/>
                <w:bCs/>
                <w:sz w:val="16"/>
                <w:szCs w:val="16"/>
              </w:rPr>
            </w:pPr>
            <w:ins w:id="115" w:author="ITU" w:date="2019-10-11T21:16:00Z">
              <w:r w:rsidRPr="00990E5D">
                <w:rPr>
                  <w:rFonts w:asciiTheme="majorBidi" w:hAnsiTheme="majorBidi" w:cstheme="majorBidi"/>
                  <w:b/>
                  <w:bCs/>
                  <w:sz w:val="18"/>
                  <w:szCs w:val="18"/>
                </w:rPr>
                <w:t> </w:t>
              </w:r>
            </w:ins>
          </w:p>
        </w:tc>
        <w:tc>
          <w:tcPr>
            <w:tcW w:w="765" w:type="dxa"/>
            <w:tcBorders>
              <w:top w:val="single" w:sz="4" w:space="0" w:color="auto"/>
              <w:left w:val="single" w:sz="4" w:space="0" w:color="auto"/>
              <w:bottom w:val="single" w:sz="12" w:space="0" w:color="auto"/>
              <w:right w:val="single" w:sz="4" w:space="0" w:color="auto"/>
            </w:tcBorders>
            <w:shd w:val="clear" w:color="auto" w:fill="auto"/>
            <w:vAlign w:val="center"/>
          </w:tcPr>
          <w:p w14:paraId="034432A4" w14:textId="77777777" w:rsidR="00990E5D" w:rsidRPr="00990E5D" w:rsidRDefault="00990E5D" w:rsidP="00990E5D">
            <w:pPr>
              <w:spacing w:before="40" w:after="40"/>
              <w:jc w:val="center"/>
              <w:rPr>
                <w:rFonts w:asciiTheme="majorBidi" w:hAnsiTheme="majorBidi" w:cstheme="majorBidi"/>
                <w:b/>
                <w:bCs/>
                <w:sz w:val="16"/>
                <w:szCs w:val="16"/>
              </w:rPr>
            </w:pPr>
          </w:p>
        </w:tc>
        <w:tc>
          <w:tcPr>
            <w:tcW w:w="942" w:type="dxa"/>
            <w:tcBorders>
              <w:top w:val="single" w:sz="4" w:space="0" w:color="auto"/>
              <w:left w:val="double" w:sz="6" w:space="0" w:color="auto"/>
              <w:bottom w:val="single" w:sz="12" w:space="0" w:color="auto"/>
              <w:right w:val="double" w:sz="6" w:space="0" w:color="auto"/>
            </w:tcBorders>
            <w:shd w:val="clear" w:color="auto" w:fill="auto"/>
          </w:tcPr>
          <w:p w14:paraId="6A5775C6" w14:textId="49064591" w:rsidR="00990E5D" w:rsidRPr="00990E5D" w:rsidRDefault="00990E5D" w:rsidP="00990E5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16" w:author="ITU" w:date="2019-10-11T21:16:00Z">
              <w:r w:rsidRPr="00990E5D">
                <w:rPr>
                  <w:rFonts w:asciiTheme="majorBidi" w:hAnsiTheme="majorBidi" w:cstheme="majorBidi"/>
                  <w:sz w:val="18"/>
                  <w:szCs w:val="18"/>
                  <w:lang w:eastAsia="zh-CN"/>
                </w:rPr>
                <w:t>A.20.b</w:t>
              </w:r>
            </w:ins>
          </w:p>
        </w:tc>
        <w:tc>
          <w:tcPr>
            <w:tcW w:w="479" w:type="dxa"/>
            <w:tcBorders>
              <w:top w:val="single" w:sz="4" w:space="0" w:color="auto"/>
              <w:left w:val="double" w:sz="6" w:space="0" w:color="auto"/>
              <w:bottom w:val="single" w:sz="12" w:space="0" w:color="auto"/>
              <w:right w:val="single" w:sz="12" w:space="0" w:color="auto"/>
            </w:tcBorders>
            <w:shd w:val="clear" w:color="auto" w:fill="auto"/>
            <w:vAlign w:val="center"/>
          </w:tcPr>
          <w:p w14:paraId="384E0F9D" w14:textId="08BF5F10" w:rsidR="00990E5D" w:rsidRPr="00990E5D" w:rsidRDefault="00990E5D" w:rsidP="00990E5D">
            <w:pPr>
              <w:spacing w:before="40" w:after="40"/>
              <w:jc w:val="center"/>
              <w:rPr>
                <w:rFonts w:asciiTheme="majorBidi" w:hAnsiTheme="majorBidi" w:cstheme="majorBidi"/>
                <w:b/>
                <w:bCs/>
                <w:sz w:val="18"/>
                <w:szCs w:val="18"/>
              </w:rPr>
            </w:pPr>
            <w:r w:rsidRPr="00990E5D">
              <w:rPr>
                <w:rFonts w:asciiTheme="majorBidi" w:hAnsiTheme="majorBidi" w:cstheme="majorBidi"/>
                <w:b/>
                <w:bCs/>
                <w:sz w:val="18"/>
                <w:szCs w:val="18"/>
              </w:rPr>
              <w:t> </w:t>
            </w:r>
          </w:p>
        </w:tc>
      </w:tr>
    </w:tbl>
    <w:p w14:paraId="63F995F1" w14:textId="77777777" w:rsidR="00C65D71" w:rsidRPr="00990E5D" w:rsidRDefault="00C65D71"/>
    <w:p w14:paraId="78FA39CE" w14:textId="77777777" w:rsidR="00C65D71" w:rsidRPr="00990E5D" w:rsidRDefault="00C65D71" w:rsidP="00541117">
      <w:pPr>
        <w:pStyle w:val="Reasons"/>
        <w:sectPr w:rsidR="00C65D71" w:rsidRPr="00990E5D">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14:paraId="3B7C02A0" w14:textId="77777777" w:rsidR="00C65D71" w:rsidRPr="00990E5D" w:rsidRDefault="007202EC">
      <w:pPr>
        <w:pStyle w:val="Proposal"/>
      </w:pPr>
      <w:r w:rsidRPr="00990E5D">
        <w:lastRenderedPageBreak/>
        <w:t>SUP</w:t>
      </w:r>
      <w:r w:rsidRPr="00990E5D">
        <w:tab/>
        <w:t>SMO/VUT/95/7</w:t>
      </w:r>
      <w:r w:rsidRPr="00990E5D">
        <w:rPr>
          <w:vanish/>
          <w:color w:val="7F7F7F" w:themeColor="text1" w:themeTint="80"/>
          <w:vertAlign w:val="superscript"/>
        </w:rPr>
        <w:t>#49987</w:t>
      </w:r>
    </w:p>
    <w:p w14:paraId="1F7D8FFD" w14:textId="77777777" w:rsidR="007202EC" w:rsidRPr="00990E5D" w:rsidRDefault="007202EC" w:rsidP="007202EC">
      <w:pPr>
        <w:pStyle w:val="ResNo"/>
      </w:pPr>
      <w:r w:rsidRPr="00990E5D">
        <w:t>RESOLUCIÓN 158 (CMR</w:t>
      </w:r>
      <w:r w:rsidRPr="00990E5D">
        <w:noBreakHyphen/>
        <w:t>15)</w:t>
      </w:r>
    </w:p>
    <w:p w14:paraId="2F09AAE9" w14:textId="77777777" w:rsidR="007202EC" w:rsidRPr="00990E5D" w:rsidRDefault="007202EC" w:rsidP="007202EC">
      <w:pPr>
        <w:pStyle w:val="Restitle"/>
      </w:pPr>
      <w:r w:rsidRPr="00990E5D">
        <w:t>Utilización de las bandas de frecuencias 17,7-19,7 GHz (espacio-Tierra)</w:t>
      </w:r>
      <w:r w:rsidRPr="00990E5D">
        <w:br/>
        <w:t>y 27,5</w:t>
      </w:r>
      <w:r w:rsidRPr="00990E5D">
        <w:noBreakHyphen/>
        <w:t xml:space="preserve">29,5 GHz (Tierra-espacio) para las comunicaciones de las </w:t>
      </w:r>
      <w:r w:rsidRPr="00990E5D">
        <w:br/>
        <w:t xml:space="preserve">estaciones terrenas en movimiento con estaciones espaciales </w:t>
      </w:r>
      <w:r w:rsidRPr="00990E5D">
        <w:br/>
        <w:t>geoestacionarias en el servicio fijo por satélite</w:t>
      </w:r>
    </w:p>
    <w:p w14:paraId="7440DCDF" w14:textId="35751724" w:rsidR="001C570E" w:rsidRPr="00990E5D" w:rsidRDefault="001C570E" w:rsidP="00A36434">
      <w:pPr>
        <w:pStyle w:val="Reasons"/>
      </w:pPr>
    </w:p>
    <w:p w14:paraId="20EE89DC" w14:textId="2D6E9C3F" w:rsidR="00C65D71" w:rsidRPr="00990E5D" w:rsidRDefault="001C570E" w:rsidP="001C570E">
      <w:pPr>
        <w:jc w:val="center"/>
      </w:pPr>
      <w:r w:rsidRPr="00990E5D">
        <w:t>______________</w:t>
      </w:r>
    </w:p>
    <w:sectPr w:rsidR="00C65D71" w:rsidRPr="00990E5D">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0B514" w14:textId="77777777" w:rsidR="008D5E33" w:rsidRDefault="008D5E33">
      <w:r>
        <w:separator/>
      </w:r>
    </w:p>
  </w:endnote>
  <w:endnote w:type="continuationSeparator" w:id="0">
    <w:p w14:paraId="2C1E0133" w14:textId="77777777" w:rsidR="008D5E33" w:rsidRDefault="008D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339AB" w14:textId="77777777" w:rsidR="008D5E33" w:rsidRDefault="008D5E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A80C1F" w14:textId="0D33D538" w:rsidR="008D5E33" w:rsidRDefault="008D5E33">
    <w:pPr>
      <w:ind w:right="360"/>
      <w:rPr>
        <w:lang w:val="en-US"/>
      </w:rPr>
    </w:pPr>
    <w:r>
      <w:fldChar w:fldCharType="begin"/>
    </w:r>
    <w:r>
      <w:rPr>
        <w:lang w:val="en-US"/>
      </w:rPr>
      <w:instrText xml:space="preserve"> FILENAME \p  \* MERGEFORMAT </w:instrText>
    </w:r>
    <w:r>
      <w:fldChar w:fldCharType="separate"/>
    </w:r>
    <w:r>
      <w:rPr>
        <w:noProof/>
        <w:lang w:val="en-US"/>
      </w:rPr>
      <w:t>P:\TRAD\S\ITU-R\CONF-R\CMR19\000\095S(462239)LIN S.docx</w:t>
    </w:r>
    <w:r>
      <w:fldChar w:fldCharType="end"/>
    </w:r>
    <w:r>
      <w:rPr>
        <w:lang w:val="en-US"/>
      </w:rPr>
      <w:tab/>
    </w:r>
    <w:r>
      <w:fldChar w:fldCharType="begin"/>
    </w:r>
    <w:r>
      <w:instrText xml:space="preserve"> SAVEDATE \@ DD.MM.YY </w:instrText>
    </w:r>
    <w:r>
      <w:fldChar w:fldCharType="separate"/>
    </w:r>
    <w:r w:rsidR="005E670B">
      <w:rPr>
        <w:noProof/>
      </w:rPr>
      <w:t>18.10.19</w:t>
    </w:r>
    <w:r>
      <w:fldChar w:fldCharType="end"/>
    </w:r>
    <w:r>
      <w:rPr>
        <w:lang w:val="en-US"/>
      </w:rPr>
      <w:tab/>
    </w:r>
    <w:r>
      <w:fldChar w:fldCharType="begin"/>
    </w:r>
    <w:r>
      <w:instrText xml:space="preserve"> PRINTDATE \@ DD.MM.YY </w:instrText>
    </w:r>
    <w:r>
      <w:fldChar w:fldCharType="separate"/>
    </w:r>
    <w:r>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B2DC" w14:textId="73EBEDC2" w:rsidR="008D5E33" w:rsidRPr="003445BC" w:rsidRDefault="008D5E33" w:rsidP="003445BC">
    <w:pPr>
      <w:pStyle w:val="Footer"/>
      <w:rPr>
        <w:lang w:val="en-US"/>
      </w:rPr>
    </w:pPr>
    <w:r w:rsidRPr="003445BC">
      <w:rPr>
        <w:lang w:val="en-US"/>
      </w:rPr>
      <w:fldChar w:fldCharType="begin"/>
    </w:r>
    <w:r w:rsidRPr="003445BC">
      <w:rPr>
        <w:lang w:val="en-US"/>
      </w:rPr>
      <w:instrText xml:space="preserve"> FILENAME \p  \* MERGEFORMAT </w:instrText>
    </w:r>
    <w:r w:rsidRPr="003445BC">
      <w:rPr>
        <w:lang w:val="en-US"/>
      </w:rPr>
      <w:fldChar w:fldCharType="separate"/>
    </w:r>
    <w:r w:rsidR="00990E5D">
      <w:rPr>
        <w:lang w:val="en-US"/>
      </w:rPr>
      <w:t>P:\ESP\ITU-R\CONF-R\CMR19\000\095S.docx</w:t>
    </w:r>
    <w:r w:rsidRPr="003445BC">
      <w:rPr>
        <w:lang w:val="en-US"/>
      </w:rPr>
      <w:fldChar w:fldCharType="end"/>
    </w:r>
    <w:r w:rsidRPr="003445BC">
      <w:rPr>
        <w:lang w:val="en-US"/>
      </w:rPr>
      <w:t xml:space="preserve"> (</w:t>
    </w:r>
    <w:r>
      <w:rPr>
        <w:lang w:val="en-US"/>
      </w:rPr>
      <w:t>462239</w:t>
    </w:r>
    <w:r w:rsidRPr="003445BC">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06D06" w14:textId="2D168731" w:rsidR="008D5E33" w:rsidRDefault="008D5E33" w:rsidP="003445BC">
    <w:pPr>
      <w:pStyle w:val="Footer"/>
      <w:rPr>
        <w:lang w:val="en-US"/>
      </w:rPr>
    </w:pPr>
    <w:r w:rsidRPr="003445BC">
      <w:rPr>
        <w:lang w:val="en-US"/>
      </w:rPr>
      <w:fldChar w:fldCharType="begin"/>
    </w:r>
    <w:r w:rsidRPr="003445BC">
      <w:rPr>
        <w:lang w:val="en-US"/>
      </w:rPr>
      <w:instrText xml:space="preserve"> FILENAME \p  \* MERGEFORMAT </w:instrText>
    </w:r>
    <w:r w:rsidRPr="003445BC">
      <w:rPr>
        <w:lang w:val="en-US"/>
      </w:rPr>
      <w:fldChar w:fldCharType="separate"/>
    </w:r>
    <w:r w:rsidR="00990E5D">
      <w:rPr>
        <w:lang w:val="en-US"/>
      </w:rPr>
      <w:t>P:\ESP\ITU-R\CONF-R\CMR19\000\095S.docx</w:t>
    </w:r>
    <w:r w:rsidRPr="003445BC">
      <w:rPr>
        <w:lang w:val="en-US"/>
      </w:rPr>
      <w:fldChar w:fldCharType="end"/>
    </w:r>
    <w:r w:rsidRPr="003445BC">
      <w:rPr>
        <w:lang w:val="en-US"/>
      </w:rPr>
      <w:t xml:space="preserve"> (</w:t>
    </w:r>
    <w:r>
      <w:rPr>
        <w:lang w:val="en-US"/>
      </w:rPr>
      <w:t>462239</w:t>
    </w:r>
    <w:r w:rsidRPr="003445BC">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BE3F" w14:textId="77777777" w:rsidR="008D5E33" w:rsidRDefault="008D5E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B4E54" w14:textId="24F1FB54" w:rsidR="008D5E33" w:rsidRDefault="008D5E33">
    <w:pPr>
      <w:ind w:right="360"/>
      <w:rPr>
        <w:lang w:val="en-US"/>
      </w:rPr>
    </w:pPr>
    <w:r>
      <w:fldChar w:fldCharType="begin"/>
    </w:r>
    <w:r>
      <w:rPr>
        <w:lang w:val="en-US"/>
      </w:rPr>
      <w:instrText xml:space="preserve"> FILENAME \p  \* MERGEFORMAT </w:instrText>
    </w:r>
    <w:r>
      <w:fldChar w:fldCharType="separate"/>
    </w:r>
    <w:r>
      <w:rPr>
        <w:noProof/>
        <w:lang w:val="en-US"/>
      </w:rPr>
      <w:t>P:\TRAD\S\ITU-R\CONF-R\CMR19\000\095S(462239)LIN S.docx</w:t>
    </w:r>
    <w:r>
      <w:fldChar w:fldCharType="end"/>
    </w:r>
    <w:r>
      <w:rPr>
        <w:lang w:val="en-US"/>
      </w:rPr>
      <w:tab/>
    </w:r>
    <w:r>
      <w:fldChar w:fldCharType="begin"/>
    </w:r>
    <w:r>
      <w:instrText xml:space="preserve"> SAVEDATE \@ DD.MM.YY </w:instrText>
    </w:r>
    <w:r>
      <w:fldChar w:fldCharType="separate"/>
    </w:r>
    <w:r w:rsidR="005E670B">
      <w:rPr>
        <w:noProof/>
      </w:rPr>
      <w:t>18.10.19</w:t>
    </w:r>
    <w:r>
      <w:fldChar w:fldCharType="end"/>
    </w:r>
    <w:r>
      <w:rPr>
        <w:lang w:val="en-US"/>
      </w:rPr>
      <w:tab/>
    </w:r>
    <w:r>
      <w:fldChar w:fldCharType="begin"/>
    </w:r>
    <w:r>
      <w:instrText xml:space="preserve"> PRINTDATE \@ DD.MM.YY </w:instrText>
    </w:r>
    <w:r>
      <w:fldChar w:fldCharType="separate"/>
    </w:r>
    <w:r>
      <w:rPr>
        <w:noProof/>
      </w:rPr>
      <w:t>17.10.19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046A" w14:textId="0D3B46AD" w:rsidR="008D5E33" w:rsidRPr="003445BC" w:rsidRDefault="008D5E33" w:rsidP="003445BC">
    <w:pPr>
      <w:pStyle w:val="Footer"/>
      <w:rPr>
        <w:lang w:val="en-US"/>
      </w:rPr>
    </w:pPr>
    <w:r w:rsidRPr="003445BC">
      <w:rPr>
        <w:lang w:val="en-US"/>
      </w:rPr>
      <w:fldChar w:fldCharType="begin"/>
    </w:r>
    <w:r w:rsidRPr="003445BC">
      <w:rPr>
        <w:lang w:val="en-US"/>
      </w:rPr>
      <w:instrText xml:space="preserve"> FILENAME \p  \* MERGEFORMAT </w:instrText>
    </w:r>
    <w:r w:rsidRPr="003445BC">
      <w:rPr>
        <w:lang w:val="en-US"/>
      </w:rPr>
      <w:fldChar w:fldCharType="separate"/>
    </w:r>
    <w:r w:rsidR="00990E5D">
      <w:rPr>
        <w:lang w:val="en-US"/>
      </w:rPr>
      <w:t>P:\ESP\ITU-R\CONF-R\CMR19\000\095S.docx</w:t>
    </w:r>
    <w:r w:rsidRPr="003445BC">
      <w:rPr>
        <w:lang w:val="en-US"/>
      </w:rPr>
      <w:fldChar w:fldCharType="end"/>
    </w:r>
    <w:r w:rsidRPr="003445BC">
      <w:rPr>
        <w:lang w:val="en-US"/>
      </w:rPr>
      <w:t xml:space="preserve"> (</w:t>
    </w:r>
    <w:r>
      <w:rPr>
        <w:lang w:val="en-US"/>
      </w:rPr>
      <w:t>462239</w:t>
    </w:r>
    <w:r w:rsidRPr="003445BC">
      <w:rPr>
        <w:lang w:val="en-US"/>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20BF" w14:textId="22AF2338" w:rsidR="008D5E33" w:rsidRDefault="008D5E33" w:rsidP="00B47331">
    <w:pPr>
      <w:pStyle w:val="Footer"/>
      <w:rPr>
        <w:lang w:val="en-US"/>
      </w:rPr>
    </w:pPr>
    <w:r>
      <w:fldChar w:fldCharType="begin"/>
    </w:r>
    <w:r>
      <w:rPr>
        <w:lang w:val="en-US"/>
      </w:rPr>
      <w:instrText xml:space="preserve"> FILENAME \p  \* MERGEFORMAT </w:instrText>
    </w:r>
    <w:r>
      <w:fldChar w:fldCharType="separate"/>
    </w:r>
    <w:r>
      <w:rPr>
        <w:lang w:val="en-US"/>
      </w:rPr>
      <w:t>P:\TRAD\S\ITU-R\CONF-R\CMR19\000\095S(462239)LIN 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0EA1F" w14:textId="77777777" w:rsidR="008D5E33" w:rsidRDefault="008D5E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E26EE5" w14:textId="34612204" w:rsidR="008D5E33" w:rsidRDefault="008D5E33">
    <w:pPr>
      <w:ind w:right="360"/>
      <w:rPr>
        <w:lang w:val="en-US"/>
      </w:rPr>
    </w:pPr>
    <w:r>
      <w:fldChar w:fldCharType="begin"/>
    </w:r>
    <w:r>
      <w:rPr>
        <w:lang w:val="en-US"/>
      </w:rPr>
      <w:instrText xml:space="preserve"> FILENAME \p  \* MERGEFORMAT </w:instrText>
    </w:r>
    <w:r>
      <w:fldChar w:fldCharType="separate"/>
    </w:r>
    <w:r>
      <w:rPr>
        <w:noProof/>
        <w:lang w:val="en-US"/>
      </w:rPr>
      <w:t>P:\TRAD\S\ITU-R\CONF-R\CMR19\000\095S(462239)LIN S.docx</w:t>
    </w:r>
    <w:r>
      <w:fldChar w:fldCharType="end"/>
    </w:r>
    <w:r>
      <w:rPr>
        <w:lang w:val="en-US"/>
      </w:rPr>
      <w:tab/>
    </w:r>
    <w:r>
      <w:fldChar w:fldCharType="begin"/>
    </w:r>
    <w:r>
      <w:instrText xml:space="preserve"> SAVEDATE \@ DD.MM.YY </w:instrText>
    </w:r>
    <w:r>
      <w:fldChar w:fldCharType="separate"/>
    </w:r>
    <w:r w:rsidR="005E670B">
      <w:rPr>
        <w:noProof/>
      </w:rPr>
      <w:t>18.10.19</w:t>
    </w:r>
    <w:r>
      <w:fldChar w:fldCharType="end"/>
    </w:r>
    <w:r>
      <w:rPr>
        <w:lang w:val="en-US"/>
      </w:rPr>
      <w:tab/>
    </w:r>
    <w:r>
      <w:fldChar w:fldCharType="begin"/>
    </w:r>
    <w:r>
      <w:instrText xml:space="preserve"> PRINTDATE \@ DD.MM.YY </w:instrText>
    </w:r>
    <w:r>
      <w:fldChar w:fldCharType="separate"/>
    </w:r>
    <w:r>
      <w:rPr>
        <w:noProof/>
      </w:rPr>
      <w:t>17.10.19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98DC" w14:textId="08B4C435" w:rsidR="008D5E33" w:rsidRPr="003445BC" w:rsidRDefault="008D5E33" w:rsidP="003445BC">
    <w:pPr>
      <w:pStyle w:val="Footer"/>
      <w:rPr>
        <w:lang w:val="en-US"/>
      </w:rPr>
    </w:pPr>
    <w:r w:rsidRPr="003445BC">
      <w:rPr>
        <w:lang w:val="en-US"/>
      </w:rPr>
      <w:fldChar w:fldCharType="begin"/>
    </w:r>
    <w:r w:rsidRPr="003445BC">
      <w:rPr>
        <w:lang w:val="en-US"/>
      </w:rPr>
      <w:instrText xml:space="preserve"> FILENAME \p  \* MERGEFORMAT </w:instrText>
    </w:r>
    <w:r w:rsidRPr="003445BC">
      <w:rPr>
        <w:lang w:val="en-US"/>
      </w:rPr>
      <w:fldChar w:fldCharType="separate"/>
    </w:r>
    <w:r w:rsidR="00990E5D">
      <w:rPr>
        <w:lang w:val="en-US"/>
      </w:rPr>
      <w:t>P:\ESP\ITU-R\CONF-R\CMR19\000\095S.docx</w:t>
    </w:r>
    <w:r w:rsidRPr="003445BC">
      <w:rPr>
        <w:lang w:val="en-US"/>
      </w:rPr>
      <w:fldChar w:fldCharType="end"/>
    </w:r>
    <w:r w:rsidRPr="003445BC">
      <w:rPr>
        <w:lang w:val="en-US"/>
      </w:rPr>
      <w:t xml:space="preserve"> (</w:t>
    </w:r>
    <w:r>
      <w:rPr>
        <w:lang w:val="en-US"/>
      </w:rPr>
      <w:t>462239</w:t>
    </w:r>
    <w:r w:rsidRPr="003445BC">
      <w:rPr>
        <w:lang w:val="en-US"/>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BC43" w14:textId="0A52004D" w:rsidR="008D5E33" w:rsidRDefault="008D5E33" w:rsidP="00B47331">
    <w:pPr>
      <w:pStyle w:val="Footer"/>
      <w:rPr>
        <w:lang w:val="en-US"/>
      </w:rPr>
    </w:pPr>
    <w:r>
      <w:fldChar w:fldCharType="begin"/>
    </w:r>
    <w:r>
      <w:rPr>
        <w:lang w:val="en-US"/>
      </w:rPr>
      <w:instrText xml:space="preserve"> FILENAME \p  \* MERGEFORMAT </w:instrText>
    </w:r>
    <w:r>
      <w:fldChar w:fldCharType="separate"/>
    </w:r>
    <w:r>
      <w:rPr>
        <w:lang w:val="en-US"/>
      </w:rPr>
      <w:t>P:\TRAD\S\ITU-R\CONF-R\CMR19\000\095S(462239)LIN 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1784B" w14:textId="77777777" w:rsidR="008D5E33" w:rsidRDefault="008D5E33">
      <w:r>
        <w:rPr>
          <w:b/>
        </w:rPr>
        <w:t>_______________</w:t>
      </w:r>
    </w:p>
  </w:footnote>
  <w:footnote w:type="continuationSeparator" w:id="0">
    <w:p w14:paraId="707CF1F4" w14:textId="77777777" w:rsidR="008D5E33" w:rsidRDefault="008D5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E2A4" w14:textId="77777777" w:rsidR="008D5E33" w:rsidRDefault="008D5E3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CB82C5" w14:textId="77777777" w:rsidR="008D5E33" w:rsidRDefault="008D5E33" w:rsidP="00C44E9E">
    <w:pPr>
      <w:pStyle w:val="Header"/>
      <w:rPr>
        <w:lang w:val="en-US"/>
      </w:rPr>
    </w:pPr>
    <w:r>
      <w:rPr>
        <w:lang w:val="en-US"/>
      </w:rPr>
      <w:t>CMR19/</w:t>
    </w:r>
    <w:r>
      <w:t>95-</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C049" w14:textId="77777777" w:rsidR="008D5E33" w:rsidRDefault="008D5E3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B567261" w14:textId="77777777" w:rsidR="008D5E33" w:rsidRDefault="008D5E33" w:rsidP="00C44E9E">
    <w:pPr>
      <w:pStyle w:val="Header"/>
      <w:rPr>
        <w:lang w:val="en-US"/>
      </w:rPr>
    </w:pPr>
    <w:r>
      <w:rPr>
        <w:lang w:val="en-US"/>
      </w:rPr>
      <w:t>CMR19/</w:t>
    </w:r>
    <w:r>
      <w:t>95-</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0577" w14:textId="77777777" w:rsidR="008D5E33" w:rsidRDefault="008D5E3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EB19532" w14:textId="77777777" w:rsidR="008D5E33" w:rsidRDefault="008D5E33" w:rsidP="00C44E9E">
    <w:pPr>
      <w:pStyle w:val="Header"/>
      <w:rPr>
        <w:lang w:val="en-US"/>
      </w:rPr>
    </w:pPr>
    <w:r>
      <w:rPr>
        <w:lang w:val="en-US"/>
      </w:rPr>
      <w:t>CMR19/</w:t>
    </w:r>
    <w:r>
      <w:t>95-</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82C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B066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84A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EAF9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9628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120A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A8AA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AB1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00D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388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author">
    <w15:presenceInfo w15:providerId="None" w15:userId="author"/>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0D62"/>
    <w:rsid w:val="00087AE8"/>
    <w:rsid w:val="000A5B9A"/>
    <w:rsid w:val="000E5BF9"/>
    <w:rsid w:val="000F0E6D"/>
    <w:rsid w:val="00114E9F"/>
    <w:rsid w:val="00121170"/>
    <w:rsid w:val="00123CC5"/>
    <w:rsid w:val="00133A2C"/>
    <w:rsid w:val="0015142D"/>
    <w:rsid w:val="001616DC"/>
    <w:rsid w:val="00163962"/>
    <w:rsid w:val="00191A97"/>
    <w:rsid w:val="0019729C"/>
    <w:rsid w:val="001A083F"/>
    <w:rsid w:val="001A6DEA"/>
    <w:rsid w:val="001B6286"/>
    <w:rsid w:val="001C41FA"/>
    <w:rsid w:val="001C570E"/>
    <w:rsid w:val="001E2B52"/>
    <w:rsid w:val="001E3F27"/>
    <w:rsid w:val="001E7D42"/>
    <w:rsid w:val="00225331"/>
    <w:rsid w:val="0023659C"/>
    <w:rsid w:val="00236D2A"/>
    <w:rsid w:val="0024569E"/>
    <w:rsid w:val="00255F12"/>
    <w:rsid w:val="00262C09"/>
    <w:rsid w:val="002662DE"/>
    <w:rsid w:val="002A791F"/>
    <w:rsid w:val="002C1A52"/>
    <w:rsid w:val="002C1B26"/>
    <w:rsid w:val="002C5D6C"/>
    <w:rsid w:val="002E701F"/>
    <w:rsid w:val="002F5864"/>
    <w:rsid w:val="00321E32"/>
    <w:rsid w:val="003248A9"/>
    <w:rsid w:val="00324FFA"/>
    <w:rsid w:val="0032680B"/>
    <w:rsid w:val="003445BC"/>
    <w:rsid w:val="003553FD"/>
    <w:rsid w:val="00355953"/>
    <w:rsid w:val="00363A65"/>
    <w:rsid w:val="00364674"/>
    <w:rsid w:val="003B1E8C"/>
    <w:rsid w:val="003C0613"/>
    <w:rsid w:val="003C2508"/>
    <w:rsid w:val="003D0AA3"/>
    <w:rsid w:val="003E2086"/>
    <w:rsid w:val="003F4570"/>
    <w:rsid w:val="003F7F66"/>
    <w:rsid w:val="0040058B"/>
    <w:rsid w:val="00440B3A"/>
    <w:rsid w:val="0044375A"/>
    <w:rsid w:val="0045384C"/>
    <w:rsid w:val="00454553"/>
    <w:rsid w:val="00472A86"/>
    <w:rsid w:val="004B124A"/>
    <w:rsid w:val="004B3095"/>
    <w:rsid w:val="004D2C7C"/>
    <w:rsid w:val="005133B5"/>
    <w:rsid w:val="00524392"/>
    <w:rsid w:val="00532097"/>
    <w:rsid w:val="0053771A"/>
    <w:rsid w:val="00541117"/>
    <w:rsid w:val="005736A5"/>
    <w:rsid w:val="0058350F"/>
    <w:rsid w:val="00583C7E"/>
    <w:rsid w:val="0059098E"/>
    <w:rsid w:val="005D46FB"/>
    <w:rsid w:val="005D7CE1"/>
    <w:rsid w:val="005E670B"/>
    <w:rsid w:val="005F2605"/>
    <w:rsid w:val="005F3B0E"/>
    <w:rsid w:val="005F3DB8"/>
    <w:rsid w:val="005F559C"/>
    <w:rsid w:val="00602857"/>
    <w:rsid w:val="006124AD"/>
    <w:rsid w:val="00624009"/>
    <w:rsid w:val="00630163"/>
    <w:rsid w:val="0064512D"/>
    <w:rsid w:val="00662BA0"/>
    <w:rsid w:val="0067344B"/>
    <w:rsid w:val="00684A94"/>
    <w:rsid w:val="00692AAE"/>
    <w:rsid w:val="006C0E38"/>
    <w:rsid w:val="006D6E67"/>
    <w:rsid w:val="006E1A13"/>
    <w:rsid w:val="006F685F"/>
    <w:rsid w:val="00701C20"/>
    <w:rsid w:val="00702F3D"/>
    <w:rsid w:val="0070518E"/>
    <w:rsid w:val="007202EC"/>
    <w:rsid w:val="007354E9"/>
    <w:rsid w:val="007424E8"/>
    <w:rsid w:val="0074579D"/>
    <w:rsid w:val="00765578"/>
    <w:rsid w:val="00766333"/>
    <w:rsid w:val="0077084A"/>
    <w:rsid w:val="007952C7"/>
    <w:rsid w:val="007B2A1A"/>
    <w:rsid w:val="007C0B95"/>
    <w:rsid w:val="007C2317"/>
    <w:rsid w:val="007D330A"/>
    <w:rsid w:val="008600D4"/>
    <w:rsid w:val="00866AE6"/>
    <w:rsid w:val="008750A8"/>
    <w:rsid w:val="00876E53"/>
    <w:rsid w:val="008975E2"/>
    <w:rsid w:val="008B5F7B"/>
    <w:rsid w:val="008D3316"/>
    <w:rsid w:val="008D5E33"/>
    <w:rsid w:val="008E5AF2"/>
    <w:rsid w:val="0090121B"/>
    <w:rsid w:val="00901A51"/>
    <w:rsid w:val="009144C9"/>
    <w:rsid w:val="0094091F"/>
    <w:rsid w:val="00962171"/>
    <w:rsid w:val="00973754"/>
    <w:rsid w:val="00990E5D"/>
    <w:rsid w:val="009C0BED"/>
    <w:rsid w:val="009E11EC"/>
    <w:rsid w:val="00A021CC"/>
    <w:rsid w:val="00A06803"/>
    <w:rsid w:val="00A118DB"/>
    <w:rsid w:val="00A17971"/>
    <w:rsid w:val="00A36434"/>
    <w:rsid w:val="00A4450C"/>
    <w:rsid w:val="00A56A18"/>
    <w:rsid w:val="00A93FAA"/>
    <w:rsid w:val="00AA5E6C"/>
    <w:rsid w:val="00AD0DC3"/>
    <w:rsid w:val="00AD3555"/>
    <w:rsid w:val="00AE5677"/>
    <w:rsid w:val="00AE658F"/>
    <w:rsid w:val="00AF2F78"/>
    <w:rsid w:val="00B239FA"/>
    <w:rsid w:val="00B372AB"/>
    <w:rsid w:val="00B47331"/>
    <w:rsid w:val="00B52D55"/>
    <w:rsid w:val="00B56377"/>
    <w:rsid w:val="00B8288C"/>
    <w:rsid w:val="00B86034"/>
    <w:rsid w:val="00B9186C"/>
    <w:rsid w:val="00BB0348"/>
    <w:rsid w:val="00BE2E80"/>
    <w:rsid w:val="00BE5EDD"/>
    <w:rsid w:val="00BE6A1F"/>
    <w:rsid w:val="00C126C4"/>
    <w:rsid w:val="00C44E9E"/>
    <w:rsid w:val="00C63EB5"/>
    <w:rsid w:val="00C65D71"/>
    <w:rsid w:val="00C74ED6"/>
    <w:rsid w:val="00C87DA7"/>
    <w:rsid w:val="00C9719D"/>
    <w:rsid w:val="00CC01E0"/>
    <w:rsid w:val="00CC448D"/>
    <w:rsid w:val="00CD5FEE"/>
    <w:rsid w:val="00CE60D2"/>
    <w:rsid w:val="00CE7431"/>
    <w:rsid w:val="00D00CA8"/>
    <w:rsid w:val="00D0288A"/>
    <w:rsid w:val="00D72A5D"/>
    <w:rsid w:val="00DA71A3"/>
    <w:rsid w:val="00DB118A"/>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C8700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rsid w:val="00713E3A"/>
    <w:rPr>
      <w:color w:val="0000FF" w:themeColor="hyperlink"/>
      <w:u w:val="single"/>
    </w:rPr>
  </w:style>
  <w:style w:type="paragraph" w:customStyle="1" w:styleId="Normalaftertitle0">
    <w:name w:val="Normal_after_title"/>
    <w:basedOn w:val="Normal"/>
    <w:next w:val="Normal"/>
    <w:uiPriority w:val="99"/>
    <w:qFormat/>
    <w:rsid w:val="00142003"/>
    <w:pPr>
      <w:spacing w:before="360"/>
    </w:pPr>
  </w:style>
  <w:style w:type="character" w:customStyle="1" w:styleId="CommentTextChar">
    <w:name w:val="Comment Text Char"/>
    <w:basedOn w:val="DefaultParagraphFont"/>
    <w:link w:val="CommentText"/>
    <w:semiHidden/>
    <w:rsid w:val="007202EC"/>
    <w:rPr>
      <w:rFonts w:ascii="Times New Roman" w:hAnsi="Times New Roman"/>
      <w:lang w:val="es-ES_tradnl" w:eastAsia="en-US"/>
    </w:rPr>
  </w:style>
  <w:style w:type="paragraph" w:styleId="BalloonText">
    <w:name w:val="Balloon Text"/>
    <w:basedOn w:val="Normal"/>
    <w:link w:val="BalloonTextChar"/>
    <w:semiHidden/>
    <w:unhideWhenUsed/>
    <w:rsid w:val="00114E9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14E9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12250-F572-42F0-BF60-725D0492B3DC}">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32a1a8c5-2265-4ebc-b7a0-2071e2c5c9bb"/>
    <ds:schemaRef ds:uri="http://purl.org/dc/terms/"/>
    <ds:schemaRef ds:uri="http://purl.org/dc/elements/1.1/"/>
    <ds:schemaRef ds:uri="996b2e75-67fd-4955-a3b0-5ab9934cb50b"/>
    <ds:schemaRef ds:uri="http://www.w3.org/XML/1998/namespac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8FB6A416-268C-4681-A493-53F2A8C5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4857</Words>
  <Characters>26312</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R16-WRC19-C-0095!!MSW-S</vt:lpstr>
    </vt:vector>
  </TitlesOfParts>
  <Manager>Secretaría General - Pool</Manager>
  <Company>Unión Internacional de Telecomunicaciones (UIT)</Company>
  <LinksUpToDate>false</LinksUpToDate>
  <CharactersWithSpaces>31107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R16-WRC19-C-0095!!MSW-S</dc:title>
  <dc:subject>Conferencia Mundial de Radiocomunicaciones - 2019</dc:subject>
  <dc:creator>Documents Proposals Manager (DPM)</dc:creator>
  <cp:keywords>DPM_v2019.10.15.2_prod</cp:keywords>
  <dc:description/>
  <cp:lastModifiedBy>Spanish</cp:lastModifiedBy>
  <cp:revision>7</cp:revision>
  <cp:lastPrinted>2019-10-17T12:49:00Z</cp:lastPrinted>
  <dcterms:created xsi:type="dcterms:W3CDTF">2019-10-17T16:31:00Z</dcterms:created>
  <dcterms:modified xsi:type="dcterms:W3CDTF">2019-10-18T10:40:00Z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