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F5C8C" w14:paraId="60EACEA2" w14:textId="77777777" w:rsidTr="0050008E">
        <w:trPr>
          <w:cantSplit/>
        </w:trPr>
        <w:tc>
          <w:tcPr>
            <w:tcW w:w="6911" w:type="dxa"/>
          </w:tcPr>
          <w:p w14:paraId="0901D579" w14:textId="77777777" w:rsidR="0090121B" w:rsidRPr="00FF5C8C" w:rsidRDefault="005D46FB" w:rsidP="00EA31DA">
            <w:pPr>
              <w:spacing w:before="400" w:after="48"/>
              <w:rPr>
                <w:rFonts w:ascii="Verdana" w:hAnsi="Verdana"/>
                <w:position w:val="6"/>
              </w:rPr>
            </w:pPr>
            <w:r w:rsidRPr="00FF5C8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F5C8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F5C8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F5C8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F5C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6673862" w14:textId="77777777" w:rsidR="0090121B" w:rsidRPr="00FF5C8C" w:rsidRDefault="00DA71A3" w:rsidP="00EA31DA">
            <w:pPr>
              <w:spacing w:before="0"/>
              <w:jc w:val="right"/>
            </w:pPr>
            <w:bookmarkStart w:id="0" w:name="ditulogo"/>
            <w:bookmarkEnd w:id="0"/>
            <w:r w:rsidRPr="00FF5C8C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34DD34C" wp14:editId="5BAFB17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F5C8C" w14:paraId="1B3447E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05FE2F" w14:textId="77777777" w:rsidR="0090121B" w:rsidRPr="00FF5C8C" w:rsidRDefault="0090121B" w:rsidP="00EA31D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F5290B" w14:textId="77777777" w:rsidR="0090121B" w:rsidRPr="00FF5C8C" w:rsidRDefault="0090121B" w:rsidP="00EA31D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F5C8C" w14:paraId="784B7582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B7A956" w14:textId="77777777" w:rsidR="0090121B" w:rsidRPr="00FF5C8C" w:rsidRDefault="0090121B" w:rsidP="00EA31D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E80D1B" w14:textId="77777777" w:rsidR="0090121B" w:rsidRPr="00FF5C8C" w:rsidRDefault="0090121B" w:rsidP="00EA31D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F5C8C" w14:paraId="3BC5E566" w14:textId="77777777" w:rsidTr="0090121B">
        <w:trPr>
          <w:cantSplit/>
        </w:trPr>
        <w:tc>
          <w:tcPr>
            <w:tcW w:w="6911" w:type="dxa"/>
          </w:tcPr>
          <w:p w14:paraId="01E7FEFB" w14:textId="77777777" w:rsidR="0090121B" w:rsidRPr="00FF5C8C" w:rsidRDefault="001E7D42" w:rsidP="00EA31D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F5C8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C2D9550" w14:textId="77777777" w:rsidR="0090121B" w:rsidRPr="00FF5C8C" w:rsidRDefault="00AE658F" w:rsidP="00EA31D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F5C8C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FF5C8C">
              <w:rPr>
                <w:rFonts w:ascii="Verdana" w:hAnsi="Verdana"/>
                <w:b/>
                <w:sz w:val="18"/>
                <w:szCs w:val="18"/>
              </w:rPr>
              <w:br/>
              <w:t>Documento 92</w:t>
            </w:r>
            <w:r w:rsidR="0090121B" w:rsidRPr="00FF5C8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F5C8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FF5C8C" w14:paraId="61EC2576" w14:textId="77777777" w:rsidTr="0090121B">
        <w:trPr>
          <w:cantSplit/>
        </w:trPr>
        <w:tc>
          <w:tcPr>
            <w:tcW w:w="6911" w:type="dxa"/>
          </w:tcPr>
          <w:p w14:paraId="31FE418A" w14:textId="77777777" w:rsidR="000A5B9A" w:rsidRPr="00FF5C8C" w:rsidRDefault="000A5B9A" w:rsidP="00EA31D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225098D" w14:textId="77777777" w:rsidR="000A5B9A" w:rsidRPr="00FF5C8C" w:rsidRDefault="000A5B9A" w:rsidP="00EA31D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F5C8C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FF5C8C" w14:paraId="4FA63C3A" w14:textId="77777777" w:rsidTr="0090121B">
        <w:trPr>
          <w:cantSplit/>
        </w:trPr>
        <w:tc>
          <w:tcPr>
            <w:tcW w:w="6911" w:type="dxa"/>
          </w:tcPr>
          <w:p w14:paraId="3B660566" w14:textId="77777777" w:rsidR="000A5B9A" w:rsidRPr="00FF5C8C" w:rsidRDefault="000A5B9A" w:rsidP="00EA31D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3E9E941" w14:textId="77777777" w:rsidR="000A5B9A" w:rsidRPr="00FF5C8C" w:rsidRDefault="000A5B9A" w:rsidP="00EA31D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F5C8C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FF5C8C" w14:paraId="2DB46A48" w14:textId="77777777" w:rsidTr="006744FC">
        <w:trPr>
          <w:cantSplit/>
        </w:trPr>
        <w:tc>
          <w:tcPr>
            <w:tcW w:w="10031" w:type="dxa"/>
            <w:gridSpan w:val="2"/>
          </w:tcPr>
          <w:p w14:paraId="37616034" w14:textId="77777777" w:rsidR="000A5B9A" w:rsidRPr="00FF5C8C" w:rsidRDefault="000A5B9A" w:rsidP="00EA31D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F5C8C" w14:paraId="1DFBCF4C" w14:textId="77777777" w:rsidTr="0050008E">
        <w:trPr>
          <w:cantSplit/>
        </w:trPr>
        <w:tc>
          <w:tcPr>
            <w:tcW w:w="10031" w:type="dxa"/>
            <w:gridSpan w:val="2"/>
          </w:tcPr>
          <w:p w14:paraId="7D5E1941" w14:textId="77777777" w:rsidR="000A5B9A" w:rsidRPr="00FF5C8C" w:rsidRDefault="000A5B9A" w:rsidP="00EA31DA">
            <w:pPr>
              <w:pStyle w:val="Source"/>
            </w:pPr>
            <w:bookmarkStart w:id="2" w:name="dsource" w:colFirst="0" w:colLast="0"/>
            <w:r w:rsidRPr="00FF5C8C">
              <w:t>India (República de la)</w:t>
            </w:r>
          </w:p>
        </w:tc>
      </w:tr>
      <w:tr w:rsidR="000A5B9A" w:rsidRPr="00FF5C8C" w14:paraId="6B32EF1C" w14:textId="77777777" w:rsidTr="0050008E">
        <w:trPr>
          <w:cantSplit/>
        </w:trPr>
        <w:tc>
          <w:tcPr>
            <w:tcW w:w="10031" w:type="dxa"/>
            <w:gridSpan w:val="2"/>
          </w:tcPr>
          <w:p w14:paraId="604C53AD" w14:textId="77777777" w:rsidR="000A5B9A" w:rsidRPr="00FF5C8C" w:rsidRDefault="000A5B9A" w:rsidP="00EA31DA">
            <w:pPr>
              <w:pStyle w:val="Title1"/>
            </w:pPr>
            <w:bookmarkStart w:id="3" w:name="dtitle1" w:colFirst="0" w:colLast="0"/>
            <w:bookmarkEnd w:id="2"/>
            <w:r w:rsidRPr="00FF5C8C">
              <w:t>Propuestas para los trabajos de la Conferencia</w:t>
            </w:r>
          </w:p>
        </w:tc>
      </w:tr>
      <w:tr w:rsidR="000A5B9A" w:rsidRPr="00FF5C8C" w14:paraId="0FD5F810" w14:textId="77777777" w:rsidTr="0050008E">
        <w:trPr>
          <w:cantSplit/>
        </w:trPr>
        <w:tc>
          <w:tcPr>
            <w:tcW w:w="10031" w:type="dxa"/>
            <w:gridSpan w:val="2"/>
          </w:tcPr>
          <w:p w14:paraId="1C0BE828" w14:textId="77777777" w:rsidR="000A5B9A" w:rsidRPr="00FF5C8C" w:rsidRDefault="000A5B9A" w:rsidP="00EA31D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F5C8C" w14:paraId="1CC0914A" w14:textId="77777777" w:rsidTr="0050008E">
        <w:trPr>
          <w:cantSplit/>
        </w:trPr>
        <w:tc>
          <w:tcPr>
            <w:tcW w:w="10031" w:type="dxa"/>
            <w:gridSpan w:val="2"/>
          </w:tcPr>
          <w:p w14:paraId="1E9A33C3" w14:textId="77777777" w:rsidR="000A5B9A" w:rsidRPr="00FF5C8C" w:rsidRDefault="000A5B9A" w:rsidP="00EA31DA">
            <w:pPr>
              <w:pStyle w:val="Agendaitem"/>
            </w:pPr>
            <w:bookmarkStart w:id="5" w:name="dtitle3" w:colFirst="0" w:colLast="0"/>
            <w:bookmarkEnd w:id="4"/>
            <w:r w:rsidRPr="00FF5C8C">
              <w:t>Punto 1.1 del orden del día</w:t>
            </w:r>
          </w:p>
        </w:tc>
      </w:tr>
    </w:tbl>
    <w:bookmarkEnd w:id="5"/>
    <w:p w14:paraId="2292885F" w14:textId="77777777" w:rsidR="001C0E40" w:rsidRPr="00FF5C8C" w:rsidRDefault="00DB40E5" w:rsidP="00EA31DA">
      <w:r w:rsidRPr="00FF5C8C">
        <w:t>1.1</w:t>
      </w:r>
      <w:r w:rsidRPr="00FF5C8C">
        <w:tab/>
        <w:t>considerar la posibilidad de efectuar una atribución al servicio de aficionados en la banda de frecuencias 50</w:t>
      </w:r>
      <w:r w:rsidRPr="00FF5C8C">
        <w:noBreakHyphen/>
        <w:t xml:space="preserve">54 MHz en la Región 1, de conformidad con la Resolución </w:t>
      </w:r>
      <w:r w:rsidRPr="00FF5C8C">
        <w:rPr>
          <w:b/>
        </w:rPr>
        <w:t>658 (CMR</w:t>
      </w:r>
      <w:r w:rsidRPr="00FF5C8C">
        <w:rPr>
          <w:b/>
        </w:rPr>
        <w:noBreakHyphen/>
        <w:t>15)</w:t>
      </w:r>
      <w:r w:rsidRPr="00FF5C8C">
        <w:t>;</w:t>
      </w:r>
    </w:p>
    <w:p w14:paraId="50EDDF0C" w14:textId="6FA9F373" w:rsidR="00A23923" w:rsidRPr="00FF5C8C" w:rsidRDefault="00A23923" w:rsidP="001111C7">
      <w:pPr>
        <w:pStyle w:val="Heading1"/>
      </w:pPr>
      <w:r w:rsidRPr="00FF5C8C">
        <w:t>1</w:t>
      </w:r>
      <w:r w:rsidRPr="00FF5C8C">
        <w:tab/>
      </w:r>
      <w:r w:rsidR="00520910" w:rsidRPr="00FF5C8C">
        <w:t>Antecedentes</w:t>
      </w:r>
    </w:p>
    <w:p w14:paraId="5092B1AA" w14:textId="1410581C" w:rsidR="00A23923" w:rsidRPr="00FF5C8C" w:rsidRDefault="00520910" w:rsidP="00EA31DA">
      <w:r w:rsidRPr="00FF5C8C">
        <w:t xml:space="preserve">En la </w:t>
      </w:r>
      <w:r w:rsidR="00A23923" w:rsidRPr="00FF5C8C">
        <w:t xml:space="preserve">Resolución </w:t>
      </w:r>
      <w:r w:rsidR="00A23923" w:rsidRPr="00FF5C8C">
        <w:rPr>
          <w:b/>
          <w:bCs/>
        </w:rPr>
        <w:t>658 (WRC-15)</w:t>
      </w:r>
      <w:r w:rsidR="00A23923" w:rsidRPr="00FF5C8C">
        <w:t xml:space="preserve"> </w:t>
      </w:r>
      <w:r w:rsidRPr="00FF5C8C">
        <w:t xml:space="preserve">se </w:t>
      </w:r>
      <w:r w:rsidR="00A23923" w:rsidRPr="00FF5C8C">
        <w:t>invita al UIT-R:</w:t>
      </w:r>
    </w:p>
    <w:p w14:paraId="26B6AC96" w14:textId="293C6943" w:rsidR="00A23923" w:rsidRPr="00FF5C8C" w:rsidRDefault="00A23923" w:rsidP="00EA31DA">
      <w:pPr>
        <w:pStyle w:val="enumlev1"/>
      </w:pPr>
      <w:r w:rsidRPr="00FF5C8C">
        <w:t>‒</w:t>
      </w:r>
      <w:r w:rsidRPr="00FF5C8C">
        <w:tab/>
        <w:t>a estudiar las necesidades de espectro del servicio de aficionados en la Región 1 en la banda de frecuencias 50</w:t>
      </w:r>
      <w:r w:rsidRPr="00FF5C8C">
        <w:noBreakHyphen/>
        <w:t>54 MHz;</w:t>
      </w:r>
    </w:p>
    <w:p w14:paraId="4907CA90" w14:textId="6CDAE222" w:rsidR="00A23923" w:rsidRPr="00FF5C8C" w:rsidRDefault="00A23923" w:rsidP="00EA31DA">
      <w:pPr>
        <w:pStyle w:val="enumlev1"/>
        <w:rPr>
          <w:b/>
        </w:rPr>
      </w:pPr>
      <w:r w:rsidRPr="00FF5C8C">
        <w:t>‒</w:t>
      </w:r>
      <w:r w:rsidRPr="00FF5C8C">
        <w:tab/>
        <w:t>a, teniendo en cuenta los resultados de los mencionados estudios, estudiar la compartición entre el servicio de aficionados y los servicios fijo, móvil, de radiolocalización y de radiodifusión, con el fin de garantizar la protección de estos servicios.</w:t>
      </w:r>
    </w:p>
    <w:p w14:paraId="4AF2C882" w14:textId="5F612356" w:rsidR="00A23923" w:rsidRPr="00FF5C8C" w:rsidRDefault="00A23923" w:rsidP="001111C7">
      <w:r w:rsidRPr="00FF5C8C">
        <w:t>En la Región 1 la banda de frecuencias 50</w:t>
      </w:r>
      <w:r w:rsidRPr="00FF5C8C">
        <w:noBreakHyphen/>
        <w:t xml:space="preserve">54 MHz está atribuida al servicio de radiodifusión a título primario, con atribuciones adicionales o alternativas a los servicios de aficionados, fijo, móvil y/o de radiolocalización </w:t>
      </w:r>
      <w:r w:rsidR="00520910" w:rsidRPr="00FF5C8C">
        <w:t>(limitado a</w:t>
      </w:r>
      <w:r w:rsidRPr="00FF5C8C">
        <w:t xml:space="preserve"> radares de perfil del viento (</w:t>
      </w:r>
      <w:r w:rsidR="00520910" w:rsidRPr="00FF5C8C">
        <w:t>RPV</w:t>
      </w:r>
      <w:r w:rsidRPr="00FF5C8C">
        <w:t>)</w:t>
      </w:r>
      <w:r w:rsidR="00520910" w:rsidRPr="00FF5C8C">
        <w:t>)</w:t>
      </w:r>
      <w:r w:rsidRPr="00FF5C8C">
        <w:t xml:space="preserve"> en algunos países. A</w:t>
      </w:r>
      <w:r w:rsidR="00520910" w:rsidRPr="00FF5C8C">
        <w:t>simismo, la banda de frecuencias</w:t>
      </w:r>
      <w:r w:rsidRPr="00FF5C8C">
        <w:t xml:space="preserve"> 50-54 MHz </w:t>
      </w:r>
      <w:r w:rsidR="00520910" w:rsidRPr="00FF5C8C">
        <w:t>está atribuida al servicio de aficionados a título primario en la Región 2 y en muchos países de la Región</w:t>
      </w:r>
      <w:r w:rsidRPr="00FF5C8C">
        <w:t xml:space="preserve"> 3.</w:t>
      </w:r>
    </w:p>
    <w:p w14:paraId="5F030708" w14:textId="42A9A94C" w:rsidR="00A23923" w:rsidRPr="00FF5C8C" w:rsidRDefault="00520910" w:rsidP="001111C7">
      <w:r w:rsidRPr="00FF5C8C">
        <w:t>De acuerdo con el número</w:t>
      </w:r>
      <w:r w:rsidR="00A23923" w:rsidRPr="00FF5C8C">
        <w:t xml:space="preserve"> </w:t>
      </w:r>
      <w:r w:rsidR="00A23923" w:rsidRPr="00FF5C8C">
        <w:rPr>
          <w:b/>
          <w:bCs/>
        </w:rPr>
        <w:t>5.167</w:t>
      </w:r>
      <w:r w:rsidR="00A23923" w:rsidRPr="00FF5C8C">
        <w:t xml:space="preserve"> </w:t>
      </w:r>
      <w:r w:rsidRPr="00FF5C8C">
        <w:t>del Reglamento de Radiocomunicaciones</w:t>
      </w:r>
      <w:r w:rsidR="00A23923" w:rsidRPr="00FF5C8C">
        <w:t xml:space="preserve"> (RR),</w:t>
      </w:r>
      <w:r w:rsidR="001111C7" w:rsidRPr="00FF5C8C">
        <w:t xml:space="preserve"> </w:t>
      </w:r>
      <w:r w:rsidR="00A23923" w:rsidRPr="00FF5C8C">
        <w:t xml:space="preserve">en Bangladesh, Brunei Darussalam, </w:t>
      </w:r>
      <w:r w:rsidR="00A23923" w:rsidRPr="00FF5C8C">
        <w:rPr>
          <w:b/>
          <w:bCs/>
        </w:rPr>
        <w:t>India</w:t>
      </w:r>
      <w:r w:rsidR="00A23923" w:rsidRPr="00FF5C8C">
        <w:t>, Irán (República Islámica del), Pakistán y Singapur, la banda de frecuencias 50</w:t>
      </w:r>
      <w:r w:rsidR="00A23923" w:rsidRPr="00FF5C8C">
        <w:noBreakHyphen/>
        <w:t>54 MHz está atribuida, a título primario, a los servicios fijo, móvil y de radiodifusión</w:t>
      </w:r>
      <w:r w:rsidRPr="00FF5C8C">
        <w:t xml:space="preserve"> como </w:t>
      </w:r>
      <w:r w:rsidR="001111C7" w:rsidRPr="00FF5C8C">
        <w:t>«</w:t>
      </w:r>
      <w:r w:rsidRPr="00FF5C8C">
        <w:t>atribución sustitutiva</w:t>
      </w:r>
      <w:r w:rsidR="001111C7" w:rsidRPr="00FF5C8C">
        <w:t>»</w:t>
      </w:r>
      <w:r w:rsidR="00A23923" w:rsidRPr="00FF5C8C">
        <w:t>:</w:t>
      </w:r>
      <w:bookmarkStart w:id="6" w:name="_GoBack"/>
      <w:bookmarkEnd w:id="6"/>
    </w:p>
    <w:p w14:paraId="6A8658BC" w14:textId="39E45951" w:rsidR="00363A65" w:rsidRPr="00FF5C8C" w:rsidRDefault="00A23923" w:rsidP="001111C7">
      <w:pPr>
        <w:pStyle w:val="Heading1"/>
      </w:pPr>
      <w:r w:rsidRPr="00FF5C8C">
        <w:t>2</w:t>
      </w:r>
      <w:r w:rsidRPr="00FF5C8C">
        <w:tab/>
      </w:r>
      <w:r w:rsidR="00520910" w:rsidRPr="00FF5C8C">
        <w:t>Opiniones</w:t>
      </w:r>
    </w:p>
    <w:p w14:paraId="0DC88E6E" w14:textId="77777777" w:rsidR="00985D5A" w:rsidRPr="00FF5C8C" w:rsidRDefault="00DB40E5" w:rsidP="00EA31DA">
      <w:pPr>
        <w:pStyle w:val="Proposal"/>
      </w:pPr>
      <w:r w:rsidRPr="00FF5C8C">
        <w:tab/>
        <w:t>IND/92A1/1</w:t>
      </w:r>
    </w:p>
    <w:p w14:paraId="4E78DB88" w14:textId="1DCF598C" w:rsidR="00A23923" w:rsidRPr="00FF5C8C" w:rsidRDefault="00520910" w:rsidP="00EA31DA">
      <w:r w:rsidRPr="00FF5C8C">
        <w:t>Cabe señalar que este asunto atañe a la Región 1. La banda</w:t>
      </w:r>
      <w:r w:rsidR="00A23923" w:rsidRPr="00FF5C8C">
        <w:t xml:space="preserve"> 50-54 MHz </w:t>
      </w:r>
      <w:r w:rsidRPr="00FF5C8C">
        <w:t xml:space="preserve">está atribuida a título primario a los servicios fijo, móvil y de radiodifusión en India y en otros países de la Región 3. Es necesario que los cambios que pudieran efectuarse en el Reglamento de Radiocomunicaciones en el </w:t>
      </w:r>
      <w:r w:rsidRPr="00FF5C8C">
        <w:lastRenderedPageBreak/>
        <w:t>marco del punto 1.1 del orden del día no menoscaben los servicios existentes en la banda de frecuencias 50-54 MHz y en las bandas de frecuencias adyacentes en India. Será necesario proteger los servicios existentes en India y en otros países de la Región 3 contra toda nueva atribución al servicio de aficionados en los países de la Región 1</w:t>
      </w:r>
      <w:r w:rsidR="00A23923" w:rsidRPr="00FF5C8C">
        <w:t>.</w:t>
      </w:r>
    </w:p>
    <w:p w14:paraId="12EB6FF0" w14:textId="77777777" w:rsidR="00165AE3" w:rsidRPr="00FF5C8C" w:rsidRDefault="00165AE3" w:rsidP="00165AE3">
      <w:pPr>
        <w:pStyle w:val="Reasons"/>
      </w:pPr>
    </w:p>
    <w:p w14:paraId="0D8AC767" w14:textId="6E0F0D32" w:rsidR="00A23923" w:rsidRPr="00FF5C8C" w:rsidRDefault="00A23923" w:rsidP="00EA31DA">
      <w:pPr>
        <w:pStyle w:val="Heading1"/>
      </w:pPr>
      <w:r w:rsidRPr="00FF5C8C">
        <w:t>3</w:t>
      </w:r>
      <w:r w:rsidRPr="00FF5C8C">
        <w:tab/>
        <w:t>Prop</w:t>
      </w:r>
      <w:r w:rsidR="00520910" w:rsidRPr="00FF5C8C">
        <w:t>uesta</w:t>
      </w:r>
    </w:p>
    <w:p w14:paraId="620CBD91" w14:textId="477979A2" w:rsidR="00985D5A" w:rsidRPr="00FF5C8C" w:rsidRDefault="00520910" w:rsidP="00EA31DA">
      <w:r w:rsidRPr="00FF5C8C">
        <w:t>Por consiguiente, India está a favor de que se aplique el Método</w:t>
      </w:r>
      <w:r w:rsidR="00A23923" w:rsidRPr="00FF5C8C">
        <w:t xml:space="preserve"> B2 </w:t>
      </w:r>
      <w:r w:rsidRPr="00FF5C8C">
        <w:t xml:space="preserve">del Informe de la RPC, a saber, </w:t>
      </w:r>
      <w:r w:rsidR="001111C7" w:rsidRPr="00FF5C8C">
        <w:t>«</w:t>
      </w:r>
      <w:r w:rsidR="00A23923" w:rsidRPr="00FF5C8C">
        <w:t>efectuar una atribución al servicio de aficionados en la Región 1 a título secundario en la banda de frecuencias 50</w:t>
      </w:r>
      <w:r w:rsidR="00A23923" w:rsidRPr="00FF5C8C">
        <w:noBreakHyphen/>
        <w:t>5</w:t>
      </w:r>
      <w:r w:rsidRPr="00FF5C8C">
        <w:t>2</w:t>
      </w:r>
      <w:r w:rsidR="00A23923" w:rsidRPr="00FF5C8C">
        <w:t> MHz.</w:t>
      </w:r>
      <w:r w:rsidR="009A089D" w:rsidRPr="00FF5C8C">
        <w:t xml:space="preserve"> </w:t>
      </w:r>
      <w:r w:rsidRPr="00FF5C8C">
        <w:t>C</w:t>
      </w:r>
      <w:r w:rsidR="009A089D" w:rsidRPr="00FF5C8C">
        <w:t>ualquier cambio que se realice en el Reglamento de Radiocomunicaciones en virtud del punto 1.1 del orden del día de la CMR-19 no debe afectar la</w:t>
      </w:r>
      <w:r w:rsidRPr="00FF5C8C">
        <w:t>s</w:t>
      </w:r>
      <w:r w:rsidR="009A089D" w:rsidRPr="00FF5C8C">
        <w:t xml:space="preserve"> atribuci</w:t>
      </w:r>
      <w:r w:rsidRPr="00FF5C8C">
        <w:t>ones</w:t>
      </w:r>
      <w:r w:rsidR="009A089D" w:rsidRPr="00FF5C8C">
        <w:t xml:space="preserve"> existente</w:t>
      </w:r>
      <w:r w:rsidRPr="00FF5C8C">
        <w:t>s</w:t>
      </w:r>
      <w:r w:rsidR="009A089D" w:rsidRPr="00FF5C8C">
        <w:t xml:space="preserve"> </w:t>
      </w:r>
      <w:r w:rsidRPr="00FF5C8C">
        <w:t>en la Región 3 a los servicios de aficionados, de radiodifusión, fijo y móvil en</w:t>
      </w:r>
      <w:r w:rsidR="009A089D" w:rsidRPr="00FF5C8C">
        <w:t xml:space="preserve"> la banda </w:t>
      </w:r>
      <w:r w:rsidRPr="00FF5C8C">
        <w:t xml:space="preserve">de frecuencias </w:t>
      </w:r>
      <w:r w:rsidR="009A089D" w:rsidRPr="00FF5C8C">
        <w:t>50</w:t>
      </w:r>
      <w:r w:rsidR="009A089D" w:rsidRPr="00FF5C8C">
        <w:noBreakHyphen/>
        <w:t xml:space="preserve">54 MHz, ni modificar en forma alguna las disposiciones de procedimiento o reglamentación aplicables en Región </w:t>
      </w:r>
      <w:r w:rsidR="00456DA8" w:rsidRPr="00FF5C8C">
        <w:t>3</w:t>
      </w:r>
      <w:r w:rsidR="001111C7" w:rsidRPr="00FF5C8C">
        <w:t>»</w:t>
      </w:r>
      <w:r w:rsidR="00A23923" w:rsidRPr="00FF5C8C">
        <w:t>.</w:t>
      </w:r>
    </w:p>
    <w:p w14:paraId="0D5581C5" w14:textId="77777777" w:rsidR="001111C7" w:rsidRPr="00FF5C8C" w:rsidRDefault="001111C7" w:rsidP="00165AE3"/>
    <w:p w14:paraId="7561558F" w14:textId="16E9A246" w:rsidR="00A23923" w:rsidRPr="00FF5C8C" w:rsidRDefault="001111C7" w:rsidP="001111C7">
      <w:pPr>
        <w:jc w:val="center"/>
      </w:pPr>
      <w:r w:rsidRPr="00FF5C8C">
        <w:t>______________</w:t>
      </w:r>
    </w:p>
    <w:sectPr w:rsidR="00A23923" w:rsidRPr="00FF5C8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3D4A" w14:textId="77777777" w:rsidR="003C0613" w:rsidRDefault="003C0613">
      <w:r>
        <w:separator/>
      </w:r>
    </w:p>
  </w:endnote>
  <w:endnote w:type="continuationSeparator" w:id="0">
    <w:p w14:paraId="2DF1EA5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25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4CE0" w14:textId="1B008CB4" w:rsidR="0077084A" w:rsidRPr="00317A2E" w:rsidRDefault="0077084A">
    <w:pPr>
      <w:ind w:right="360"/>
    </w:pPr>
    <w:r>
      <w:fldChar w:fldCharType="begin"/>
    </w:r>
    <w:r w:rsidRPr="00317A2E">
      <w:instrText xml:space="preserve"> FILENAME \p  \* MERGEFORMAT </w:instrText>
    </w:r>
    <w:r>
      <w:fldChar w:fldCharType="separate"/>
    </w:r>
    <w:r w:rsidR="00317A2E">
      <w:rPr>
        <w:noProof/>
      </w:rPr>
      <w:t>P:\ESP\ITU-R\CONF-R\CMR19\000\092ADD01S.docx</w:t>
    </w:r>
    <w:r>
      <w:fldChar w:fldCharType="end"/>
    </w:r>
    <w:r w:rsidRPr="00317A2E">
      <w:tab/>
    </w:r>
    <w:r>
      <w:fldChar w:fldCharType="begin"/>
    </w:r>
    <w:r>
      <w:instrText xml:space="preserve"> SAVEDATE \@ DD.MM.YY </w:instrText>
    </w:r>
    <w:r>
      <w:fldChar w:fldCharType="separate"/>
    </w:r>
    <w:r w:rsidR="006A6FE7">
      <w:rPr>
        <w:noProof/>
      </w:rPr>
      <w:t>23.10.19</w:t>
    </w:r>
    <w:r>
      <w:fldChar w:fldCharType="end"/>
    </w:r>
    <w:r w:rsidRPr="00317A2E">
      <w:tab/>
    </w:r>
    <w:r>
      <w:fldChar w:fldCharType="begin"/>
    </w:r>
    <w:r>
      <w:instrText xml:space="preserve"> PRINTDATE \@ DD.MM.YY </w:instrText>
    </w:r>
    <w:r>
      <w:fldChar w:fldCharType="separate"/>
    </w:r>
    <w:r w:rsidR="00317A2E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AA2C" w14:textId="2ED837EB" w:rsidR="0077084A" w:rsidRPr="00C24CE5" w:rsidRDefault="00C24CE5" w:rsidP="00C24CE5">
    <w:pPr>
      <w:pStyle w:val="Footer"/>
    </w:pPr>
    <w:r w:rsidRPr="00C24CE5">
      <w:rPr>
        <w:lang w:val="en-US"/>
      </w:rPr>
      <w:fldChar w:fldCharType="begin"/>
    </w:r>
    <w:r w:rsidRPr="00C24CE5">
      <w:rPr>
        <w:lang w:val="en-US"/>
      </w:rPr>
      <w:instrText xml:space="preserve"> FILENAME \p  \* MERGEFORMAT </w:instrText>
    </w:r>
    <w:r w:rsidRPr="00C24CE5">
      <w:rPr>
        <w:lang w:val="en-US"/>
      </w:rPr>
      <w:fldChar w:fldCharType="separate"/>
    </w:r>
    <w:r w:rsidR="00317A2E">
      <w:rPr>
        <w:lang w:val="en-US"/>
      </w:rPr>
      <w:t>P:\ESP\ITU-R\CONF-R\CMR19\000\092ADD01S.docx</w:t>
    </w:r>
    <w:r w:rsidRPr="00C24CE5">
      <w:rPr>
        <w:lang w:val="en-US"/>
      </w:rPr>
      <w:fldChar w:fldCharType="end"/>
    </w:r>
    <w:r w:rsidRPr="00C24CE5">
      <w:rPr>
        <w:lang w:val="en-US"/>
      </w:rPr>
      <w:t xml:space="preserve"> (</w:t>
    </w:r>
    <w:r>
      <w:rPr>
        <w:lang w:val="en-US"/>
      </w:rPr>
      <w:t>462230</w:t>
    </w:r>
    <w:r w:rsidRPr="00C24CE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7F15" w14:textId="0C55E8FD" w:rsidR="0077084A" w:rsidRDefault="00C24CE5" w:rsidP="00C24CE5">
    <w:pPr>
      <w:pStyle w:val="Footer"/>
      <w:rPr>
        <w:lang w:val="en-US"/>
      </w:rPr>
    </w:pPr>
    <w:r w:rsidRPr="00C24CE5">
      <w:rPr>
        <w:lang w:val="en-US"/>
      </w:rPr>
      <w:fldChar w:fldCharType="begin"/>
    </w:r>
    <w:r w:rsidRPr="00C24CE5">
      <w:rPr>
        <w:lang w:val="en-US"/>
      </w:rPr>
      <w:instrText xml:space="preserve"> FILENAME \p  \* MERGEFORMAT </w:instrText>
    </w:r>
    <w:r w:rsidRPr="00C24CE5">
      <w:rPr>
        <w:lang w:val="en-US"/>
      </w:rPr>
      <w:fldChar w:fldCharType="separate"/>
    </w:r>
    <w:r w:rsidR="00317A2E">
      <w:rPr>
        <w:lang w:val="en-US"/>
      </w:rPr>
      <w:t>P:\ESP\ITU-R\CONF-R\CMR19\000\092ADD01S.docx</w:t>
    </w:r>
    <w:r w:rsidRPr="00C24CE5">
      <w:rPr>
        <w:lang w:val="en-US"/>
      </w:rPr>
      <w:fldChar w:fldCharType="end"/>
    </w:r>
    <w:r w:rsidRPr="00C24CE5">
      <w:rPr>
        <w:lang w:val="en-US"/>
      </w:rPr>
      <w:t xml:space="preserve"> (</w:t>
    </w:r>
    <w:r>
      <w:rPr>
        <w:lang w:val="en-US"/>
      </w:rPr>
      <w:t>462230</w:t>
    </w:r>
    <w:r w:rsidRPr="00C24CE5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396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A9CF84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CF6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82931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92(Add.1)-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21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30E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A1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E0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60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3C1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AA8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AE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FA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89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111C7"/>
    <w:rsid w:val="00121170"/>
    <w:rsid w:val="00123CC5"/>
    <w:rsid w:val="0015142D"/>
    <w:rsid w:val="001616DC"/>
    <w:rsid w:val="00163962"/>
    <w:rsid w:val="00165AE3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44C1"/>
    <w:rsid w:val="00292D65"/>
    <w:rsid w:val="002A791F"/>
    <w:rsid w:val="002C1A52"/>
    <w:rsid w:val="002C1B26"/>
    <w:rsid w:val="002C5D6C"/>
    <w:rsid w:val="002E701F"/>
    <w:rsid w:val="00317A2E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6AA6"/>
    <w:rsid w:val="003F7F66"/>
    <w:rsid w:val="00440B3A"/>
    <w:rsid w:val="0044375A"/>
    <w:rsid w:val="0045384C"/>
    <w:rsid w:val="00454553"/>
    <w:rsid w:val="00456DA8"/>
    <w:rsid w:val="00472A86"/>
    <w:rsid w:val="004B124A"/>
    <w:rsid w:val="004B3095"/>
    <w:rsid w:val="004D2C7C"/>
    <w:rsid w:val="004D4D18"/>
    <w:rsid w:val="005133B5"/>
    <w:rsid w:val="00520910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A6FE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2987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85D5A"/>
    <w:rsid w:val="009A089D"/>
    <w:rsid w:val="009C0BED"/>
    <w:rsid w:val="009E11EC"/>
    <w:rsid w:val="00A021CC"/>
    <w:rsid w:val="00A118DB"/>
    <w:rsid w:val="00A23923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4CE5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B40E5"/>
    <w:rsid w:val="00DC629B"/>
    <w:rsid w:val="00DE1C31"/>
    <w:rsid w:val="00E05BFF"/>
    <w:rsid w:val="00E262F1"/>
    <w:rsid w:val="00E3176A"/>
    <w:rsid w:val="00E36CE4"/>
    <w:rsid w:val="00E52582"/>
    <w:rsid w:val="00E54754"/>
    <w:rsid w:val="00E56BD3"/>
    <w:rsid w:val="00E71D14"/>
    <w:rsid w:val="00EA31DA"/>
    <w:rsid w:val="00EA77F0"/>
    <w:rsid w:val="00EF5945"/>
    <w:rsid w:val="00F32316"/>
    <w:rsid w:val="00F57153"/>
    <w:rsid w:val="00F66597"/>
    <w:rsid w:val="00F675D0"/>
    <w:rsid w:val="00F8150C"/>
    <w:rsid w:val="00FB0F5D"/>
    <w:rsid w:val="00FD03C4"/>
    <w:rsid w:val="00FE457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5DFD55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BalloonText">
    <w:name w:val="Balloon Text"/>
    <w:basedOn w:val="Normal"/>
    <w:link w:val="BalloonTextChar"/>
    <w:semiHidden/>
    <w:unhideWhenUsed/>
    <w:rsid w:val="00A239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A23923"/>
    <w:rPr>
      <w:rFonts w:ascii="Times New Roman" w:hAnsi="Times New Roman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23923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4D4D1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524B6-667D-49CF-B6CF-D557D9BB6F02}">
  <ds:schemaRefs>
    <ds:schemaRef ds:uri="http://purl.org/dc/dcmitype/"/>
    <ds:schemaRef ds:uri="http://schemas.microsoft.com/office/2006/metadata/properties"/>
    <ds:schemaRef ds:uri="http://www.w3.org/XML/1998/namespace"/>
    <ds:schemaRef ds:uri="996b2e75-67fd-4955-a3b0-5ab9934cb50b"/>
    <ds:schemaRef ds:uri="http://purl.org/dc/terms/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06F4B5D-D344-46C1-AFAF-D6EA378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2523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R16-WRC19-C-0092!A1!MSW-S</vt:lpstr>
    </vt:vector>
  </TitlesOfParts>
  <Manager>Secretaría General - Pool</Manager>
  <Company>Unión Internacional de Telecomunicaciones (UIT)</Company>
  <LinksUpToDate>false</LinksUpToDate>
  <CharactersWithSpaces>3007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14</cp:revision>
  <cp:lastPrinted>2019-10-23T18:43:00Z</cp:lastPrinted>
  <dcterms:created xsi:type="dcterms:W3CDTF">2019-10-23T18:35:00Z</dcterms:created>
  <dcterms:modified xsi:type="dcterms:W3CDTF">2019-10-23T23:57:00Z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