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15CFF" w14:paraId="4DF4AFD3" w14:textId="77777777" w:rsidTr="0050008E">
        <w:trPr>
          <w:cantSplit/>
        </w:trPr>
        <w:tc>
          <w:tcPr>
            <w:tcW w:w="6911" w:type="dxa"/>
          </w:tcPr>
          <w:p w14:paraId="3CCE99CA" w14:textId="77777777" w:rsidR="00BB1D82" w:rsidRPr="00015CFF" w:rsidRDefault="00851625" w:rsidP="002F1F66">
            <w:pPr>
              <w:spacing w:before="400" w:after="48"/>
              <w:rPr>
                <w:rFonts w:ascii="Verdana" w:hAnsi="Verdana"/>
                <w:b/>
                <w:bCs/>
                <w:sz w:val="20"/>
                <w:lang w:val="fr-CH"/>
              </w:rPr>
            </w:pPr>
            <w:r w:rsidRPr="00015CFF">
              <w:rPr>
                <w:rFonts w:ascii="Verdana" w:hAnsi="Verdana"/>
                <w:b/>
                <w:bCs/>
                <w:sz w:val="20"/>
                <w:lang w:val="fr-CH"/>
              </w:rPr>
              <w:t>Conférence mondiale des radiocommunications (CMR-1</w:t>
            </w:r>
            <w:r w:rsidR="00FD7AA3" w:rsidRPr="00015CFF">
              <w:rPr>
                <w:rFonts w:ascii="Verdana" w:hAnsi="Verdana"/>
                <w:b/>
                <w:bCs/>
                <w:sz w:val="20"/>
                <w:lang w:val="fr-CH"/>
              </w:rPr>
              <w:t>9</w:t>
            </w:r>
            <w:r w:rsidRPr="00015CFF">
              <w:rPr>
                <w:rFonts w:ascii="Verdana" w:hAnsi="Verdana"/>
                <w:b/>
                <w:bCs/>
                <w:sz w:val="20"/>
                <w:lang w:val="fr-CH"/>
              </w:rPr>
              <w:t>)</w:t>
            </w:r>
            <w:r w:rsidRPr="00015CFF">
              <w:rPr>
                <w:rFonts w:ascii="Verdana" w:hAnsi="Verdana"/>
                <w:b/>
                <w:bCs/>
                <w:sz w:val="20"/>
                <w:lang w:val="fr-CH"/>
              </w:rPr>
              <w:br/>
            </w:r>
            <w:r w:rsidR="00063A1F" w:rsidRPr="00015CFF">
              <w:rPr>
                <w:rFonts w:ascii="Verdana" w:hAnsi="Verdana"/>
                <w:b/>
                <w:bCs/>
                <w:sz w:val="18"/>
                <w:szCs w:val="18"/>
                <w:lang w:val="fr-CH"/>
              </w:rPr>
              <w:t xml:space="preserve">Charm el-Cheikh, </w:t>
            </w:r>
            <w:r w:rsidR="00081366" w:rsidRPr="00015CFF">
              <w:rPr>
                <w:rFonts w:ascii="Verdana" w:hAnsi="Verdana"/>
                <w:b/>
                <w:bCs/>
                <w:sz w:val="18"/>
                <w:szCs w:val="18"/>
                <w:lang w:val="fr-CH"/>
              </w:rPr>
              <w:t>É</w:t>
            </w:r>
            <w:r w:rsidR="00063A1F" w:rsidRPr="00015CFF">
              <w:rPr>
                <w:rFonts w:ascii="Verdana" w:hAnsi="Verdana"/>
                <w:b/>
                <w:bCs/>
                <w:sz w:val="18"/>
                <w:szCs w:val="18"/>
                <w:lang w:val="fr-CH"/>
              </w:rPr>
              <w:t>gypte</w:t>
            </w:r>
            <w:r w:rsidRPr="00015CFF">
              <w:rPr>
                <w:rFonts w:ascii="Verdana" w:hAnsi="Verdana"/>
                <w:b/>
                <w:bCs/>
                <w:sz w:val="18"/>
                <w:szCs w:val="18"/>
                <w:lang w:val="fr-CH"/>
              </w:rPr>
              <w:t>,</w:t>
            </w:r>
            <w:r w:rsidR="00E537FF" w:rsidRPr="00015CFF">
              <w:rPr>
                <w:rFonts w:ascii="Verdana" w:hAnsi="Verdana"/>
                <w:b/>
                <w:bCs/>
                <w:sz w:val="18"/>
                <w:szCs w:val="18"/>
                <w:lang w:val="fr-CH"/>
              </w:rPr>
              <w:t xml:space="preserve"> </w:t>
            </w:r>
            <w:r w:rsidRPr="00015CFF">
              <w:rPr>
                <w:rFonts w:ascii="Verdana" w:hAnsi="Verdana"/>
                <w:b/>
                <w:bCs/>
                <w:sz w:val="18"/>
                <w:szCs w:val="18"/>
                <w:lang w:val="fr-CH"/>
              </w:rPr>
              <w:t>2</w:t>
            </w:r>
            <w:r w:rsidR="00FD7AA3" w:rsidRPr="00015CFF">
              <w:rPr>
                <w:rFonts w:ascii="Verdana" w:hAnsi="Verdana"/>
                <w:b/>
                <w:bCs/>
                <w:sz w:val="18"/>
                <w:szCs w:val="18"/>
                <w:lang w:val="fr-CH"/>
              </w:rPr>
              <w:t xml:space="preserve">8 octobre </w:t>
            </w:r>
            <w:r w:rsidR="00F10064" w:rsidRPr="00015CFF">
              <w:rPr>
                <w:rFonts w:ascii="Verdana" w:hAnsi="Verdana"/>
                <w:b/>
                <w:bCs/>
                <w:sz w:val="18"/>
                <w:szCs w:val="18"/>
                <w:lang w:val="fr-CH"/>
              </w:rPr>
              <w:t>–</w:t>
            </w:r>
            <w:r w:rsidR="00FD7AA3" w:rsidRPr="00015CFF">
              <w:rPr>
                <w:rFonts w:ascii="Verdana" w:hAnsi="Verdana"/>
                <w:b/>
                <w:bCs/>
                <w:sz w:val="18"/>
                <w:szCs w:val="18"/>
                <w:lang w:val="fr-CH"/>
              </w:rPr>
              <w:t xml:space="preserve"> </w:t>
            </w:r>
            <w:r w:rsidRPr="00015CFF">
              <w:rPr>
                <w:rFonts w:ascii="Verdana" w:hAnsi="Verdana"/>
                <w:b/>
                <w:bCs/>
                <w:sz w:val="18"/>
                <w:szCs w:val="18"/>
                <w:lang w:val="fr-CH"/>
              </w:rPr>
              <w:t>2</w:t>
            </w:r>
            <w:r w:rsidR="00FD7AA3" w:rsidRPr="00015CFF">
              <w:rPr>
                <w:rFonts w:ascii="Verdana" w:hAnsi="Verdana"/>
                <w:b/>
                <w:bCs/>
                <w:sz w:val="18"/>
                <w:szCs w:val="18"/>
                <w:lang w:val="fr-CH"/>
              </w:rPr>
              <w:t>2</w:t>
            </w:r>
            <w:r w:rsidRPr="00015CFF">
              <w:rPr>
                <w:rFonts w:ascii="Verdana" w:hAnsi="Verdana"/>
                <w:b/>
                <w:bCs/>
                <w:sz w:val="18"/>
                <w:szCs w:val="18"/>
                <w:lang w:val="fr-CH"/>
              </w:rPr>
              <w:t xml:space="preserve"> novembre 201</w:t>
            </w:r>
            <w:r w:rsidR="00FD7AA3" w:rsidRPr="00015CFF">
              <w:rPr>
                <w:rFonts w:ascii="Verdana" w:hAnsi="Verdana"/>
                <w:b/>
                <w:bCs/>
                <w:sz w:val="18"/>
                <w:szCs w:val="18"/>
                <w:lang w:val="fr-CH"/>
              </w:rPr>
              <w:t>9</w:t>
            </w:r>
          </w:p>
        </w:tc>
        <w:tc>
          <w:tcPr>
            <w:tcW w:w="3120" w:type="dxa"/>
          </w:tcPr>
          <w:p w14:paraId="5CEEBDD0" w14:textId="77777777" w:rsidR="00BB1D82" w:rsidRPr="00015CFF" w:rsidRDefault="000A55AE" w:rsidP="002F1F66">
            <w:pPr>
              <w:spacing w:before="0"/>
              <w:jc w:val="right"/>
              <w:rPr>
                <w:lang w:val="fr-CH"/>
              </w:rPr>
            </w:pPr>
            <w:r w:rsidRPr="00015CFF">
              <w:rPr>
                <w:rFonts w:ascii="Verdana" w:hAnsi="Verdana"/>
                <w:b/>
                <w:bCs/>
                <w:noProof/>
                <w:lang w:val="fr-CH" w:eastAsia="zh-CN"/>
              </w:rPr>
              <w:drawing>
                <wp:inline distT="0" distB="0" distL="0" distR="0" wp14:anchorId="32D1A70C" wp14:editId="3002441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15CFF" w14:paraId="55C40F77" w14:textId="77777777" w:rsidTr="0050008E">
        <w:trPr>
          <w:cantSplit/>
        </w:trPr>
        <w:tc>
          <w:tcPr>
            <w:tcW w:w="6911" w:type="dxa"/>
            <w:tcBorders>
              <w:bottom w:val="single" w:sz="12" w:space="0" w:color="auto"/>
            </w:tcBorders>
          </w:tcPr>
          <w:p w14:paraId="3F0A14A2" w14:textId="77777777" w:rsidR="00BB1D82" w:rsidRPr="00015CFF" w:rsidRDefault="00BB1D82" w:rsidP="002F1F66">
            <w:pPr>
              <w:spacing w:before="0" w:after="48"/>
              <w:rPr>
                <w:b/>
                <w:smallCaps/>
                <w:szCs w:val="24"/>
                <w:lang w:val="fr-CH"/>
              </w:rPr>
            </w:pPr>
            <w:bookmarkStart w:id="0" w:name="dhead"/>
          </w:p>
        </w:tc>
        <w:tc>
          <w:tcPr>
            <w:tcW w:w="3120" w:type="dxa"/>
            <w:tcBorders>
              <w:bottom w:val="single" w:sz="12" w:space="0" w:color="auto"/>
            </w:tcBorders>
          </w:tcPr>
          <w:p w14:paraId="00C662AC" w14:textId="77777777" w:rsidR="00BB1D82" w:rsidRPr="00015CFF" w:rsidRDefault="00BB1D82" w:rsidP="002F1F66">
            <w:pPr>
              <w:spacing w:before="0"/>
              <w:rPr>
                <w:rFonts w:ascii="Verdana" w:hAnsi="Verdana"/>
                <w:szCs w:val="24"/>
                <w:lang w:val="fr-CH"/>
              </w:rPr>
            </w:pPr>
          </w:p>
        </w:tc>
      </w:tr>
      <w:tr w:rsidR="00BB1D82" w:rsidRPr="00015CFF" w14:paraId="6A30CF73" w14:textId="77777777" w:rsidTr="00BB1D82">
        <w:trPr>
          <w:cantSplit/>
        </w:trPr>
        <w:tc>
          <w:tcPr>
            <w:tcW w:w="6911" w:type="dxa"/>
            <w:tcBorders>
              <w:top w:val="single" w:sz="12" w:space="0" w:color="auto"/>
            </w:tcBorders>
          </w:tcPr>
          <w:p w14:paraId="5D921DCC" w14:textId="77777777" w:rsidR="00BB1D82" w:rsidRPr="00015CFF" w:rsidRDefault="00BB1D82" w:rsidP="002F1F66">
            <w:pPr>
              <w:spacing w:before="0" w:after="48"/>
              <w:rPr>
                <w:rFonts w:ascii="Verdana" w:hAnsi="Verdana"/>
                <w:b/>
                <w:smallCaps/>
                <w:sz w:val="20"/>
                <w:lang w:val="fr-CH"/>
              </w:rPr>
            </w:pPr>
          </w:p>
        </w:tc>
        <w:tc>
          <w:tcPr>
            <w:tcW w:w="3120" w:type="dxa"/>
            <w:tcBorders>
              <w:top w:val="single" w:sz="12" w:space="0" w:color="auto"/>
            </w:tcBorders>
          </w:tcPr>
          <w:p w14:paraId="498E110C" w14:textId="77777777" w:rsidR="00BB1D82" w:rsidRPr="00015CFF" w:rsidRDefault="00BB1D82" w:rsidP="002F1F66">
            <w:pPr>
              <w:spacing w:before="0"/>
              <w:rPr>
                <w:rFonts w:ascii="Verdana" w:hAnsi="Verdana"/>
                <w:sz w:val="20"/>
                <w:lang w:val="fr-CH"/>
              </w:rPr>
            </w:pPr>
          </w:p>
        </w:tc>
      </w:tr>
      <w:tr w:rsidR="00BB1D82" w:rsidRPr="00015CFF" w14:paraId="60428988" w14:textId="77777777" w:rsidTr="00BB1D82">
        <w:trPr>
          <w:cantSplit/>
        </w:trPr>
        <w:tc>
          <w:tcPr>
            <w:tcW w:w="6911" w:type="dxa"/>
          </w:tcPr>
          <w:p w14:paraId="6D9363AA" w14:textId="77777777" w:rsidR="00BB1D82" w:rsidRPr="00015CFF" w:rsidRDefault="006D4724" w:rsidP="002F1F66">
            <w:pPr>
              <w:spacing w:before="0"/>
              <w:rPr>
                <w:rFonts w:ascii="Verdana" w:hAnsi="Verdana"/>
                <w:b/>
                <w:sz w:val="20"/>
                <w:lang w:val="fr-CH"/>
              </w:rPr>
            </w:pPr>
            <w:r w:rsidRPr="00015CFF">
              <w:rPr>
                <w:rFonts w:ascii="Verdana" w:hAnsi="Verdana"/>
                <w:b/>
                <w:sz w:val="20"/>
                <w:lang w:val="fr-CH"/>
              </w:rPr>
              <w:t>SÉANCE PLÉNIÈRE</w:t>
            </w:r>
          </w:p>
        </w:tc>
        <w:tc>
          <w:tcPr>
            <w:tcW w:w="3120" w:type="dxa"/>
          </w:tcPr>
          <w:p w14:paraId="4A635862" w14:textId="77777777" w:rsidR="00BB1D82" w:rsidRPr="00015CFF" w:rsidRDefault="006D4724" w:rsidP="002F1F66">
            <w:pPr>
              <w:spacing w:before="0"/>
              <w:rPr>
                <w:rFonts w:ascii="Verdana" w:hAnsi="Verdana"/>
                <w:sz w:val="20"/>
                <w:lang w:val="fr-CH"/>
              </w:rPr>
            </w:pPr>
            <w:r w:rsidRPr="00015CFF">
              <w:rPr>
                <w:rFonts w:ascii="Verdana" w:hAnsi="Verdana"/>
                <w:b/>
                <w:sz w:val="20"/>
                <w:lang w:val="fr-CH"/>
              </w:rPr>
              <w:t>Addendum 3 au</w:t>
            </w:r>
            <w:r w:rsidRPr="00015CFF">
              <w:rPr>
                <w:rFonts w:ascii="Verdana" w:hAnsi="Verdana"/>
                <w:b/>
                <w:sz w:val="20"/>
                <w:lang w:val="fr-CH"/>
              </w:rPr>
              <w:br/>
              <w:t>Document 89(Add.13)</w:t>
            </w:r>
            <w:r w:rsidR="00BB1D82" w:rsidRPr="00015CFF">
              <w:rPr>
                <w:rFonts w:ascii="Verdana" w:hAnsi="Verdana"/>
                <w:b/>
                <w:sz w:val="20"/>
                <w:lang w:val="fr-CH"/>
              </w:rPr>
              <w:t>-</w:t>
            </w:r>
            <w:r w:rsidRPr="00015CFF">
              <w:rPr>
                <w:rFonts w:ascii="Verdana" w:hAnsi="Verdana"/>
                <w:b/>
                <w:sz w:val="20"/>
                <w:lang w:val="fr-CH"/>
              </w:rPr>
              <w:t>F</w:t>
            </w:r>
          </w:p>
        </w:tc>
      </w:tr>
      <w:bookmarkEnd w:id="0"/>
      <w:tr w:rsidR="00690C7B" w:rsidRPr="00015CFF" w14:paraId="0CEEE0C9" w14:textId="77777777" w:rsidTr="00BB1D82">
        <w:trPr>
          <w:cantSplit/>
        </w:trPr>
        <w:tc>
          <w:tcPr>
            <w:tcW w:w="6911" w:type="dxa"/>
          </w:tcPr>
          <w:p w14:paraId="73A30FC1" w14:textId="77777777" w:rsidR="00690C7B" w:rsidRPr="00015CFF" w:rsidRDefault="00690C7B" w:rsidP="002F1F66">
            <w:pPr>
              <w:spacing w:before="0"/>
              <w:rPr>
                <w:rFonts w:ascii="Verdana" w:hAnsi="Verdana"/>
                <w:b/>
                <w:sz w:val="20"/>
                <w:lang w:val="fr-CH"/>
              </w:rPr>
            </w:pPr>
          </w:p>
        </w:tc>
        <w:tc>
          <w:tcPr>
            <w:tcW w:w="3120" w:type="dxa"/>
          </w:tcPr>
          <w:p w14:paraId="51A047CA" w14:textId="77777777" w:rsidR="00690C7B" w:rsidRPr="00015CFF" w:rsidRDefault="00690C7B" w:rsidP="002F1F66">
            <w:pPr>
              <w:spacing w:before="0"/>
              <w:rPr>
                <w:rFonts w:ascii="Verdana" w:hAnsi="Verdana"/>
                <w:b/>
                <w:sz w:val="20"/>
                <w:lang w:val="fr-CH"/>
              </w:rPr>
            </w:pPr>
            <w:r w:rsidRPr="00015CFF">
              <w:rPr>
                <w:rFonts w:ascii="Verdana" w:hAnsi="Verdana"/>
                <w:b/>
                <w:sz w:val="20"/>
                <w:lang w:val="fr-CH"/>
              </w:rPr>
              <w:t>7 octobre 2019</w:t>
            </w:r>
          </w:p>
        </w:tc>
      </w:tr>
      <w:tr w:rsidR="00690C7B" w:rsidRPr="00015CFF" w14:paraId="573FDD2A" w14:textId="77777777" w:rsidTr="00BB1D82">
        <w:trPr>
          <w:cantSplit/>
        </w:trPr>
        <w:tc>
          <w:tcPr>
            <w:tcW w:w="6911" w:type="dxa"/>
          </w:tcPr>
          <w:p w14:paraId="43322EAD" w14:textId="77777777" w:rsidR="00690C7B" w:rsidRPr="00015CFF" w:rsidRDefault="00690C7B" w:rsidP="002F1F66">
            <w:pPr>
              <w:spacing w:before="0" w:after="48"/>
              <w:rPr>
                <w:rFonts w:ascii="Verdana" w:hAnsi="Verdana"/>
                <w:b/>
                <w:smallCaps/>
                <w:sz w:val="20"/>
                <w:lang w:val="fr-CH"/>
              </w:rPr>
            </w:pPr>
          </w:p>
        </w:tc>
        <w:tc>
          <w:tcPr>
            <w:tcW w:w="3120" w:type="dxa"/>
          </w:tcPr>
          <w:p w14:paraId="77356A67" w14:textId="77777777" w:rsidR="00690C7B" w:rsidRPr="00015CFF" w:rsidRDefault="00690C7B" w:rsidP="002F1F66">
            <w:pPr>
              <w:spacing w:before="0"/>
              <w:rPr>
                <w:rFonts w:ascii="Verdana" w:hAnsi="Verdana"/>
                <w:b/>
                <w:sz w:val="20"/>
                <w:lang w:val="fr-CH"/>
              </w:rPr>
            </w:pPr>
            <w:r w:rsidRPr="00015CFF">
              <w:rPr>
                <w:rFonts w:ascii="Verdana" w:hAnsi="Verdana"/>
                <w:b/>
                <w:sz w:val="20"/>
                <w:lang w:val="fr-CH"/>
              </w:rPr>
              <w:t>Original: anglais</w:t>
            </w:r>
          </w:p>
        </w:tc>
      </w:tr>
      <w:tr w:rsidR="00690C7B" w:rsidRPr="00015CFF" w14:paraId="53FB794E" w14:textId="77777777" w:rsidTr="00C11970">
        <w:trPr>
          <w:cantSplit/>
        </w:trPr>
        <w:tc>
          <w:tcPr>
            <w:tcW w:w="10031" w:type="dxa"/>
            <w:gridSpan w:val="2"/>
          </w:tcPr>
          <w:p w14:paraId="481475E4" w14:textId="77777777" w:rsidR="00690C7B" w:rsidRPr="00015CFF" w:rsidRDefault="00690C7B" w:rsidP="002F1F66">
            <w:pPr>
              <w:spacing w:before="0"/>
              <w:rPr>
                <w:rFonts w:ascii="Verdana" w:hAnsi="Verdana"/>
                <w:b/>
                <w:sz w:val="20"/>
                <w:lang w:val="fr-CH"/>
              </w:rPr>
            </w:pPr>
          </w:p>
        </w:tc>
      </w:tr>
      <w:tr w:rsidR="00690C7B" w:rsidRPr="00015CFF" w14:paraId="76327F2C" w14:textId="77777777" w:rsidTr="0050008E">
        <w:trPr>
          <w:cantSplit/>
        </w:trPr>
        <w:tc>
          <w:tcPr>
            <w:tcW w:w="10031" w:type="dxa"/>
            <w:gridSpan w:val="2"/>
          </w:tcPr>
          <w:p w14:paraId="71697821" w14:textId="5C3F701D" w:rsidR="00690C7B" w:rsidRPr="00015CFF" w:rsidRDefault="00690C7B" w:rsidP="002F1F66">
            <w:pPr>
              <w:pStyle w:val="Source"/>
              <w:rPr>
                <w:lang w:val="fr-CH"/>
              </w:rPr>
            </w:pPr>
            <w:bookmarkStart w:id="1" w:name="dsource" w:colFirst="0" w:colLast="0"/>
            <w:r w:rsidRPr="00015CFF">
              <w:rPr>
                <w:lang w:val="fr-CH"/>
              </w:rPr>
              <w:t>Angola (République d')/Botswana (République du)/</w:t>
            </w:r>
            <w:r w:rsidR="002F1F66" w:rsidRPr="00015CFF">
              <w:rPr>
                <w:lang w:val="fr-CH"/>
              </w:rPr>
              <w:t>Eswatini (Royaume d')/</w:t>
            </w:r>
            <w:r w:rsidR="00162487" w:rsidRPr="00015CFF">
              <w:rPr>
                <w:lang w:val="fr-CH"/>
              </w:rPr>
              <w:br/>
            </w:r>
            <w:r w:rsidRPr="00015CFF">
              <w:rPr>
                <w:lang w:val="fr-CH"/>
              </w:rPr>
              <w:t>Lesotho (Royaume du)/Madagascar (République de)/Malawi/Maurice (République de)/Mozambique (République du)/Namibie (République de)/République démocratique du Congo/Seychelles (République des)/</w:t>
            </w:r>
            <w:r w:rsidR="0055371F" w:rsidRPr="00015CFF">
              <w:rPr>
                <w:lang w:val="fr-CH"/>
              </w:rPr>
              <w:br/>
            </w:r>
            <w:r w:rsidRPr="00015CFF">
              <w:rPr>
                <w:lang w:val="fr-CH"/>
              </w:rPr>
              <w:t>Sudafricaine (République)/Tanzanie (République-Unie de)/</w:t>
            </w:r>
            <w:r w:rsidR="0055371F" w:rsidRPr="00015CFF">
              <w:rPr>
                <w:lang w:val="fr-CH"/>
              </w:rPr>
              <w:br/>
            </w:r>
            <w:r w:rsidRPr="00015CFF">
              <w:rPr>
                <w:lang w:val="fr-CH"/>
              </w:rPr>
              <w:t>Zambie (République de)/Zimbabwe (République du)</w:t>
            </w:r>
          </w:p>
        </w:tc>
      </w:tr>
      <w:tr w:rsidR="00690C7B" w:rsidRPr="00015CFF" w14:paraId="30A96C7F" w14:textId="77777777" w:rsidTr="0050008E">
        <w:trPr>
          <w:cantSplit/>
        </w:trPr>
        <w:tc>
          <w:tcPr>
            <w:tcW w:w="10031" w:type="dxa"/>
            <w:gridSpan w:val="2"/>
          </w:tcPr>
          <w:p w14:paraId="0A45BE7D" w14:textId="77777777" w:rsidR="00690C7B" w:rsidRPr="00015CFF" w:rsidRDefault="00690C7B" w:rsidP="002F1F66">
            <w:pPr>
              <w:pStyle w:val="Title1"/>
              <w:rPr>
                <w:lang w:val="fr-CH"/>
              </w:rPr>
            </w:pPr>
            <w:bookmarkStart w:id="2" w:name="dtitle1" w:colFirst="0" w:colLast="0"/>
            <w:bookmarkEnd w:id="1"/>
            <w:r w:rsidRPr="00015CFF">
              <w:rPr>
                <w:lang w:val="fr-CH"/>
              </w:rPr>
              <w:t>Propositions pour les travaux de la conférence</w:t>
            </w:r>
          </w:p>
        </w:tc>
      </w:tr>
      <w:tr w:rsidR="00690C7B" w:rsidRPr="00015CFF" w14:paraId="0BBB965B" w14:textId="77777777" w:rsidTr="0050008E">
        <w:trPr>
          <w:cantSplit/>
        </w:trPr>
        <w:tc>
          <w:tcPr>
            <w:tcW w:w="10031" w:type="dxa"/>
            <w:gridSpan w:val="2"/>
          </w:tcPr>
          <w:p w14:paraId="6EB4089E" w14:textId="77777777" w:rsidR="00690C7B" w:rsidRPr="00015CFF" w:rsidRDefault="00690C7B" w:rsidP="002F1F66">
            <w:pPr>
              <w:pStyle w:val="Title2"/>
              <w:rPr>
                <w:lang w:val="fr-CH"/>
              </w:rPr>
            </w:pPr>
            <w:bookmarkStart w:id="3" w:name="dtitle2" w:colFirst="0" w:colLast="0"/>
            <w:bookmarkEnd w:id="2"/>
          </w:p>
        </w:tc>
      </w:tr>
      <w:tr w:rsidR="00690C7B" w:rsidRPr="00015CFF" w14:paraId="7838B790" w14:textId="77777777" w:rsidTr="0050008E">
        <w:trPr>
          <w:cantSplit/>
        </w:trPr>
        <w:tc>
          <w:tcPr>
            <w:tcW w:w="10031" w:type="dxa"/>
            <w:gridSpan w:val="2"/>
          </w:tcPr>
          <w:p w14:paraId="3683C566" w14:textId="77777777" w:rsidR="00690C7B" w:rsidRPr="00015CFF" w:rsidRDefault="00690C7B" w:rsidP="002F1F66">
            <w:pPr>
              <w:pStyle w:val="Agendaitem"/>
            </w:pPr>
            <w:bookmarkStart w:id="4" w:name="dtitle3" w:colFirst="0" w:colLast="0"/>
            <w:bookmarkEnd w:id="3"/>
            <w:r w:rsidRPr="00015CFF">
              <w:t>Point 1.13 de l'ordre du jour</w:t>
            </w:r>
          </w:p>
        </w:tc>
      </w:tr>
    </w:tbl>
    <w:bookmarkEnd w:id="4"/>
    <w:p w14:paraId="32E70387" w14:textId="119126AD" w:rsidR="001C0E40" w:rsidRPr="00015CFF" w:rsidRDefault="00766D44" w:rsidP="002F1F66">
      <w:pPr>
        <w:rPr>
          <w:lang w:val="fr-CH"/>
        </w:rPr>
      </w:pPr>
      <w:r w:rsidRPr="00015CFF">
        <w:rPr>
          <w:lang w:val="fr-CH"/>
        </w:rPr>
        <w:t>1.13</w:t>
      </w:r>
      <w:r w:rsidRPr="00015CFF">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015CFF">
        <w:rPr>
          <w:b/>
          <w:bCs/>
          <w:lang w:val="fr-CH"/>
        </w:rPr>
        <w:t>238 (CMR-15)</w:t>
      </w:r>
      <w:r w:rsidR="007D1D18" w:rsidRPr="00015CFF">
        <w:rPr>
          <w:lang w:val="fr-CH"/>
        </w:rPr>
        <w:t>.</w:t>
      </w:r>
    </w:p>
    <w:p w14:paraId="26FA2F98" w14:textId="1CF53968" w:rsidR="007D1D18" w:rsidRPr="00015CFF" w:rsidRDefault="007D1D18" w:rsidP="002F1F66">
      <w:pPr>
        <w:pStyle w:val="Title4"/>
        <w:rPr>
          <w:lang w:val="fr-CH"/>
        </w:rPr>
      </w:pPr>
      <w:r w:rsidRPr="00015CFF">
        <w:rPr>
          <w:lang w:val="fr-CH"/>
        </w:rPr>
        <w:t>Partie 3 – Bande de fréquences 66</w:t>
      </w:r>
      <w:r w:rsidR="002F1F66" w:rsidRPr="00015CFF">
        <w:rPr>
          <w:lang w:val="fr-CH"/>
        </w:rPr>
        <w:noBreakHyphen/>
      </w:r>
      <w:r w:rsidRPr="00015CFF">
        <w:rPr>
          <w:lang w:val="fr-CH"/>
        </w:rPr>
        <w:t>71</w:t>
      </w:r>
      <w:r w:rsidR="002F1F66" w:rsidRPr="00015CFF">
        <w:rPr>
          <w:lang w:val="fr-CH"/>
        </w:rPr>
        <w:t> </w:t>
      </w:r>
      <w:r w:rsidRPr="00015CFF">
        <w:rPr>
          <w:lang w:val="fr-CH"/>
        </w:rPr>
        <w:t>GHz</w:t>
      </w:r>
    </w:p>
    <w:p w14:paraId="6700AD3D" w14:textId="77777777" w:rsidR="007D1D18" w:rsidRPr="00015CFF" w:rsidRDefault="007D1D18" w:rsidP="002F1F66">
      <w:pPr>
        <w:pStyle w:val="Headingb"/>
        <w:rPr>
          <w:lang w:val="fr-CH"/>
        </w:rPr>
      </w:pPr>
      <w:r w:rsidRPr="00015CFF">
        <w:rPr>
          <w:lang w:val="fr-CH"/>
        </w:rPr>
        <w:t>Introduction</w:t>
      </w:r>
    </w:p>
    <w:p w14:paraId="637F2164" w14:textId="48DF31D0" w:rsidR="003A583E" w:rsidRPr="00015CFF" w:rsidRDefault="004F56EF" w:rsidP="002F1F66">
      <w:pPr>
        <w:rPr>
          <w:lang w:val="fr-CH"/>
        </w:rPr>
      </w:pPr>
      <w:r w:rsidRPr="00015CFF">
        <w:rPr>
          <w:lang w:val="fr-CH"/>
        </w:rPr>
        <w:t>Les Administrations membres de la Communauté de développement de l'Afrique australe (SADC) énumérées ci-dessus sont favorables à l</w:t>
      </w:r>
      <w:r w:rsidR="002F1F66" w:rsidRPr="00015CFF">
        <w:rPr>
          <w:lang w:val="fr-CH"/>
        </w:rPr>
        <w:t>'</w:t>
      </w:r>
      <w:r w:rsidRPr="00015CFF">
        <w:rPr>
          <w:lang w:val="fr-CH"/>
        </w:rPr>
        <w:t>identification de la bande de fréquences 66</w:t>
      </w:r>
      <w:r w:rsidR="002F1F66" w:rsidRPr="00015CFF">
        <w:rPr>
          <w:lang w:val="fr-CH"/>
        </w:rPr>
        <w:noBreakHyphen/>
      </w:r>
      <w:r w:rsidRPr="00015CFF">
        <w:rPr>
          <w:lang w:val="fr-CH"/>
        </w:rPr>
        <w:t>71</w:t>
      </w:r>
      <w:r w:rsidR="002F1F66" w:rsidRPr="00015CFF">
        <w:rPr>
          <w:lang w:val="fr-CH"/>
        </w:rPr>
        <w:t> </w:t>
      </w:r>
      <w:r w:rsidRPr="00015CFF">
        <w:rPr>
          <w:lang w:val="fr-CH"/>
        </w:rPr>
        <w:t>GHz pour les IMT à l'échelle mondiale. L</w:t>
      </w:r>
      <w:r w:rsidR="002F1F66" w:rsidRPr="00015CFF">
        <w:rPr>
          <w:lang w:val="fr-CH"/>
        </w:rPr>
        <w:t>'</w:t>
      </w:r>
      <w:r w:rsidRPr="00015CFF">
        <w:rPr>
          <w:lang w:val="fr-CH"/>
        </w:rPr>
        <w:t>utilisation de cette bande p</w:t>
      </w:r>
      <w:r w:rsidR="00F91BD0" w:rsidRPr="00015CFF">
        <w:rPr>
          <w:lang w:val="fr-CH"/>
        </w:rPr>
        <w:t>a</w:t>
      </w:r>
      <w:r w:rsidRPr="00015CFF">
        <w:rPr>
          <w:lang w:val="fr-CH"/>
        </w:rPr>
        <w:t>r d</w:t>
      </w:r>
      <w:r w:rsidR="002F1F66" w:rsidRPr="00015CFF">
        <w:rPr>
          <w:lang w:val="fr-CH"/>
        </w:rPr>
        <w:t>'</w:t>
      </w:r>
      <w:r w:rsidRPr="00015CFF">
        <w:rPr>
          <w:lang w:val="fr-CH"/>
        </w:rPr>
        <w:t xml:space="preserve">autres services, y compris les services déployés </w:t>
      </w:r>
      <w:r w:rsidR="00F91BD0" w:rsidRPr="00015CFF">
        <w:rPr>
          <w:lang w:val="fr-CH"/>
        </w:rPr>
        <w:t>sans qu</w:t>
      </w:r>
      <w:r w:rsidR="002F1F66" w:rsidRPr="00015CFF">
        <w:rPr>
          <w:lang w:val="fr-CH"/>
        </w:rPr>
        <w:t>'</w:t>
      </w:r>
      <w:r w:rsidR="00F91BD0" w:rsidRPr="00015CFF">
        <w:rPr>
          <w:lang w:val="fr-CH"/>
        </w:rPr>
        <w:t>une licence soit nécessaire</w:t>
      </w:r>
      <w:r w:rsidRPr="00015CFF">
        <w:rPr>
          <w:lang w:val="fr-CH"/>
        </w:rPr>
        <w:t xml:space="preserve">, </w:t>
      </w:r>
      <w:r w:rsidR="00F91BD0" w:rsidRPr="00015CFF">
        <w:rPr>
          <w:lang w:val="fr-CH"/>
        </w:rPr>
        <w:t>est</w:t>
      </w:r>
      <w:r w:rsidRPr="00015CFF">
        <w:rPr>
          <w:lang w:val="fr-CH"/>
        </w:rPr>
        <w:t xml:space="preserve"> </w:t>
      </w:r>
      <w:r w:rsidR="00F91BD0" w:rsidRPr="00015CFF">
        <w:rPr>
          <w:lang w:val="fr-CH"/>
        </w:rPr>
        <w:t>reconnue</w:t>
      </w:r>
      <w:r w:rsidR="007611A4" w:rsidRPr="00015CFF">
        <w:rPr>
          <w:lang w:val="fr-CH"/>
        </w:rPr>
        <w:t xml:space="preserve"> et une telle utilisation doit continuer. Les Administrations de la SADC sont donc favorables à l</w:t>
      </w:r>
      <w:r w:rsidR="002F1F66" w:rsidRPr="00015CFF">
        <w:rPr>
          <w:lang w:val="fr-CH"/>
        </w:rPr>
        <w:t>'</w:t>
      </w:r>
      <w:r w:rsidR="007611A4" w:rsidRPr="00015CFF">
        <w:rPr>
          <w:lang w:val="fr-CH"/>
        </w:rPr>
        <w:t>adoption d</w:t>
      </w:r>
      <w:r w:rsidR="002F1F66" w:rsidRPr="00015CFF">
        <w:rPr>
          <w:lang w:val="fr-CH"/>
        </w:rPr>
        <w:t>'</w:t>
      </w:r>
      <w:r w:rsidR="007611A4" w:rsidRPr="00015CFF">
        <w:rPr>
          <w:lang w:val="fr-CH"/>
        </w:rPr>
        <w:t xml:space="preserve">une nouvelle Résolution demandant que des études soient menées concernant la </w:t>
      </w:r>
      <w:r w:rsidR="00F71B93" w:rsidRPr="00015CFF">
        <w:rPr>
          <w:lang w:val="fr-CH"/>
        </w:rPr>
        <w:t>coexistence</w:t>
      </w:r>
      <w:r w:rsidR="007611A4" w:rsidRPr="00015CFF">
        <w:rPr>
          <w:lang w:val="fr-CH"/>
        </w:rPr>
        <w:t xml:space="preserve"> entre les IMT et </w:t>
      </w:r>
      <w:r w:rsidR="00790E8E" w:rsidRPr="00015CFF">
        <w:rPr>
          <w:lang w:val="fr-CH"/>
        </w:rPr>
        <w:t>les systèmes hertziens à plusieurs gigabits (MGWS) et d</w:t>
      </w:r>
      <w:r w:rsidR="002F1F66" w:rsidRPr="00015CFF">
        <w:rPr>
          <w:lang w:val="fr-CH"/>
        </w:rPr>
        <w:t>'</w:t>
      </w:r>
      <w:r w:rsidR="00790E8E" w:rsidRPr="00015CFF">
        <w:rPr>
          <w:lang w:val="fr-CH"/>
        </w:rPr>
        <w:t>autres systèmes d</w:t>
      </w:r>
      <w:r w:rsidR="002F1F66" w:rsidRPr="00015CFF">
        <w:rPr>
          <w:lang w:val="fr-CH"/>
        </w:rPr>
        <w:t>'</w:t>
      </w:r>
      <w:r w:rsidR="00790E8E" w:rsidRPr="00015CFF">
        <w:rPr>
          <w:lang w:val="fr-CH"/>
        </w:rPr>
        <w:t xml:space="preserve">accès hertzien (WAS). Une identification de la bande pour les IMT indiquera la </w:t>
      </w:r>
      <w:r w:rsidR="00EF0E78" w:rsidRPr="00015CFF">
        <w:rPr>
          <w:lang w:val="fr-CH"/>
        </w:rPr>
        <w:t>mise à disposition de la bande pour les IMT tandis que la Résolution indique</w:t>
      </w:r>
      <w:r w:rsidR="002F1F66" w:rsidRPr="00015CFF">
        <w:rPr>
          <w:lang w:val="fr-CH"/>
        </w:rPr>
        <w:t>ra</w:t>
      </w:r>
      <w:r w:rsidR="00EF0E78" w:rsidRPr="00015CFF">
        <w:rPr>
          <w:lang w:val="fr-CH"/>
        </w:rPr>
        <w:t xml:space="preserve"> clairement l</w:t>
      </w:r>
      <w:r w:rsidR="002F1F66" w:rsidRPr="00015CFF">
        <w:rPr>
          <w:lang w:val="fr-CH"/>
        </w:rPr>
        <w:t>'</w:t>
      </w:r>
      <w:r w:rsidR="00EF0E78" w:rsidRPr="00015CFF">
        <w:rPr>
          <w:lang w:val="fr-CH"/>
        </w:rPr>
        <w:t>utilisation</w:t>
      </w:r>
      <w:r w:rsidR="002F1F66" w:rsidRPr="00015CFF">
        <w:rPr>
          <w:lang w:val="fr-CH"/>
        </w:rPr>
        <w:t xml:space="preserve"> en</w:t>
      </w:r>
      <w:r w:rsidR="00EF0E78" w:rsidRPr="00015CFF">
        <w:rPr>
          <w:lang w:val="fr-CH"/>
        </w:rPr>
        <w:t xml:space="preserve"> partage avec les autres services mobiles. De plus, le partage entre les systèmes de radiocommunications</w:t>
      </w:r>
      <w:r w:rsidR="002D5F72" w:rsidRPr="00015CFF">
        <w:rPr>
          <w:lang w:val="fr-CH"/>
        </w:rPr>
        <w:t xml:space="preserve"> mobiles et</w:t>
      </w:r>
      <w:r w:rsidR="00EF0E78" w:rsidRPr="00015CFF">
        <w:rPr>
          <w:lang w:val="fr-CH"/>
        </w:rPr>
        <w:t xml:space="preserve"> spatiales</w:t>
      </w:r>
      <w:r w:rsidR="002D5F72" w:rsidRPr="00015CFF">
        <w:rPr>
          <w:lang w:val="fr-CH"/>
        </w:rPr>
        <w:t xml:space="preserve"> étant possible, il n'est pas nécessaire de maintenir la bande de fréquences 66</w:t>
      </w:r>
      <w:r w:rsidR="002F1F66" w:rsidRPr="00015CFF">
        <w:rPr>
          <w:lang w:val="fr-CH"/>
        </w:rPr>
        <w:noBreakHyphen/>
      </w:r>
      <w:r w:rsidR="002D5F72" w:rsidRPr="00015CFF">
        <w:rPr>
          <w:lang w:val="fr-CH"/>
        </w:rPr>
        <w:t>71 GHz dans le numéro</w:t>
      </w:r>
      <w:r w:rsidR="00946012" w:rsidRPr="00015CFF">
        <w:rPr>
          <w:lang w:val="fr-CH"/>
        </w:rPr>
        <w:t> </w:t>
      </w:r>
      <w:r w:rsidR="002D5F72" w:rsidRPr="00015CFF">
        <w:rPr>
          <w:b/>
          <w:bCs/>
          <w:lang w:val="fr-CH"/>
        </w:rPr>
        <w:t>5.553</w:t>
      </w:r>
      <w:r w:rsidR="002D5F72" w:rsidRPr="00015CFF">
        <w:rPr>
          <w:lang w:val="fr-CH"/>
        </w:rPr>
        <w:t xml:space="preserve"> du Règlement des radiocommunications. Pour les autres services, les Administrations de la SADC estiment qu</w:t>
      </w:r>
      <w:r w:rsidR="002F1F66" w:rsidRPr="00015CFF">
        <w:rPr>
          <w:lang w:val="fr-CH"/>
        </w:rPr>
        <w:t>'</w:t>
      </w:r>
      <w:r w:rsidR="002D5F72" w:rsidRPr="00015CFF">
        <w:rPr>
          <w:lang w:val="fr-CH"/>
        </w:rPr>
        <w:t>aucune condition supplémentaire n</w:t>
      </w:r>
      <w:r w:rsidR="002F1F66" w:rsidRPr="00015CFF">
        <w:rPr>
          <w:lang w:val="fr-CH"/>
        </w:rPr>
        <w:t>'</w:t>
      </w:r>
      <w:r w:rsidR="002D5F72" w:rsidRPr="00015CFF">
        <w:rPr>
          <w:lang w:val="fr-CH"/>
        </w:rPr>
        <w:t>est nécessaire</w:t>
      </w:r>
      <w:r w:rsidR="007D1D18" w:rsidRPr="00015CFF">
        <w:rPr>
          <w:lang w:val="fr-CH"/>
        </w:rPr>
        <w:t>.</w:t>
      </w:r>
    </w:p>
    <w:p w14:paraId="1F30E0E2" w14:textId="77777777" w:rsidR="0015203F" w:rsidRPr="00015CFF" w:rsidRDefault="0015203F" w:rsidP="002F1F66">
      <w:pPr>
        <w:tabs>
          <w:tab w:val="clear" w:pos="1134"/>
          <w:tab w:val="clear" w:pos="1871"/>
          <w:tab w:val="clear" w:pos="2268"/>
        </w:tabs>
        <w:overflowPunct/>
        <w:autoSpaceDE/>
        <w:autoSpaceDN/>
        <w:adjustRightInd/>
        <w:spacing w:before="0"/>
        <w:textAlignment w:val="auto"/>
        <w:rPr>
          <w:lang w:val="fr-CH"/>
        </w:rPr>
      </w:pPr>
      <w:r w:rsidRPr="00015CFF">
        <w:rPr>
          <w:lang w:val="fr-CH"/>
        </w:rPr>
        <w:br w:type="page"/>
      </w:r>
    </w:p>
    <w:p w14:paraId="312FF2A1" w14:textId="07B18362" w:rsidR="007F3F42" w:rsidRPr="00015CFF" w:rsidRDefault="00766D44" w:rsidP="002F1F66">
      <w:pPr>
        <w:pStyle w:val="ArtNo"/>
        <w:spacing w:before="0"/>
        <w:rPr>
          <w:lang w:val="fr-CH"/>
        </w:rPr>
      </w:pPr>
      <w:bookmarkStart w:id="5" w:name="_Toc455752914"/>
      <w:bookmarkStart w:id="6" w:name="_Toc455756153"/>
      <w:r w:rsidRPr="00015CFF">
        <w:rPr>
          <w:lang w:val="fr-CH"/>
        </w:rPr>
        <w:lastRenderedPageBreak/>
        <w:t xml:space="preserve">ARTICLE </w:t>
      </w:r>
      <w:r w:rsidRPr="00015CFF">
        <w:rPr>
          <w:rStyle w:val="href"/>
          <w:color w:val="000000"/>
          <w:lang w:val="fr-CH"/>
        </w:rPr>
        <w:t>5</w:t>
      </w:r>
      <w:bookmarkEnd w:id="5"/>
      <w:bookmarkEnd w:id="6"/>
    </w:p>
    <w:p w14:paraId="177BCAA1" w14:textId="77777777" w:rsidR="007F3F42" w:rsidRPr="00015CFF" w:rsidRDefault="00766D44" w:rsidP="002F1F66">
      <w:pPr>
        <w:pStyle w:val="Arttitle"/>
        <w:rPr>
          <w:lang w:val="fr-CH"/>
        </w:rPr>
      </w:pPr>
      <w:bookmarkStart w:id="7" w:name="_Toc455752915"/>
      <w:bookmarkStart w:id="8" w:name="_Toc455756154"/>
      <w:r w:rsidRPr="00015CFF">
        <w:rPr>
          <w:lang w:val="fr-CH"/>
        </w:rPr>
        <w:t>Attribution des bandes de fréquences</w:t>
      </w:r>
      <w:bookmarkEnd w:id="7"/>
      <w:bookmarkEnd w:id="8"/>
    </w:p>
    <w:p w14:paraId="0319488D" w14:textId="77777777" w:rsidR="00D73104" w:rsidRPr="00015CFF" w:rsidRDefault="00766D44" w:rsidP="002F1F66">
      <w:pPr>
        <w:pStyle w:val="Section1"/>
        <w:keepNext/>
        <w:rPr>
          <w:b w:val="0"/>
          <w:color w:val="000000"/>
          <w:lang w:val="fr-CH"/>
        </w:rPr>
      </w:pPr>
      <w:r w:rsidRPr="00015CFF">
        <w:rPr>
          <w:lang w:val="fr-CH"/>
        </w:rPr>
        <w:t>Section IV – Tableau d'attribution des bandes de fréquences</w:t>
      </w:r>
      <w:r w:rsidRPr="00015CFF">
        <w:rPr>
          <w:lang w:val="fr-CH"/>
        </w:rPr>
        <w:br/>
      </w:r>
      <w:r w:rsidRPr="00015CFF">
        <w:rPr>
          <w:b w:val="0"/>
          <w:bCs/>
          <w:lang w:val="fr-CH"/>
        </w:rPr>
        <w:t xml:space="preserve">(Voir le numéro </w:t>
      </w:r>
      <w:r w:rsidRPr="00015CFF">
        <w:rPr>
          <w:lang w:val="fr-CH"/>
        </w:rPr>
        <w:t>2.1</w:t>
      </w:r>
      <w:r w:rsidRPr="00015CFF">
        <w:rPr>
          <w:b w:val="0"/>
          <w:bCs/>
          <w:lang w:val="fr-CH"/>
        </w:rPr>
        <w:t>)</w:t>
      </w:r>
      <w:r w:rsidRPr="00015CFF">
        <w:rPr>
          <w:b w:val="0"/>
          <w:color w:val="000000"/>
          <w:lang w:val="fr-CH"/>
        </w:rPr>
        <w:br/>
      </w:r>
    </w:p>
    <w:p w14:paraId="7C00F653" w14:textId="6591DD28" w:rsidR="006E445A" w:rsidRPr="00015CFF" w:rsidRDefault="00766D44" w:rsidP="002F1F66">
      <w:pPr>
        <w:pStyle w:val="Proposal"/>
        <w:rPr>
          <w:lang w:val="fr-CH"/>
        </w:rPr>
      </w:pPr>
      <w:r w:rsidRPr="00015CFF">
        <w:rPr>
          <w:lang w:val="fr-CH"/>
        </w:rPr>
        <w:t>MOD</w:t>
      </w:r>
      <w:r w:rsidRPr="00015CFF">
        <w:rPr>
          <w:lang w:val="fr-CH"/>
        </w:rPr>
        <w:tab/>
        <w:t>AGL/BOT/</w:t>
      </w:r>
      <w:r w:rsidR="002F1F66" w:rsidRPr="00015CFF">
        <w:rPr>
          <w:lang w:val="fr-CH"/>
        </w:rPr>
        <w:t>SWZ/</w:t>
      </w:r>
      <w:r w:rsidRPr="00015CFF">
        <w:rPr>
          <w:lang w:val="fr-CH"/>
        </w:rPr>
        <w:t>LSO/MDG/MWI/MAU/MOZ/NMB/COD/SEY/AFS/TZA/ZMB/ZWE/89A13A3/1</w:t>
      </w:r>
      <w:r w:rsidRPr="00015CFF">
        <w:rPr>
          <w:vanish/>
          <w:color w:val="7F7F7F" w:themeColor="text1" w:themeTint="80"/>
          <w:vertAlign w:val="superscript"/>
          <w:lang w:val="fr-CH"/>
        </w:rPr>
        <w:t>#49901</w:t>
      </w:r>
    </w:p>
    <w:p w14:paraId="4BF6DBB2" w14:textId="49473041" w:rsidR="007132E2" w:rsidRPr="00015CFF" w:rsidRDefault="00766D44" w:rsidP="002F1F66">
      <w:pPr>
        <w:pStyle w:val="Tabletitle"/>
        <w:spacing w:before="120"/>
        <w:rPr>
          <w:color w:val="000000"/>
          <w:lang w:val="fr-CH"/>
        </w:rPr>
      </w:pPr>
      <w:r w:rsidRPr="00015CFF">
        <w:rPr>
          <w:color w:val="000000"/>
          <w:lang w:val="fr-CH"/>
        </w:rPr>
        <w:t>66-81</w:t>
      </w:r>
      <w:r w:rsidR="00DC5833" w:rsidRPr="00015CFF">
        <w:rPr>
          <w:color w:val="000000"/>
          <w:lang w:val="fr-CH"/>
        </w:rPr>
        <w:t> </w:t>
      </w:r>
      <w:r w:rsidRPr="00015CFF">
        <w:rPr>
          <w:color w:val="000000"/>
          <w:lang w:val="fr-CH"/>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015CFF" w14:paraId="1E42DA29"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8570AB6" w14:textId="77777777" w:rsidR="007132E2" w:rsidRPr="00015CFF" w:rsidRDefault="00766D44" w:rsidP="002F1F66">
            <w:pPr>
              <w:pStyle w:val="Tablehead"/>
              <w:spacing w:before="60" w:after="60"/>
              <w:rPr>
                <w:color w:val="000000"/>
                <w:lang w:val="fr-CH"/>
              </w:rPr>
            </w:pPr>
            <w:r w:rsidRPr="00015CFF">
              <w:rPr>
                <w:color w:val="000000"/>
                <w:lang w:val="fr-CH"/>
              </w:rPr>
              <w:t>Attribution aux services</w:t>
            </w:r>
          </w:p>
        </w:tc>
      </w:tr>
      <w:tr w:rsidR="007132E2" w:rsidRPr="00015CFF" w14:paraId="3EEDF6E8"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5B81BE8" w14:textId="77777777" w:rsidR="007132E2" w:rsidRPr="00015CFF" w:rsidRDefault="00766D44" w:rsidP="002F1F66">
            <w:pPr>
              <w:pStyle w:val="Tablehead"/>
              <w:spacing w:before="60" w:after="60"/>
              <w:rPr>
                <w:color w:val="000000"/>
                <w:lang w:val="fr-CH"/>
              </w:rPr>
            </w:pPr>
            <w:r w:rsidRPr="00015CFF">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31351ED" w14:textId="77777777" w:rsidR="007132E2" w:rsidRPr="00015CFF" w:rsidRDefault="00766D44" w:rsidP="002F1F66">
            <w:pPr>
              <w:pStyle w:val="Tablehead"/>
              <w:spacing w:before="60" w:after="60"/>
              <w:rPr>
                <w:color w:val="000000"/>
                <w:lang w:val="fr-CH"/>
              </w:rPr>
            </w:pPr>
            <w:r w:rsidRPr="00015CFF">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173A9EE2" w14:textId="77777777" w:rsidR="007132E2" w:rsidRPr="00015CFF" w:rsidRDefault="00766D44" w:rsidP="002F1F66">
            <w:pPr>
              <w:pStyle w:val="Tablehead"/>
              <w:spacing w:before="60" w:after="60"/>
              <w:rPr>
                <w:color w:val="000000"/>
                <w:lang w:val="fr-CH"/>
              </w:rPr>
            </w:pPr>
            <w:r w:rsidRPr="00015CFF">
              <w:rPr>
                <w:color w:val="000000"/>
                <w:lang w:val="fr-CH"/>
              </w:rPr>
              <w:t>Région 3</w:t>
            </w:r>
          </w:p>
        </w:tc>
      </w:tr>
      <w:tr w:rsidR="007132E2" w:rsidRPr="00015CFF" w14:paraId="673183A8"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A25F29B" w14:textId="77777777" w:rsidR="007132E2" w:rsidRPr="00015CFF" w:rsidRDefault="00766D44" w:rsidP="002F1F66">
            <w:pPr>
              <w:pStyle w:val="TableTextS5"/>
              <w:spacing w:after="20"/>
              <w:rPr>
                <w:color w:val="000000"/>
                <w:lang w:val="fr-CH"/>
              </w:rPr>
            </w:pPr>
            <w:r w:rsidRPr="00015CFF">
              <w:rPr>
                <w:rStyle w:val="Tablefreq"/>
                <w:lang w:val="fr-CH"/>
              </w:rPr>
              <w:t>66-71</w:t>
            </w:r>
            <w:r w:rsidRPr="00015CFF">
              <w:rPr>
                <w:color w:val="000000"/>
                <w:lang w:val="fr-CH"/>
              </w:rPr>
              <w:tab/>
            </w:r>
            <w:r w:rsidRPr="00015CFF">
              <w:rPr>
                <w:color w:val="000000"/>
                <w:lang w:val="fr-CH"/>
              </w:rPr>
              <w:tab/>
            </w:r>
            <w:r w:rsidRPr="00015CFF">
              <w:rPr>
                <w:color w:val="000000"/>
                <w:lang w:val="fr-CH"/>
              </w:rPr>
              <w:tab/>
              <w:t>INTER-SATELLITES</w:t>
            </w:r>
          </w:p>
          <w:p w14:paraId="2CD8F35C" w14:textId="35CADDD2" w:rsidR="007132E2" w:rsidRPr="00015CFF" w:rsidRDefault="00766D44" w:rsidP="002F1F66">
            <w:pPr>
              <w:pStyle w:val="TableTextS5"/>
              <w:spacing w:before="0" w:after="20"/>
              <w:rPr>
                <w:color w:val="000000"/>
                <w:lang w:val="fr-CH"/>
              </w:rPr>
            </w:pPr>
            <w:r w:rsidRPr="00015CFF">
              <w:rPr>
                <w:color w:val="000000"/>
                <w:lang w:val="fr-CH"/>
              </w:rPr>
              <w:tab/>
            </w:r>
            <w:r w:rsidRPr="00015CFF">
              <w:rPr>
                <w:color w:val="000000"/>
                <w:lang w:val="fr-CH"/>
              </w:rPr>
              <w:tab/>
            </w:r>
            <w:r w:rsidRPr="00015CFF">
              <w:rPr>
                <w:color w:val="000000"/>
                <w:lang w:val="fr-CH"/>
              </w:rPr>
              <w:tab/>
            </w:r>
            <w:r w:rsidRPr="00015CFF">
              <w:rPr>
                <w:color w:val="000000"/>
                <w:lang w:val="fr-CH"/>
              </w:rPr>
              <w:tab/>
              <w:t xml:space="preserve">MOBILE  </w:t>
            </w:r>
            <w:ins w:id="9" w:author="" w:date="2018-09-06T15:22:00Z">
              <w:r w:rsidRPr="00015CFF">
                <w:rPr>
                  <w:color w:val="000000"/>
                  <w:lang w:val="fr-CH"/>
                </w:rPr>
                <w:t xml:space="preserve">MOD </w:t>
              </w:r>
            </w:ins>
            <w:r w:rsidRPr="00015CFF">
              <w:rPr>
                <w:rStyle w:val="Artref"/>
                <w:color w:val="000000"/>
                <w:lang w:val="fr-CH"/>
              </w:rPr>
              <w:t>5.553</w:t>
            </w:r>
            <w:r w:rsidRPr="00015CFF">
              <w:rPr>
                <w:color w:val="000000"/>
                <w:lang w:val="fr-CH"/>
              </w:rPr>
              <w:t xml:space="preserve">  </w:t>
            </w:r>
            <w:r w:rsidRPr="00015CFF">
              <w:rPr>
                <w:rStyle w:val="Artref"/>
                <w:color w:val="000000"/>
                <w:lang w:val="fr-CH"/>
              </w:rPr>
              <w:t>5.558</w:t>
            </w:r>
            <w:ins w:id="10" w:author="" w:date="2018-09-06T15:22:00Z">
              <w:r w:rsidRPr="00015CFF">
                <w:rPr>
                  <w:rStyle w:val="Artref"/>
                  <w:color w:val="000000"/>
                  <w:lang w:val="fr-CH"/>
                </w:rPr>
                <w:t xml:space="preserve">  </w:t>
              </w:r>
            </w:ins>
            <w:ins w:id="11" w:author="Unknown" w:date="2018-05-10T11:21:00Z">
              <w:r w:rsidR="00B97C74" w:rsidRPr="00015CFF">
                <w:rPr>
                  <w:bCs/>
                  <w:color w:val="000000"/>
                  <w:u w:val="double"/>
                  <w:lang w:val="fr-CH"/>
                </w:rPr>
                <w:t xml:space="preserve">ADD </w:t>
              </w:r>
              <w:r w:rsidR="00B97C74" w:rsidRPr="00015CFF">
                <w:rPr>
                  <w:rStyle w:val="Artref"/>
                  <w:lang w:val="fr-CH"/>
                </w:rPr>
                <w:t>5.</w:t>
              </w:r>
            </w:ins>
            <w:ins w:id="12" w:author="Unknown" w:date="2018-08-28T21:33:00Z">
              <w:r w:rsidR="00B97C74" w:rsidRPr="00015CFF">
                <w:rPr>
                  <w:rStyle w:val="Artref"/>
                  <w:lang w:val="fr-CH"/>
                </w:rPr>
                <w:t>J</w:t>
              </w:r>
            </w:ins>
            <w:ins w:id="13" w:author="Unknown" w:date="2018-05-10T11:21:00Z">
              <w:r w:rsidR="00B97C74" w:rsidRPr="00015CFF">
                <w:rPr>
                  <w:rStyle w:val="Artref"/>
                  <w:lang w:val="fr-CH"/>
                </w:rPr>
                <w:t>113</w:t>
              </w:r>
            </w:ins>
            <w:ins w:id="14" w:author="Unknown" w:date="2019-10-02T17:20:00Z">
              <w:r w:rsidR="00B97C74" w:rsidRPr="00015CFF">
                <w:rPr>
                  <w:rStyle w:val="Artref"/>
                  <w:lang w:val="fr-CH"/>
                </w:rPr>
                <w:t>b</w:t>
              </w:r>
            </w:ins>
          </w:p>
          <w:p w14:paraId="19FCDC1A" w14:textId="77777777" w:rsidR="007132E2" w:rsidRPr="00015CFF" w:rsidRDefault="00766D44" w:rsidP="002F1F66">
            <w:pPr>
              <w:pStyle w:val="TableTextS5"/>
              <w:spacing w:before="0" w:after="20"/>
              <w:rPr>
                <w:color w:val="000000"/>
                <w:lang w:val="fr-CH"/>
              </w:rPr>
            </w:pPr>
            <w:r w:rsidRPr="00015CFF">
              <w:rPr>
                <w:color w:val="000000"/>
                <w:lang w:val="fr-CH"/>
              </w:rPr>
              <w:tab/>
            </w:r>
            <w:r w:rsidRPr="00015CFF">
              <w:rPr>
                <w:color w:val="000000"/>
                <w:lang w:val="fr-CH"/>
              </w:rPr>
              <w:tab/>
            </w:r>
            <w:r w:rsidRPr="00015CFF">
              <w:rPr>
                <w:color w:val="000000"/>
                <w:lang w:val="fr-CH"/>
              </w:rPr>
              <w:tab/>
            </w:r>
            <w:r w:rsidRPr="00015CFF">
              <w:rPr>
                <w:color w:val="000000"/>
                <w:lang w:val="fr-CH"/>
              </w:rPr>
              <w:tab/>
              <w:t>MOBILE PAR SATELLITE</w:t>
            </w:r>
          </w:p>
          <w:p w14:paraId="14949675" w14:textId="77777777" w:rsidR="007132E2" w:rsidRPr="00015CFF" w:rsidRDefault="00766D44" w:rsidP="002F1F66">
            <w:pPr>
              <w:pStyle w:val="TableTextS5"/>
              <w:spacing w:before="0" w:after="20"/>
              <w:rPr>
                <w:color w:val="000000"/>
                <w:lang w:val="fr-CH"/>
              </w:rPr>
            </w:pPr>
            <w:r w:rsidRPr="00015CFF">
              <w:rPr>
                <w:color w:val="000000"/>
                <w:lang w:val="fr-CH"/>
              </w:rPr>
              <w:tab/>
            </w:r>
            <w:r w:rsidRPr="00015CFF">
              <w:rPr>
                <w:color w:val="000000"/>
                <w:lang w:val="fr-CH"/>
              </w:rPr>
              <w:tab/>
            </w:r>
            <w:r w:rsidRPr="00015CFF">
              <w:rPr>
                <w:color w:val="000000"/>
                <w:lang w:val="fr-CH"/>
              </w:rPr>
              <w:tab/>
            </w:r>
            <w:r w:rsidRPr="00015CFF">
              <w:rPr>
                <w:color w:val="000000"/>
                <w:lang w:val="fr-CH"/>
              </w:rPr>
              <w:tab/>
              <w:t>RADIONAVIGATION</w:t>
            </w:r>
          </w:p>
          <w:p w14:paraId="235CC525" w14:textId="77777777" w:rsidR="007132E2" w:rsidRPr="00015CFF" w:rsidRDefault="00766D44" w:rsidP="002F1F66">
            <w:pPr>
              <w:pStyle w:val="TableTextS5"/>
              <w:spacing w:before="0" w:after="20"/>
              <w:rPr>
                <w:color w:val="000000"/>
                <w:lang w:val="fr-CH"/>
              </w:rPr>
            </w:pPr>
            <w:r w:rsidRPr="00015CFF">
              <w:rPr>
                <w:color w:val="000000"/>
                <w:lang w:val="fr-CH"/>
              </w:rPr>
              <w:tab/>
            </w:r>
            <w:r w:rsidRPr="00015CFF">
              <w:rPr>
                <w:color w:val="000000"/>
                <w:lang w:val="fr-CH"/>
              </w:rPr>
              <w:tab/>
            </w:r>
            <w:r w:rsidRPr="00015CFF">
              <w:rPr>
                <w:color w:val="000000"/>
                <w:lang w:val="fr-CH"/>
              </w:rPr>
              <w:tab/>
            </w:r>
            <w:r w:rsidRPr="00015CFF">
              <w:rPr>
                <w:color w:val="000000"/>
                <w:lang w:val="fr-CH"/>
              </w:rPr>
              <w:tab/>
              <w:t>RADIONAVIGATION PAR SATELLITE</w:t>
            </w:r>
          </w:p>
          <w:p w14:paraId="3903F096" w14:textId="77777777" w:rsidR="007132E2" w:rsidRPr="00015CFF" w:rsidRDefault="00766D44" w:rsidP="002F1F66">
            <w:pPr>
              <w:pStyle w:val="TableTextS5"/>
              <w:spacing w:before="0"/>
              <w:rPr>
                <w:color w:val="000000"/>
                <w:lang w:val="fr-CH"/>
              </w:rPr>
            </w:pPr>
            <w:r w:rsidRPr="00015CFF">
              <w:rPr>
                <w:color w:val="000000"/>
                <w:lang w:val="fr-CH"/>
              </w:rPr>
              <w:tab/>
            </w:r>
            <w:r w:rsidRPr="00015CFF">
              <w:rPr>
                <w:color w:val="000000"/>
                <w:lang w:val="fr-CH"/>
              </w:rPr>
              <w:tab/>
            </w:r>
            <w:r w:rsidRPr="00015CFF">
              <w:rPr>
                <w:color w:val="000000"/>
                <w:lang w:val="fr-CH"/>
              </w:rPr>
              <w:tab/>
            </w:r>
            <w:r w:rsidRPr="00015CFF">
              <w:rPr>
                <w:color w:val="000000"/>
                <w:lang w:val="fr-CH"/>
              </w:rPr>
              <w:tab/>
            </w:r>
            <w:r w:rsidRPr="00015CFF">
              <w:rPr>
                <w:rStyle w:val="Artref"/>
                <w:color w:val="000000"/>
                <w:lang w:val="fr-CH"/>
              </w:rPr>
              <w:t>5.554</w:t>
            </w:r>
          </w:p>
        </w:tc>
      </w:tr>
    </w:tbl>
    <w:p w14:paraId="6E597B98" w14:textId="123C7455" w:rsidR="006E445A" w:rsidRPr="00015CFF" w:rsidRDefault="00766D44" w:rsidP="002F1F66">
      <w:pPr>
        <w:pStyle w:val="Reasons"/>
        <w:rPr>
          <w:lang w:val="fr-CH"/>
        </w:rPr>
      </w:pPr>
      <w:r w:rsidRPr="00015CFF">
        <w:rPr>
          <w:b/>
          <w:lang w:val="fr-CH"/>
        </w:rPr>
        <w:t>Motifs:</w:t>
      </w:r>
      <w:r w:rsidRPr="00015CFF">
        <w:rPr>
          <w:lang w:val="fr-CH"/>
        </w:rPr>
        <w:tab/>
      </w:r>
      <w:r w:rsidR="00B97C74" w:rsidRPr="00015CFF">
        <w:rPr>
          <w:lang w:val="fr-CH"/>
        </w:rPr>
        <w:t xml:space="preserve">Les </w:t>
      </w:r>
      <w:r w:rsidR="00DF0FF6" w:rsidRPr="00015CFF">
        <w:rPr>
          <w:lang w:val="fr-CH"/>
        </w:rPr>
        <w:t>Administrations</w:t>
      </w:r>
      <w:r w:rsidR="00B97C74" w:rsidRPr="00015CFF">
        <w:rPr>
          <w:lang w:val="fr-CH"/>
        </w:rPr>
        <w:t xml:space="preserve"> de la SADC sont favorables à l</w:t>
      </w:r>
      <w:r w:rsidR="002F1F66" w:rsidRPr="00015CFF">
        <w:rPr>
          <w:lang w:val="fr-CH"/>
        </w:rPr>
        <w:t>'</w:t>
      </w:r>
      <w:r w:rsidR="00B97C74" w:rsidRPr="00015CFF">
        <w:rPr>
          <w:lang w:val="fr-CH"/>
        </w:rPr>
        <w:t>identification de la bande 66</w:t>
      </w:r>
      <w:r w:rsidR="002F1F66" w:rsidRPr="00015CFF">
        <w:rPr>
          <w:lang w:val="fr-CH"/>
        </w:rPr>
        <w:noBreakHyphen/>
      </w:r>
      <w:r w:rsidR="00B97C74" w:rsidRPr="00015CFF">
        <w:rPr>
          <w:lang w:val="fr-CH"/>
        </w:rPr>
        <w:t>71</w:t>
      </w:r>
      <w:r w:rsidR="002F1F66" w:rsidRPr="00015CFF">
        <w:rPr>
          <w:lang w:val="fr-CH"/>
        </w:rPr>
        <w:t> </w:t>
      </w:r>
      <w:r w:rsidR="00B97C74" w:rsidRPr="00015CFF">
        <w:rPr>
          <w:lang w:val="fr-CH"/>
        </w:rPr>
        <w:t>GHz pour les IMT et à l</w:t>
      </w:r>
      <w:r w:rsidR="002F1F66" w:rsidRPr="00015CFF">
        <w:rPr>
          <w:lang w:val="fr-CH"/>
        </w:rPr>
        <w:t>'</w:t>
      </w:r>
      <w:r w:rsidR="00B97C74" w:rsidRPr="00015CFF">
        <w:rPr>
          <w:lang w:val="fr-CH"/>
        </w:rPr>
        <w:t>adoption d</w:t>
      </w:r>
      <w:r w:rsidR="002F1F66" w:rsidRPr="00015CFF">
        <w:rPr>
          <w:lang w:val="fr-CH"/>
        </w:rPr>
        <w:t>'</w:t>
      </w:r>
      <w:r w:rsidR="00B97C74" w:rsidRPr="00015CFF">
        <w:rPr>
          <w:lang w:val="fr-CH"/>
        </w:rPr>
        <w:t>une nouvelle Résolution demandant de nouvelles études afin d</w:t>
      </w:r>
      <w:r w:rsidR="002F1F66" w:rsidRPr="00015CFF">
        <w:rPr>
          <w:lang w:val="fr-CH"/>
        </w:rPr>
        <w:t>'</w:t>
      </w:r>
      <w:r w:rsidR="00B97C74" w:rsidRPr="00015CFF">
        <w:rPr>
          <w:lang w:val="fr-CH"/>
        </w:rPr>
        <w:t xml:space="preserve">assurer la </w:t>
      </w:r>
      <w:r w:rsidR="00F71B93" w:rsidRPr="00015CFF">
        <w:rPr>
          <w:lang w:val="fr-CH"/>
        </w:rPr>
        <w:t>coexistence</w:t>
      </w:r>
      <w:r w:rsidR="00B97C74" w:rsidRPr="00015CFF">
        <w:rPr>
          <w:lang w:val="fr-CH"/>
        </w:rPr>
        <w:t xml:space="preserve"> entre les IMT et les systèmes MGWS et d</w:t>
      </w:r>
      <w:r w:rsidR="002F1F66" w:rsidRPr="00015CFF">
        <w:rPr>
          <w:lang w:val="fr-CH"/>
        </w:rPr>
        <w:t>'</w:t>
      </w:r>
      <w:r w:rsidR="00B97C74" w:rsidRPr="00015CFF">
        <w:rPr>
          <w:lang w:val="fr-CH"/>
        </w:rPr>
        <w:t xml:space="preserve">autres systèmes WAS. La modification du renvoi </w:t>
      </w:r>
      <w:r w:rsidR="00B97C74" w:rsidRPr="00015CFF">
        <w:rPr>
          <w:b/>
          <w:bCs/>
          <w:lang w:val="fr-CH"/>
        </w:rPr>
        <w:t>5.553</w:t>
      </w:r>
      <w:r w:rsidR="00B97C74" w:rsidRPr="00015CFF">
        <w:rPr>
          <w:lang w:val="fr-CH"/>
        </w:rPr>
        <w:t xml:space="preserve"> du RR est également nécessaire pour supprimer la bande 66</w:t>
      </w:r>
      <w:r w:rsidR="002F1F66" w:rsidRPr="00015CFF">
        <w:rPr>
          <w:lang w:val="fr-CH"/>
        </w:rPr>
        <w:noBreakHyphen/>
      </w:r>
      <w:r w:rsidR="00B97C74" w:rsidRPr="00015CFF">
        <w:rPr>
          <w:lang w:val="fr-CH"/>
        </w:rPr>
        <w:t>71</w:t>
      </w:r>
      <w:r w:rsidR="002F1F66" w:rsidRPr="00015CFF">
        <w:rPr>
          <w:lang w:val="fr-CH"/>
        </w:rPr>
        <w:t> </w:t>
      </w:r>
      <w:r w:rsidR="00B97C74" w:rsidRPr="00015CFF">
        <w:rPr>
          <w:lang w:val="fr-CH"/>
        </w:rPr>
        <w:t>GHz de ce renvoi</w:t>
      </w:r>
      <w:r w:rsidR="00DF0FF6" w:rsidRPr="00015CFF">
        <w:rPr>
          <w:lang w:val="fr-CH"/>
        </w:rPr>
        <w:t>.</w:t>
      </w:r>
    </w:p>
    <w:p w14:paraId="79E7676F" w14:textId="2DF2F3DE" w:rsidR="006E445A" w:rsidRPr="00015CFF" w:rsidRDefault="00766D44" w:rsidP="002F1F66">
      <w:pPr>
        <w:pStyle w:val="Proposal"/>
        <w:rPr>
          <w:lang w:val="fr-CH"/>
        </w:rPr>
      </w:pPr>
      <w:r w:rsidRPr="00015CFF">
        <w:rPr>
          <w:lang w:val="fr-CH"/>
        </w:rPr>
        <w:t>ADD</w:t>
      </w:r>
      <w:r w:rsidRPr="00015CFF">
        <w:rPr>
          <w:lang w:val="fr-CH"/>
        </w:rPr>
        <w:tab/>
        <w:t>AGL/BOT/</w:t>
      </w:r>
      <w:r w:rsidR="002F1F66" w:rsidRPr="00015CFF">
        <w:rPr>
          <w:lang w:val="fr-CH"/>
        </w:rPr>
        <w:t>SWZ/</w:t>
      </w:r>
      <w:r w:rsidRPr="00015CFF">
        <w:rPr>
          <w:lang w:val="fr-CH"/>
        </w:rPr>
        <w:t>LSO/MDG/MWI/MAU/MOZ/NMB/COD/SEY/AFS</w:t>
      </w:r>
      <w:r w:rsidR="00F45363" w:rsidRPr="00015CFF">
        <w:rPr>
          <w:lang w:val="fr-CH"/>
        </w:rPr>
        <w:t>/</w:t>
      </w:r>
      <w:r w:rsidRPr="00015CFF">
        <w:rPr>
          <w:lang w:val="fr-CH"/>
        </w:rPr>
        <w:t>TZA/ZMB/ZWE/89A13A3/2</w:t>
      </w:r>
      <w:r w:rsidRPr="00015CFF">
        <w:rPr>
          <w:vanish/>
          <w:color w:val="7F7F7F" w:themeColor="text1" w:themeTint="80"/>
          <w:vertAlign w:val="superscript"/>
          <w:lang w:val="fr-CH"/>
        </w:rPr>
        <w:t>#49903</w:t>
      </w:r>
    </w:p>
    <w:p w14:paraId="3D77F8D9" w14:textId="1378144E" w:rsidR="007132E2" w:rsidRPr="00015CFF" w:rsidRDefault="00766D44" w:rsidP="002F1F66">
      <w:pPr>
        <w:pStyle w:val="Note"/>
        <w:rPr>
          <w:sz w:val="16"/>
          <w:lang w:val="fr-CH"/>
        </w:rPr>
      </w:pPr>
      <w:r w:rsidRPr="00015CFF">
        <w:rPr>
          <w:rStyle w:val="Artdef"/>
          <w:lang w:val="fr-CH"/>
        </w:rPr>
        <w:t>5.J113b</w:t>
      </w:r>
      <w:r w:rsidRPr="00015CFF">
        <w:rPr>
          <w:b/>
          <w:lang w:val="fr-CH"/>
        </w:rPr>
        <w:tab/>
      </w:r>
      <w:r w:rsidRPr="00015CFF">
        <w:rPr>
          <w:color w:val="000000"/>
          <w:lang w:val="fr-CH"/>
        </w:rPr>
        <w:t xml:space="preserve">La bande de fréquences </w:t>
      </w:r>
      <w:r w:rsidRPr="00015CFF">
        <w:rPr>
          <w:rStyle w:val="NoteChar"/>
          <w:lang w:val="fr-CH"/>
        </w:rPr>
        <w:t>66</w:t>
      </w:r>
      <w:r w:rsidR="002F1F66" w:rsidRPr="00015CFF">
        <w:rPr>
          <w:rStyle w:val="NoteChar"/>
          <w:lang w:val="fr-CH"/>
        </w:rPr>
        <w:noBreakHyphen/>
      </w:r>
      <w:r w:rsidRPr="00015CFF">
        <w:rPr>
          <w:rStyle w:val="NoteChar"/>
          <w:lang w:val="fr-CH"/>
        </w:rPr>
        <w:t>71</w:t>
      </w:r>
      <w:r w:rsidR="002F1F66" w:rsidRPr="00015CFF">
        <w:rPr>
          <w:rStyle w:val="NoteChar"/>
          <w:lang w:val="fr-CH"/>
        </w:rPr>
        <w:t> </w:t>
      </w:r>
      <w:r w:rsidRPr="00015CFF">
        <w:rPr>
          <w:rStyle w:val="NoteChar"/>
          <w:lang w:val="fr-CH"/>
        </w:rPr>
        <w:t xml:space="preserve">GHz </w:t>
      </w:r>
      <w:r w:rsidRPr="00015CFF">
        <w:rPr>
          <w:color w:val="000000"/>
          <w:lang w:val="fr-CH"/>
        </w:rPr>
        <w:t xml:space="preserve">est identifiée pour pouvoir être utilisée par les administrations souhaitant mettre en </w:t>
      </w:r>
      <w:r w:rsidR="00F71B93" w:rsidRPr="00015CFF">
        <w:rPr>
          <w:color w:val="000000"/>
          <w:lang w:val="fr-CH"/>
        </w:rPr>
        <w:t>œ</w:t>
      </w:r>
      <w:r w:rsidRPr="00015CFF">
        <w:rPr>
          <w:color w:val="000000"/>
          <w:lang w:val="fr-CH"/>
        </w:rPr>
        <w:t xml:space="preserv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w:t>
      </w:r>
      <w:r w:rsidRPr="00015CFF">
        <w:rPr>
          <w:lang w:val="fr-CH"/>
        </w:rPr>
        <w:t>L'utilisation de la bande de fréquences 66</w:t>
      </w:r>
      <w:r w:rsidR="002F1F66" w:rsidRPr="00015CFF">
        <w:rPr>
          <w:lang w:val="fr-CH"/>
        </w:rPr>
        <w:noBreakHyphen/>
      </w:r>
      <w:r w:rsidRPr="00015CFF">
        <w:rPr>
          <w:lang w:val="fr-CH"/>
        </w:rPr>
        <w:t>71</w:t>
      </w:r>
      <w:r w:rsidR="002F1F66" w:rsidRPr="00015CFF">
        <w:rPr>
          <w:lang w:val="fr-CH"/>
        </w:rPr>
        <w:t> </w:t>
      </w:r>
      <w:r w:rsidRPr="00015CFF">
        <w:rPr>
          <w:lang w:val="fr-CH"/>
        </w:rPr>
        <w:t xml:space="preserve">GHz par le service mobile est également destinée à la mise en </w:t>
      </w:r>
      <w:r w:rsidR="00491851" w:rsidRPr="00015CFF">
        <w:rPr>
          <w:lang w:val="fr-CH"/>
        </w:rPr>
        <w:t>œuvre</w:t>
      </w:r>
      <w:r w:rsidRPr="00015CFF">
        <w:rPr>
          <w:lang w:val="fr-CH"/>
        </w:rPr>
        <w:t xml:space="preserve"> des </w:t>
      </w:r>
      <w:r w:rsidR="00491851" w:rsidRPr="00015CFF">
        <w:rPr>
          <w:lang w:val="fr-CH"/>
        </w:rPr>
        <w:t xml:space="preserve">systèmes hertziens à plusieurs gigabits (MGWS) et d'autres systèmes d'accès hertzien (WAS). </w:t>
      </w:r>
      <w:r w:rsidRPr="00015CFF">
        <w:rPr>
          <w:lang w:val="fr-CH"/>
        </w:rPr>
        <w:t xml:space="preserve">La Résolution </w:t>
      </w:r>
      <w:r w:rsidRPr="00015CFF">
        <w:rPr>
          <w:b/>
          <w:bCs/>
          <w:lang w:val="fr-CH"/>
        </w:rPr>
        <w:t>[</w:t>
      </w:r>
      <w:r w:rsidR="00491851" w:rsidRPr="00015CFF">
        <w:rPr>
          <w:b/>
          <w:bCs/>
          <w:lang w:val="fr-CH"/>
        </w:rPr>
        <w:t>SADC-C113-IMT 66/71 GHZ-J2A OPTION1</w:t>
      </w:r>
      <w:r w:rsidRPr="00015CFF">
        <w:rPr>
          <w:b/>
          <w:bCs/>
          <w:lang w:val="fr-CH"/>
        </w:rPr>
        <w:t>] (CMR-19)</w:t>
      </w:r>
      <w:r w:rsidRPr="00015CFF">
        <w:rPr>
          <w:lang w:val="fr-CH"/>
        </w:rPr>
        <w:t xml:space="preserve"> </w:t>
      </w:r>
      <w:r w:rsidRPr="00015CFF">
        <w:rPr>
          <w:bCs/>
          <w:lang w:val="fr-CH"/>
        </w:rPr>
        <w:t>s'applique.</w:t>
      </w:r>
      <w:r w:rsidRPr="00015CFF">
        <w:rPr>
          <w:sz w:val="16"/>
          <w:lang w:val="fr-CH"/>
        </w:rPr>
        <w:t>     (CMR</w:t>
      </w:r>
      <w:r w:rsidRPr="00015CFF">
        <w:rPr>
          <w:sz w:val="16"/>
          <w:lang w:val="fr-CH"/>
        </w:rPr>
        <w:noBreakHyphen/>
        <w:t>19)</w:t>
      </w:r>
    </w:p>
    <w:p w14:paraId="3E92697C" w14:textId="4037FFD1" w:rsidR="006E445A" w:rsidRPr="00015CFF" w:rsidRDefault="00766D44" w:rsidP="002F1F66">
      <w:pPr>
        <w:pStyle w:val="Reasons"/>
        <w:rPr>
          <w:lang w:val="fr-CH"/>
        </w:rPr>
      </w:pPr>
      <w:r w:rsidRPr="00015CFF">
        <w:rPr>
          <w:b/>
          <w:lang w:val="fr-CH"/>
        </w:rPr>
        <w:t>Motifs:</w:t>
      </w:r>
      <w:r w:rsidRPr="00015CFF">
        <w:rPr>
          <w:lang w:val="fr-CH"/>
        </w:rPr>
        <w:tab/>
      </w:r>
      <w:r w:rsidR="00491851" w:rsidRPr="00015CFF">
        <w:rPr>
          <w:lang w:val="fr-CH"/>
        </w:rPr>
        <w:t>Les Administrations de la SADC sont favorables à l</w:t>
      </w:r>
      <w:r w:rsidR="002F1F66" w:rsidRPr="00015CFF">
        <w:rPr>
          <w:lang w:val="fr-CH"/>
        </w:rPr>
        <w:t>'</w:t>
      </w:r>
      <w:r w:rsidR="00491851" w:rsidRPr="00015CFF">
        <w:rPr>
          <w:lang w:val="fr-CH"/>
        </w:rPr>
        <w:t>identification de la bande 66</w:t>
      </w:r>
      <w:r w:rsidR="002F1F66" w:rsidRPr="00015CFF">
        <w:rPr>
          <w:lang w:val="fr-CH"/>
        </w:rPr>
        <w:noBreakHyphen/>
      </w:r>
      <w:r w:rsidR="00491851" w:rsidRPr="00015CFF">
        <w:rPr>
          <w:lang w:val="fr-CH"/>
        </w:rPr>
        <w:t>71</w:t>
      </w:r>
      <w:r w:rsidR="002F1F66" w:rsidRPr="00015CFF">
        <w:rPr>
          <w:lang w:val="fr-CH"/>
        </w:rPr>
        <w:t> </w:t>
      </w:r>
      <w:r w:rsidR="00491851" w:rsidRPr="00015CFF">
        <w:rPr>
          <w:lang w:val="fr-CH"/>
        </w:rPr>
        <w:t>GHz pour les IMT dans un nouveau renvoi (</w:t>
      </w:r>
      <w:r w:rsidR="00491851" w:rsidRPr="00015CFF">
        <w:rPr>
          <w:b/>
          <w:lang w:val="fr-CH"/>
        </w:rPr>
        <w:t>5.J113b</w:t>
      </w:r>
      <w:r w:rsidR="00491851" w:rsidRPr="00015CFF">
        <w:rPr>
          <w:lang w:val="fr-CH"/>
        </w:rPr>
        <w:t>) et à l</w:t>
      </w:r>
      <w:r w:rsidR="002F1F66" w:rsidRPr="00015CFF">
        <w:rPr>
          <w:lang w:val="fr-CH"/>
        </w:rPr>
        <w:t>'</w:t>
      </w:r>
      <w:r w:rsidR="00491851" w:rsidRPr="00015CFF">
        <w:rPr>
          <w:lang w:val="fr-CH"/>
        </w:rPr>
        <w:t>adoption d</w:t>
      </w:r>
      <w:r w:rsidR="002F1F66" w:rsidRPr="00015CFF">
        <w:rPr>
          <w:lang w:val="fr-CH"/>
        </w:rPr>
        <w:t>'</w:t>
      </w:r>
      <w:r w:rsidR="00491851" w:rsidRPr="00015CFF">
        <w:rPr>
          <w:lang w:val="fr-CH"/>
        </w:rPr>
        <w:t>une nouvelle Résolution relative à l</w:t>
      </w:r>
      <w:r w:rsidR="002F1F66" w:rsidRPr="00015CFF">
        <w:rPr>
          <w:lang w:val="fr-CH"/>
        </w:rPr>
        <w:t>'</w:t>
      </w:r>
      <w:r w:rsidR="00491851" w:rsidRPr="00015CFF">
        <w:rPr>
          <w:lang w:val="fr-CH"/>
        </w:rPr>
        <w:t xml:space="preserve">utilisation de cette bande. Les Administrations de la SADC </w:t>
      </w:r>
      <w:r w:rsidR="000A0D52" w:rsidRPr="00015CFF">
        <w:rPr>
          <w:lang w:val="fr-CH"/>
        </w:rPr>
        <w:t>sont</w:t>
      </w:r>
      <w:r w:rsidR="00491851" w:rsidRPr="00015CFF">
        <w:rPr>
          <w:lang w:val="fr-CH"/>
        </w:rPr>
        <w:t xml:space="preserve"> favorable</w:t>
      </w:r>
      <w:r w:rsidR="000A0D52" w:rsidRPr="00015CFF">
        <w:rPr>
          <w:lang w:val="fr-CH"/>
        </w:rPr>
        <w:t>s</w:t>
      </w:r>
      <w:r w:rsidR="00491851" w:rsidRPr="00015CFF">
        <w:rPr>
          <w:lang w:val="fr-CH"/>
        </w:rPr>
        <w:t xml:space="preserve"> à l'utilisation de la bande 66</w:t>
      </w:r>
      <w:r w:rsidR="002F1F66" w:rsidRPr="00015CFF">
        <w:rPr>
          <w:lang w:val="fr-CH"/>
        </w:rPr>
        <w:noBreakHyphen/>
      </w:r>
      <w:r w:rsidR="00491851" w:rsidRPr="00015CFF">
        <w:rPr>
          <w:lang w:val="fr-CH"/>
        </w:rPr>
        <w:t>71</w:t>
      </w:r>
      <w:r w:rsidR="002F1F66" w:rsidRPr="00015CFF">
        <w:rPr>
          <w:lang w:val="fr-CH"/>
        </w:rPr>
        <w:t> </w:t>
      </w:r>
      <w:r w:rsidR="00491851" w:rsidRPr="00015CFF">
        <w:rPr>
          <w:lang w:val="fr-CH"/>
        </w:rPr>
        <w:t>GHz pour les IMT et les systèmes MGWS et d'autres systèmes WAS</w:t>
      </w:r>
      <w:r w:rsidR="00DF0FF6" w:rsidRPr="00015CFF">
        <w:rPr>
          <w:lang w:val="fr-CH"/>
        </w:rPr>
        <w:t>.</w:t>
      </w:r>
    </w:p>
    <w:p w14:paraId="11E58CEC" w14:textId="0BB4F69A" w:rsidR="006E445A" w:rsidRPr="00015CFF" w:rsidRDefault="00766D44" w:rsidP="002F1F66">
      <w:pPr>
        <w:pStyle w:val="Proposal"/>
        <w:rPr>
          <w:lang w:val="fr-CH"/>
        </w:rPr>
      </w:pPr>
      <w:r w:rsidRPr="00015CFF">
        <w:rPr>
          <w:lang w:val="fr-CH"/>
        </w:rPr>
        <w:t>MOD</w:t>
      </w:r>
      <w:r w:rsidRPr="00015CFF">
        <w:rPr>
          <w:lang w:val="fr-CH"/>
        </w:rPr>
        <w:tab/>
        <w:t>AGL/BOT/</w:t>
      </w:r>
      <w:r w:rsidR="002F1F66" w:rsidRPr="00015CFF">
        <w:rPr>
          <w:lang w:val="fr-CH"/>
        </w:rPr>
        <w:t>SWZ/</w:t>
      </w:r>
      <w:r w:rsidRPr="00015CFF">
        <w:rPr>
          <w:lang w:val="fr-CH"/>
        </w:rPr>
        <w:t>LSO/MDG/MWI/MAU/MOZ/NMB/COD/SEY/AFS</w:t>
      </w:r>
      <w:r w:rsidR="000A0D52" w:rsidRPr="00015CFF">
        <w:rPr>
          <w:lang w:val="fr-CH"/>
        </w:rPr>
        <w:t>/</w:t>
      </w:r>
      <w:r w:rsidRPr="00015CFF">
        <w:rPr>
          <w:lang w:val="fr-CH"/>
        </w:rPr>
        <w:t>TZA/ZMB/ZWE/89A13A3/3</w:t>
      </w:r>
      <w:r w:rsidRPr="00015CFF">
        <w:rPr>
          <w:vanish/>
          <w:color w:val="7F7F7F" w:themeColor="text1" w:themeTint="80"/>
          <w:vertAlign w:val="superscript"/>
          <w:lang w:val="fr-CH"/>
        </w:rPr>
        <w:t>#49906</w:t>
      </w:r>
    </w:p>
    <w:p w14:paraId="2E5BE92A" w14:textId="18E74ECC" w:rsidR="007132E2" w:rsidRPr="00015CFF" w:rsidRDefault="00766D44" w:rsidP="002F1F66">
      <w:pPr>
        <w:pStyle w:val="Note"/>
        <w:rPr>
          <w:lang w:val="fr-CH"/>
        </w:rPr>
      </w:pPr>
      <w:r w:rsidRPr="00015CFF">
        <w:rPr>
          <w:rStyle w:val="Artdef"/>
          <w:lang w:val="fr-CH"/>
        </w:rPr>
        <w:t>5.553</w:t>
      </w:r>
      <w:r w:rsidRPr="00015CFF">
        <w:rPr>
          <w:lang w:val="fr-CH"/>
        </w:rPr>
        <w:tab/>
        <w:t xml:space="preserve">Dans </w:t>
      </w:r>
      <w:del w:id="15" w:author="" w:date="2018-09-06T15:22:00Z">
        <w:r w:rsidRPr="00015CFF" w:rsidDel="00D06F0E">
          <w:rPr>
            <w:lang w:val="fr-CH"/>
          </w:rPr>
          <w:delText>les bandes</w:delText>
        </w:r>
      </w:del>
      <w:ins w:id="16" w:author="" w:date="2018-09-06T15:22:00Z">
        <w:r w:rsidRPr="00015CFF">
          <w:rPr>
            <w:lang w:val="fr-CH"/>
          </w:rPr>
          <w:t>la bande</w:t>
        </w:r>
      </w:ins>
      <w:r w:rsidRPr="00015CFF">
        <w:rPr>
          <w:lang w:val="fr-CH"/>
        </w:rPr>
        <w:t xml:space="preserve"> 43,5</w:t>
      </w:r>
      <w:r w:rsidR="002F1F66" w:rsidRPr="00015CFF">
        <w:rPr>
          <w:lang w:val="fr-CH"/>
        </w:rPr>
        <w:noBreakHyphen/>
      </w:r>
      <w:r w:rsidRPr="00015CFF">
        <w:rPr>
          <w:lang w:val="fr-CH"/>
        </w:rPr>
        <w:t>47</w:t>
      </w:r>
      <w:r w:rsidR="002F1F66" w:rsidRPr="00015CFF">
        <w:rPr>
          <w:lang w:val="fr-CH"/>
        </w:rPr>
        <w:t> </w:t>
      </w:r>
      <w:r w:rsidRPr="00015CFF">
        <w:rPr>
          <w:lang w:val="fr-CH"/>
        </w:rPr>
        <w:t>GHz</w:t>
      </w:r>
      <w:del w:id="17" w:author="" w:date="2018-09-06T15:22:00Z">
        <w:r w:rsidRPr="00015CFF" w:rsidDel="00D06F0E">
          <w:rPr>
            <w:lang w:val="fr-CH"/>
          </w:rPr>
          <w:delText xml:space="preserve"> et 66-71 GHz</w:delText>
        </w:r>
      </w:del>
      <w:r w:rsidRPr="00015CFF">
        <w:rPr>
          <w:lang w:val="fr-CH"/>
        </w:rPr>
        <w:t xml:space="preserve">, les stations du service mobile terrestre peuvent fonctionner sous réserve de ne pas causer de brouillages préjudiciables aux </w:t>
      </w:r>
      <w:r w:rsidRPr="00015CFF">
        <w:rPr>
          <w:lang w:val="fr-CH"/>
        </w:rPr>
        <w:lastRenderedPageBreak/>
        <w:t xml:space="preserve">services de radiocommunication spatiale auxquels </w:t>
      </w:r>
      <w:del w:id="18" w:author="" w:date="2018-10-01T10:41:00Z">
        <w:r w:rsidRPr="00015CFF" w:rsidDel="00C915C8">
          <w:rPr>
            <w:lang w:val="fr-CH"/>
          </w:rPr>
          <w:delText xml:space="preserve">ces bandes </w:delText>
        </w:r>
      </w:del>
      <w:del w:id="19" w:author="" w:date="2018-09-24T11:42:00Z">
        <w:r w:rsidRPr="00015CFF" w:rsidDel="00A07FF5">
          <w:rPr>
            <w:lang w:val="fr-CH"/>
          </w:rPr>
          <w:delText>sont</w:delText>
        </w:r>
      </w:del>
      <w:ins w:id="20" w:author="" w:date="2018-09-24T11:42:00Z">
        <w:r w:rsidRPr="00015CFF">
          <w:rPr>
            <w:lang w:val="fr-CH"/>
          </w:rPr>
          <w:t>cette</w:t>
        </w:r>
      </w:ins>
      <w:ins w:id="21" w:author="" w:date="2018-10-01T10:41:00Z">
        <w:r w:rsidRPr="00015CFF">
          <w:rPr>
            <w:lang w:val="fr-CH"/>
          </w:rPr>
          <w:t xml:space="preserve"> bande </w:t>
        </w:r>
      </w:ins>
      <w:ins w:id="22" w:author="" w:date="2018-09-24T11:42:00Z">
        <w:r w:rsidRPr="00015CFF">
          <w:rPr>
            <w:lang w:val="fr-CH"/>
          </w:rPr>
          <w:t>est</w:t>
        </w:r>
      </w:ins>
      <w:r w:rsidRPr="00015CFF">
        <w:rPr>
          <w:lang w:val="fr-CH"/>
        </w:rPr>
        <w:t xml:space="preserve"> attribuée</w:t>
      </w:r>
      <w:del w:id="23" w:author="" w:date="2018-09-24T11:42:00Z">
        <w:r w:rsidRPr="00015CFF" w:rsidDel="00A07FF5">
          <w:rPr>
            <w:lang w:val="fr-CH"/>
          </w:rPr>
          <w:delText>s</w:delText>
        </w:r>
      </w:del>
      <w:r w:rsidRPr="00015CFF">
        <w:rPr>
          <w:lang w:val="fr-CH"/>
        </w:rPr>
        <w:t xml:space="preserve"> (voir le numéro </w:t>
      </w:r>
      <w:r w:rsidRPr="00015CFF">
        <w:rPr>
          <w:b/>
          <w:bCs/>
          <w:lang w:val="fr-CH"/>
        </w:rPr>
        <w:t>5.43</w:t>
      </w:r>
      <w:r w:rsidRPr="00015CFF">
        <w:rPr>
          <w:lang w:val="fr-CH"/>
        </w:rPr>
        <w:t>).</w:t>
      </w:r>
      <w:r w:rsidRPr="00015CFF">
        <w:rPr>
          <w:sz w:val="16"/>
          <w:szCs w:val="16"/>
          <w:lang w:val="fr-CH"/>
        </w:rPr>
        <w:t>     (CMR</w:t>
      </w:r>
      <w:r w:rsidRPr="00015CFF">
        <w:rPr>
          <w:sz w:val="16"/>
          <w:szCs w:val="16"/>
          <w:lang w:val="fr-CH"/>
        </w:rPr>
        <w:noBreakHyphen/>
      </w:r>
      <w:del w:id="24" w:author="" w:date="2018-09-06T15:22:00Z">
        <w:r w:rsidRPr="00015CFF" w:rsidDel="00D06F0E">
          <w:rPr>
            <w:sz w:val="16"/>
            <w:szCs w:val="16"/>
            <w:lang w:val="fr-CH"/>
          </w:rPr>
          <w:delText>2000</w:delText>
        </w:r>
      </w:del>
      <w:ins w:id="25" w:author="" w:date="2018-09-06T15:22:00Z">
        <w:r w:rsidRPr="00015CFF">
          <w:rPr>
            <w:sz w:val="16"/>
            <w:szCs w:val="16"/>
            <w:lang w:val="fr-CH"/>
          </w:rPr>
          <w:t>19</w:t>
        </w:r>
      </w:ins>
      <w:r w:rsidRPr="00015CFF">
        <w:rPr>
          <w:sz w:val="16"/>
          <w:szCs w:val="16"/>
          <w:lang w:val="fr-CH"/>
        </w:rPr>
        <w:t>)</w:t>
      </w:r>
    </w:p>
    <w:p w14:paraId="170CC947" w14:textId="15F42B8B" w:rsidR="006E445A" w:rsidRPr="00015CFF" w:rsidRDefault="00766D44" w:rsidP="002F1F66">
      <w:pPr>
        <w:pStyle w:val="Reasons"/>
        <w:rPr>
          <w:lang w:val="fr-CH"/>
        </w:rPr>
      </w:pPr>
      <w:r w:rsidRPr="00015CFF">
        <w:rPr>
          <w:b/>
          <w:lang w:val="fr-CH"/>
        </w:rPr>
        <w:t>Motifs:</w:t>
      </w:r>
      <w:r w:rsidRPr="00015CFF">
        <w:rPr>
          <w:lang w:val="fr-CH"/>
        </w:rPr>
        <w:tab/>
      </w:r>
      <w:r w:rsidR="00491851" w:rsidRPr="00015CFF">
        <w:rPr>
          <w:lang w:val="fr-CH"/>
        </w:rPr>
        <w:t xml:space="preserve">Les Administrations de la SADC appuient la modification du renvoi </w:t>
      </w:r>
      <w:r w:rsidR="00491851" w:rsidRPr="00015CFF">
        <w:rPr>
          <w:b/>
          <w:bCs/>
          <w:lang w:val="fr-CH"/>
        </w:rPr>
        <w:t>5.553</w:t>
      </w:r>
      <w:r w:rsidR="00491851" w:rsidRPr="00015CFF">
        <w:rPr>
          <w:lang w:val="fr-CH"/>
        </w:rPr>
        <w:t xml:space="preserve"> du RR pour supprimer la bande de fréquences 66</w:t>
      </w:r>
      <w:r w:rsidR="002F1F66" w:rsidRPr="00015CFF">
        <w:rPr>
          <w:lang w:val="fr-CH"/>
        </w:rPr>
        <w:noBreakHyphen/>
      </w:r>
      <w:r w:rsidR="00491851" w:rsidRPr="00015CFF">
        <w:rPr>
          <w:lang w:val="fr-CH"/>
        </w:rPr>
        <w:t>71</w:t>
      </w:r>
      <w:r w:rsidR="002F1F66" w:rsidRPr="00015CFF">
        <w:rPr>
          <w:lang w:val="fr-CH"/>
        </w:rPr>
        <w:t> </w:t>
      </w:r>
      <w:r w:rsidR="00491851" w:rsidRPr="00015CFF">
        <w:rPr>
          <w:lang w:val="fr-CH"/>
        </w:rPr>
        <w:t>GHz qui y figure</w:t>
      </w:r>
      <w:r w:rsidR="000A0D52" w:rsidRPr="00015CFF">
        <w:rPr>
          <w:lang w:val="fr-CH"/>
        </w:rPr>
        <w:t>,</w:t>
      </w:r>
      <w:r w:rsidR="00491851" w:rsidRPr="00015CFF">
        <w:rPr>
          <w:lang w:val="fr-CH"/>
        </w:rPr>
        <w:t xml:space="preserve"> étant donné que les études de partage ont montré </w:t>
      </w:r>
      <w:r w:rsidR="00605F18" w:rsidRPr="00015CFF">
        <w:rPr>
          <w:lang w:val="fr-CH"/>
        </w:rPr>
        <w:t xml:space="preserve">des </w:t>
      </w:r>
      <w:r w:rsidR="00491851" w:rsidRPr="00015CFF">
        <w:rPr>
          <w:lang w:val="fr-CH"/>
        </w:rPr>
        <w:t>marges de protection</w:t>
      </w:r>
      <w:r w:rsidR="00605F18" w:rsidRPr="00015CFF">
        <w:rPr>
          <w:lang w:val="fr-CH"/>
        </w:rPr>
        <w:t xml:space="preserve"> importantes avec les services de radiocommunication spatiale</w:t>
      </w:r>
      <w:r w:rsidR="00DF0FF6" w:rsidRPr="00015CFF">
        <w:rPr>
          <w:lang w:val="fr-CH"/>
        </w:rPr>
        <w:t>.</w:t>
      </w:r>
    </w:p>
    <w:p w14:paraId="6092542D" w14:textId="6B48284B" w:rsidR="006E445A" w:rsidRPr="00015CFF" w:rsidRDefault="00766D44" w:rsidP="002F1F66">
      <w:pPr>
        <w:pStyle w:val="Proposal"/>
        <w:rPr>
          <w:lang w:val="fr-CH"/>
        </w:rPr>
      </w:pPr>
      <w:r w:rsidRPr="00015CFF">
        <w:rPr>
          <w:lang w:val="fr-CH"/>
        </w:rPr>
        <w:t>ADD</w:t>
      </w:r>
      <w:r w:rsidRPr="00015CFF">
        <w:rPr>
          <w:lang w:val="fr-CH"/>
        </w:rPr>
        <w:tab/>
        <w:t>AGL/BOT/</w:t>
      </w:r>
      <w:r w:rsidR="002F1F66" w:rsidRPr="00015CFF">
        <w:rPr>
          <w:lang w:val="fr-CH"/>
        </w:rPr>
        <w:t>SWZ/</w:t>
      </w:r>
      <w:r w:rsidRPr="00015CFF">
        <w:rPr>
          <w:lang w:val="fr-CH"/>
        </w:rPr>
        <w:t>LSO/MDG/MWI/MAU/MOZ/NMB/COD/SEY/AFS</w:t>
      </w:r>
      <w:r w:rsidR="00241C53" w:rsidRPr="00015CFF">
        <w:rPr>
          <w:lang w:val="fr-CH"/>
        </w:rPr>
        <w:t>/</w:t>
      </w:r>
      <w:r w:rsidRPr="00015CFF">
        <w:rPr>
          <w:lang w:val="fr-CH"/>
        </w:rPr>
        <w:t>TZA/ZMB/ZWE/89A13A3/4</w:t>
      </w:r>
      <w:r w:rsidRPr="00015CFF">
        <w:rPr>
          <w:vanish/>
          <w:color w:val="7F7F7F" w:themeColor="text1" w:themeTint="80"/>
          <w:vertAlign w:val="superscript"/>
          <w:lang w:val="fr-CH"/>
        </w:rPr>
        <w:t>#49928</w:t>
      </w:r>
    </w:p>
    <w:p w14:paraId="68B422B4" w14:textId="2A545FF2" w:rsidR="007132E2" w:rsidRPr="00015CFF" w:rsidRDefault="00766D44" w:rsidP="002F1F66">
      <w:pPr>
        <w:pStyle w:val="ResNo"/>
        <w:rPr>
          <w:lang w:val="fr-CH"/>
        </w:rPr>
      </w:pPr>
      <w:r w:rsidRPr="00015CFF">
        <w:rPr>
          <w:lang w:val="fr-CH"/>
        </w:rPr>
        <w:t>PROJET DE NOUVELLE RÉSOLUTION [</w:t>
      </w:r>
      <w:r w:rsidR="00DF0FF6" w:rsidRPr="00015CFF">
        <w:rPr>
          <w:lang w:val="fr-CH"/>
        </w:rPr>
        <w:t>SADC-</w:t>
      </w:r>
      <w:r w:rsidRPr="00015CFF">
        <w:rPr>
          <w:lang w:val="fr-CH"/>
        </w:rPr>
        <w:t>C113-IMT 66/71 GHZ-J2] (Cmr</w:t>
      </w:r>
      <w:r w:rsidR="002F1F66" w:rsidRPr="00015CFF">
        <w:rPr>
          <w:lang w:val="fr-CH"/>
        </w:rPr>
        <w:noBreakHyphen/>
      </w:r>
      <w:r w:rsidRPr="00015CFF">
        <w:rPr>
          <w:lang w:val="fr-CH"/>
        </w:rPr>
        <w:t>19)</w:t>
      </w:r>
    </w:p>
    <w:p w14:paraId="61A443DB" w14:textId="639BEED5" w:rsidR="007132E2" w:rsidRPr="00015CFF" w:rsidRDefault="00766D44" w:rsidP="002F1F66">
      <w:pPr>
        <w:pStyle w:val="Restitle"/>
        <w:rPr>
          <w:b w:val="0"/>
          <w:lang w:val="fr-CH"/>
        </w:rPr>
      </w:pPr>
      <w:r w:rsidRPr="00015CFF">
        <w:rPr>
          <w:lang w:val="fr-CH" w:eastAsia="ja-JP"/>
        </w:rPr>
        <w:t>Utilisation de la bande 66</w:t>
      </w:r>
      <w:r w:rsidR="002F1F66" w:rsidRPr="00015CFF">
        <w:rPr>
          <w:lang w:val="fr-CH" w:eastAsia="ja-JP"/>
        </w:rPr>
        <w:noBreakHyphen/>
      </w:r>
      <w:r w:rsidRPr="00015CFF">
        <w:rPr>
          <w:lang w:val="fr-CH" w:eastAsia="ja-JP"/>
        </w:rPr>
        <w:t>71</w:t>
      </w:r>
      <w:r w:rsidR="002F1F66" w:rsidRPr="00015CFF">
        <w:rPr>
          <w:lang w:val="fr-CH" w:eastAsia="ja-JP"/>
        </w:rPr>
        <w:t> </w:t>
      </w:r>
      <w:r w:rsidRPr="00015CFF">
        <w:rPr>
          <w:lang w:val="fr-CH" w:eastAsia="ja-JP"/>
        </w:rPr>
        <w:t xml:space="preserve">GHz pour les Télécommunication mobiles internationales (IMT) et mesures de </w:t>
      </w:r>
      <w:r w:rsidR="00F71B93" w:rsidRPr="00015CFF">
        <w:rPr>
          <w:lang w:val="fr-CH" w:eastAsia="ja-JP"/>
        </w:rPr>
        <w:t>coexistence</w:t>
      </w:r>
      <w:r w:rsidRPr="00015CFF">
        <w:rPr>
          <w:lang w:val="fr-CH" w:eastAsia="ja-JP"/>
        </w:rPr>
        <w:t xml:space="preserve"> avec les systèmes </w:t>
      </w:r>
      <w:r w:rsidRPr="00015CFF">
        <w:rPr>
          <w:lang w:val="fr-CH" w:eastAsia="ja-JP"/>
        </w:rPr>
        <w:br/>
        <w:t xml:space="preserve">hertziens à plusieurs gigabits (MGWS) et d'autres </w:t>
      </w:r>
      <w:r w:rsidRPr="00015CFF">
        <w:rPr>
          <w:lang w:val="fr-CH" w:eastAsia="ja-JP"/>
        </w:rPr>
        <w:br/>
        <w:t>systèmes d'accès hertzien (WAS)</w:t>
      </w:r>
    </w:p>
    <w:p w14:paraId="75CC1B0C" w14:textId="77777777" w:rsidR="007132E2" w:rsidRPr="00015CFF" w:rsidRDefault="00766D44" w:rsidP="002F1F66">
      <w:pPr>
        <w:pStyle w:val="Normalaftertitle"/>
        <w:rPr>
          <w:lang w:val="fr-CH"/>
        </w:rPr>
      </w:pPr>
      <w:r w:rsidRPr="00015CFF">
        <w:rPr>
          <w:lang w:val="fr-CH"/>
        </w:rPr>
        <w:t>La Conférence mondiale des radiocommunications (Charm el-Cheikh, 2019),</w:t>
      </w:r>
    </w:p>
    <w:p w14:paraId="32368A2E" w14:textId="77777777" w:rsidR="007132E2" w:rsidRPr="00015CFF" w:rsidRDefault="00766D44" w:rsidP="002F1F66">
      <w:pPr>
        <w:pStyle w:val="Call"/>
        <w:rPr>
          <w:i w:val="0"/>
          <w:lang w:val="fr-CH"/>
        </w:rPr>
      </w:pPr>
      <w:r w:rsidRPr="00015CFF">
        <w:rPr>
          <w:lang w:val="fr-CH"/>
        </w:rPr>
        <w:t>considérant</w:t>
      </w:r>
    </w:p>
    <w:p w14:paraId="715FD30F" w14:textId="77777777" w:rsidR="007132E2" w:rsidRPr="00015CFF" w:rsidRDefault="00766D44" w:rsidP="002F1F66">
      <w:pPr>
        <w:rPr>
          <w:color w:val="000000"/>
          <w:lang w:val="fr-CH"/>
        </w:rPr>
      </w:pPr>
      <w:r w:rsidRPr="00015CFF">
        <w:rPr>
          <w:i/>
          <w:lang w:val="fr-CH" w:eastAsia="ja-JP"/>
        </w:rPr>
        <w:t>a)</w:t>
      </w:r>
      <w:r w:rsidRPr="00015CFF">
        <w:rPr>
          <w:iCs/>
          <w:lang w:val="fr-CH" w:eastAsia="ja-JP"/>
        </w:rPr>
        <w:tab/>
      </w:r>
      <w:r w:rsidRPr="00015CFF">
        <w:rPr>
          <w:color w:val="000000"/>
          <w:lang w:val="fr-CH"/>
        </w:rPr>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0430EA2D" w14:textId="2CBEA43D" w:rsidR="007132E2" w:rsidRPr="00015CFF" w:rsidRDefault="00766D44" w:rsidP="002F1F66">
      <w:pPr>
        <w:rPr>
          <w:lang w:val="fr-CH"/>
        </w:rPr>
      </w:pPr>
      <w:r w:rsidRPr="00015CFF">
        <w:rPr>
          <w:i/>
          <w:iCs/>
          <w:lang w:val="fr-CH"/>
        </w:rPr>
        <w:t>b)</w:t>
      </w:r>
      <w:r w:rsidRPr="00015CFF">
        <w:rPr>
          <w:lang w:val="fr-CH"/>
        </w:rPr>
        <w:tab/>
        <w:t>que l'UIT-R étudie actuellement l'évolution des IMT;</w:t>
      </w:r>
    </w:p>
    <w:p w14:paraId="63948069" w14:textId="6DE650B1" w:rsidR="007132E2" w:rsidRPr="00015CFF" w:rsidRDefault="00766D44" w:rsidP="002F1F66">
      <w:pPr>
        <w:rPr>
          <w:lang w:val="fr-CH"/>
        </w:rPr>
      </w:pPr>
      <w:r w:rsidRPr="00015CFF">
        <w:rPr>
          <w:i/>
          <w:iCs/>
          <w:lang w:val="fr-CH"/>
        </w:rPr>
        <w:t>c)</w:t>
      </w:r>
      <w:r w:rsidRPr="00015CFF">
        <w:rPr>
          <w:lang w:val="fr-CH"/>
        </w:rPr>
        <w:tab/>
        <w:t>qu'il est vivement souhaitable d'utiliser des bandes de fréquences harmonisées à l'échelle mondiale et des dispositions de fréquences harmonisées pour les IMT et les systèmes MGWS et d'autres systèmes WAS, afin de parvenir à l'itinérance mondiale et de tirer parti des économies d'échelle;</w:t>
      </w:r>
    </w:p>
    <w:p w14:paraId="530F2199" w14:textId="5972A28A" w:rsidR="007132E2" w:rsidRPr="00015CFF" w:rsidRDefault="00766D44" w:rsidP="002F1F66">
      <w:pPr>
        <w:rPr>
          <w:lang w:val="fr-CH"/>
        </w:rPr>
      </w:pPr>
      <w:r w:rsidRPr="00015CFF">
        <w:rPr>
          <w:i/>
          <w:lang w:val="fr-CH"/>
        </w:rPr>
        <w:t>d)</w:t>
      </w:r>
      <w:r w:rsidRPr="00015CFF">
        <w:rPr>
          <w:lang w:val="fr-CH"/>
        </w:rPr>
        <w:tab/>
        <w:t>qu'il est essentiel de mettre à disposition, en temps voulu, une quantité de spectre suffisante et de prévoir des dispositions réglementaires pour atteindre les objectifs de la Recommandation UIT-R M.2083;</w:t>
      </w:r>
    </w:p>
    <w:p w14:paraId="0688C22D" w14:textId="797D2F7E" w:rsidR="007132E2" w:rsidRPr="00015CFF" w:rsidRDefault="00766D44" w:rsidP="002F1F66">
      <w:pPr>
        <w:rPr>
          <w:lang w:val="fr-CH"/>
        </w:rPr>
      </w:pPr>
      <w:r w:rsidRPr="00015CFF">
        <w:rPr>
          <w:i/>
          <w:lang w:val="fr-CH"/>
        </w:rPr>
        <w:t>e)</w:t>
      </w:r>
      <w:r w:rsidRPr="00015CFF">
        <w:rPr>
          <w:i/>
          <w:lang w:val="fr-CH"/>
        </w:rPr>
        <w:tab/>
      </w:r>
      <w:r w:rsidRPr="00015CFF">
        <w:rPr>
          <w:lang w:val="fr-CH"/>
        </w:rPr>
        <w:t>que des systèmes IMT sont envisagés pour fournir des débits de données crête et une capacité supérieurs, qui nécessiteront peut-être une plus grande largeur de bande;</w:t>
      </w:r>
    </w:p>
    <w:p w14:paraId="478DF8C9" w14:textId="2DEB0C4E" w:rsidR="007132E2" w:rsidRPr="00015CFF" w:rsidRDefault="00766D44" w:rsidP="002F1F66">
      <w:pPr>
        <w:rPr>
          <w:lang w:val="fr-CH"/>
        </w:rPr>
      </w:pPr>
      <w:r w:rsidRPr="00015CFF">
        <w:rPr>
          <w:i/>
          <w:lang w:val="fr-CH"/>
        </w:rPr>
        <w:t>f)</w:t>
      </w:r>
      <w:r w:rsidRPr="00015CFF">
        <w:rPr>
          <w:lang w:val="fr-CH"/>
        </w:rPr>
        <w:tab/>
        <w:t>que les IMT et les systèmes MGWS et d'autres systèmes WAS sont destinés à fournir des services de télécommunication dans le monde entier;</w:t>
      </w:r>
    </w:p>
    <w:p w14:paraId="2C8E18F4" w14:textId="4C5D6879" w:rsidR="007132E2" w:rsidRPr="00015CFF" w:rsidRDefault="00766D44" w:rsidP="002F1F66">
      <w:pPr>
        <w:rPr>
          <w:lang w:val="fr-CH"/>
        </w:rPr>
      </w:pPr>
      <w:r w:rsidRPr="00015CFF">
        <w:rPr>
          <w:i/>
          <w:iCs/>
          <w:lang w:val="fr-CH"/>
        </w:rPr>
        <w:t>g)</w:t>
      </w:r>
      <w:r w:rsidRPr="00015CFF">
        <w:rPr>
          <w:lang w:val="fr-CH"/>
        </w:rPr>
        <w:tab/>
        <w:t>que la bande de fréquences adjacente inférieure 57</w:t>
      </w:r>
      <w:r w:rsidR="002F1F66" w:rsidRPr="00015CFF">
        <w:rPr>
          <w:lang w:val="fr-CH"/>
        </w:rPr>
        <w:noBreakHyphen/>
      </w:r>
      <w:r w:rsidRPr="00015CFF">
        <w:rPr>
          <w:lang w:val="fr-CH"/>
        </w:rPr>
        <w:t>66</w:t>
      </w:r>
      <w:r w:rsidR="002F1F66" w:rsidRPr="00015CFF">
        <w:rPr>
          <w:lang w:val="fr-CH"/>
        </w:rPr>
        <w:t> </w:t>
      </w:r>
      <w:r w:rsidRPr="00015CFF">
        <w:rPr>
          <w:lang w:val="fr-CH"/>
        </w:rPr>
        <w:t>GHz est utilisée pour les systèmes MGWS et d'autres systèmes WAS,</w:t>
      </w:r>
    </w:p>
    <w:p w14:paraId="62600BA0" w14:textId="77777777" w:rsidR="007132E2" w:rsidRPr="00015CFF" w:rsidRDefault="00766D44" w:rsidP="002F1F66">
      <w:pPr>
        <w:pStyle w:val="Call"/>
        <w:rPr>
          <w:i w:val="0"/>
          <w:lang w:val="fr-CH"/>
        </w:rPr>
      </w:pPr>
      <w:r w:rsidRPr="00015CFF">
        <w:rPr>
          <w:lang w:val="fr-CH"/>
        </w:rPr>
        <w:t>notant</w:t>
      </w:r>
    </w:p>
    <w:p w14:paraId="19AAE1CD" w14:textId="77777777" w:rsidR="007132E2" w:rsidRPr="00015CFF" w:rsidRDefault="00766D44" w:rsidP="002F1F66">
      <w:pPr>
        <w:rPr>
          <w:iCs/>
          <w:lang w:val="fr-CH"/>
        </w:rPr>
      </w:pPr>
      <w:r w:rsidRPr="00015CFF">
        <w:rPr>
          <w:i/>
          <w:iCs/>
          <w:lang w:val="fr-CH"/>
        </w:rPr>
        <w:t>a)</w:t>
      </w:r>
      <w:r w:rsidRPr="00015CFF">
        <w:rPr>
          <w:lang w:val="fr-CH"/>
        </w:rPr>
        <w:tab/>
        <w:t>que les Résolutions </w:t>
      </w:r>
      <w:r w:rsidRPr="00015CFF">
        <w:rPr>
          <w:b/>
          <w:bCs/>
          <w:lang w:val="fr-CH"/>
        </w:rPr>
        <w:t>223 (Rév.CMR-15)</w:t>
      </w:r>
      <w:r w:rsidRPr="00015CFF">
        <w:rPr>
          <w:lang w:val="fr-CH"/>
        </w:rPr>
        <w:t xml:space="preserve">, </w:t>
      </w:r>
      <w:r w:rsidRPr="00015CFF">
        <w:rPr>
          <w:b/>
          <w:lang w:val="fr-CH"/>
        </w:rPr>
        <w:t>224 (Rév.CMR</w:t>
      </w:r>
      <w:r w:rsidRPr="00015CFF">
        <w:rPr>
          <w:b/>
          <w:lang w:val="fr-CH"/>
        </w:rPr>
        <w:noBreakHyphen/>
        <w:t>15)</w:t>
      </w:r>
      <w:r w:rsidRPr="00015CFF">
        <w:rPr>
          <w:lang w:val="fr-CH"/>
        </w:rPr>
        <w:t xml:space="preserve"> et </w:t>
      </w:r>
      <w:r w:rsidRPr="00015CFF">
        <w:rPr>
          <w:b/>
          <w:lang w:val="fr-CH"/>
        </w:rPr>
        <w:t>225 (Rév.CMR</w:t>
      </w:r>
      <w:r w:rsidRPr="00015CFF">
        <w:rPr>
          <w:b/>
          <w:lang w:val="fr-CH"/>
        </w:rPr>
        <w:noBreakHyphen/>
        <w:t>12)</w:t>
      </w:r>
      <w:r w:rsidRPr="00015CFF">
        <w:rPr>
          <w:lang w:val="fr-CH"/>
        </w:rPr>
        <w:t xml:space="preserve"> se rapportent également aux IMT;</w:t>
      </w:r>
    </w:p>
    <w:p w14:paraId="4BA545CC" w14:textId="1A1DA4C9" w:rsidR="007132E2" w:rsidRPr="00015CFF" w:rsidRDefault="00766D44" w:rsidP="002F1F66">
      <w:pPr>
        <w:rPr>
          <w:lang w:val="fr-CH"/>
        </w:rPr>
      </w:pPr>
      <w:r w:rsidRPr="00015CFF">
        <w:rPr>
          <w:i/>
          <w:iCs/>
          <w:lang w:val="fr-CH"/>
        </w:rPr>
        <w:t>b)</w:t>
      </w:r>
      <w:r w:rsidRPr="00015CFF">
        <w:rPr>
          <w:i/>
          <w:iCs/>
          <w:lang w:val="fr-CH"/>
        </w:rPr>
        <w:tab/>
      </w:r>
      <w:r w:rsidRPr="00015CFF">
        <w:rPr>
          <w:lang w:val="fr-CH"/>
        </w:rPr>
        <w:t>que la</w:t>
      </w:r>
      <w:r w:rsidRPr="00015CFF">
        <w:rPr>
          <w:i/>
          <w:iCs/>
          <w:lang w:val="fr-CH"/>
        </w:rPr>
        <w:t xml:space="preserve"> </w:t>
      </w:r>
      <w:r w:rsidRPr="00015CFF">
        <w:rPr>
          <w:iCs/>
          <w:lang w:val="fr-CH"/>
        </w:rPr>
        <w:t>Recommandation UIT-R M.2083 décrit la vision pour les IMT ainsi que le cadre et les objectifs généraux du développement futur des IMT à l'horizon 2020 et au-delà;</w:t>
      </w:r>
    </w:p>
    <w:p w14:paraId="4DEF5A92" w14:textId="13992618" w:rsidR="007132E2" w:rsidRPr="00015CFF" w:rsidRDefault="000A4AB9" w:rsidP="002F1F66">
      <w:pPr>
        <w:rPr>
          <w:lang w:val="fr-CH"/>
        </w:rPr>
      </w:pPr>
      <w:r w:rsidRPr="00015CFF">
        <w:rPr>
          <w:i/>
          <w:lang w:val="fr-CH"/>
        </w:rPr>
        <w:lastRenderedPageBreak/>
        <w:t>c</w:t>
      </w:r>
      <w:r w:rsidR="00766D44" w:rsidRPr="00015CFF">
        <w:rPr>
          <w:i/>
          <w:lang w:val="fr-CH"/>
        </w:rPr>
        <w:t>)</w:t>
      </w:r>
      <w:r w:rsidR="00766D44" w:rsidRPr="00015CFF">
        <w:rPr>
          <w:i/>
          <w:lang w:val="fr-CH"/>
        </w:rPr>
        <w:tab/>
      </w:r>
      <w:r w:rsidR="00766D44" w:rsidRPr="00015CFF">
        <w:rPr>
          <w:iCs/>
          <w:lang w:val="fr-CH"/>
        </w:rPr>
        <w:t>la</w:t>
      </w:r>
      <w:r w:rsidR="00766D44" w:rsidRPr="00015CFF">
        <w:rPr>
          <w:i/>
          <w:lang w:val="fr-CH"/>
        </w:rPr>
        <w:t xml:space="preserve"> </w:t>
      </w:r>
      <w:r w:rsidR="00766D44" w:rsidRPr="00015CFF">
        <w:rPr>
          <w:iCs/>
          <w:lang w:val="fr-CH"/>
        </w:rPr>
        <w:t xml:space="preserve">Recommandation UIT-R M.2003-2 relative aux </w:t>
      </w:r>
      <w:r w:rsidR="00766D44" w:rsidRPr="00015CFF">
        <w:rPr>
          <w:lang w:val="fr-CH"/>
        </w:rPr>
        <w:t>systèmes hertziens à plusieurs gigabits fonctionnant au voisinage de 60</w:t>
      </w:r>
      <w:r w:rsidR="002F1F66" w:rsidRPr="00015CFF">
        <w:rPr>
          <w:lang w:val="fr-CH"/>
        </w:rPr>
        <w:t> </w:t>
      </w:r>
      <w:r w:rsidR="00766D44" w:rsidRPr="00015CFF">
        <w:rPr>
          <w:lang w:val="fr-CH"/>
        </w:rPr>
        <w:t>GHz;</w:t>
      </w:r>
    </w:p>
    <w:p w14:paraId="72727E69" w14:textId="60BB63BC" w:rsidR="007132E2" w:rsidRPr="00015CFF" w:rsidRDefault="000A4AB9" w:rsidP="002F1F66">
      <w:pPr>
        <w:rPr>
          <w:color w:val="000000"/>
          <w:lang w:val="fr-CH"/>
        </w:rPr>
      </w:pPr>
      <w:r w:rsidRPr="00015CFF">
        <w:rPr>
          <w:i/>
          <w:iCs/>
          <w:lang w:val="fr-CH"/>
        </w:rPr>
        <w:t>d</w:t>
      </w:r>
      <w:r w:rsidR="00766D44" w:rsidRPr="00015CFF">
        <w:rPr>
          <w:i/>
          <w:iCs/>
          <w:lang w:val="fr-CH"/>
        </w:rPr>
        <w:t>)</w:t>
      </w:r>
      <w:r w:rsidR="00766D44" w:rsidRPr="00015CFF">
        <w:rPr>
          <w:lang w:val="fr-CH"/>
        </w:rPr>
        <w:tab/>
      </w:r>
      <w:r w:rsidR="00766D44" w:rsidRPr="00015CFF">
        <w:rPr>
          <w:color w:val="000000"/>
          <w:lang w:val="fr-CH"/>
        </w:rPr>
        <w:t xml:space="preserve">que les systèmes hertziens à plusieurs gigabits (MGWS, </w:t>
      </w:r>
      <w:r w:rsidR="00766D44" w:rsidRPr="00015CFF">
        <w:rPr>
          <w:i/>
          <w:iCs/>
          <w:color w:val="000000"/>
          <w:lang w:val="fr-CH"/>
        </w:rPr>
        <w:t>multiple gigabit wireless systems</w:t>
      </w:r>
      <w:r w:rsidR="00766D44" w:rsidRPr="00015CFF">
        <w:rPr>
          <w:color w:val="000000"/>
          <w:lang w:val="fr-CH"/>
        </w:rPr>
        <w:t>) sont largement utilisés pour des dispositifs mobiles fixes, semi-fixes (transportables) et portables, aux fins de diverses applications large bande;</w:t>
      </w:r>
    </w:p>
    <w:p w14:paraId="2D686726" w14:textId="286F8F07" w:rsidR="007132E2" w:rsidRPr="00015CFF" w:rsidRDefault="000A4AB9" w:rsidP="002F1F66">
      <w:pPr>
        <w:rPr>
          <w:lang w:val="fr-CH"/>
        </w:rPr>
      </w:pPr>
      <w:r w:rsidRPr="00015CFF">
        <w:rPr>
          <w:i/>
          <w:lang w:val="fr-CH"/>
        </w:rPr>
        <w:t>e</w:t>
      </w:r>
      <w:r w:rsidR="00766D44" w:rsidRPr="00015CFF">
        <w:rPr>
          <w:i/>
          <w:lang w:val="fr-CH"/>
        </w:rPr>
        <w:t>)</w:t>
      </w:r>
      <w:r w:rsidR="00766D44" w:rsidRPr="00015CFF">
        <w:rPr>
          <w:i/>
          <w:lang w:val="fr-CH"/>
        </w:rPr>
        <w:tab/>
      </w:r>
      <w:r w:rsidR="00766D44" w:rsidRPr="00015CFF">
        <w:rPr>
          <w:iCs/>
          <w:lang w:val="fr-CH"/>
        </w:rPr>
        <w:t xml:space="preserve">le Rapport UIT-R M.2227-2 sur l'utilisation de </w:t>
      </w:r>
      <w:r w:rsidR="00766D44" w:rsidRPr="00015CFF">
        <w:rPr>
          <w:lang w:val="fr-CH"/>
        </w:rPr>
        <w:t>systèmes hertziens à plusieurs gigabits fonctionnant au voisinage de 60</w:t>
      </w:r>
      <w:r w:rsidR="002F1F66" w:rsidRPr="00015CFF">
        <w:rPr>
          <w:lang w:val="fr-CH"/>
        </w:rPr>
        <w:t> </w:t>
      </w:r>
      <w:r w:rsidR="00766D44" w:rsidRPr="00015CFF">
        <w:rPr>
          <w:lang w:val="fr-CH"/>
        </w:rPr>
        <w:t>GHz,</w:t>
      </w:r>
    </w:p>
    <w:p w14:paraId="1949F0F4" w14:textId="77777777" w:rsidR="007132E2" w:rsidRPr="00015CFF" w:rsidRDefault="00766D44" w:rsidP="002F1F66">
      <w:pPr>
        <w:pStyle w:val="Call"/>
        <w:rPr>
          <w:lang w:val="fr-CH"/>
        </w:rPr>
      </w:pPr>
      <w:r w:rsidRPr="00015CFF">
        <w:rPr>
          <w:lang w:val="fr-CH"/>
        </w:rPr>
        <w:t>reconnaissant</w:t>
      </w:r>
    </w:p>
    <w:p w14:paraId="44AD7371" w14:textId="77777777" w:rsidR="007132E2" w:rsidRPr="00015CFF" w:rsidRDefault="00766D44" w:rsidP="002F1F66">
      <w:pPr>
        <w:rPr>
          <w:iCs/>
          <w:lang w:val="fr-CH"/>
        </w:rPr>
      </w:pPr>
      <w:r w:rsidRPr="00015CFF">
        <w:rPr>
          <w:lang w:val="fr-CH"/>
        </w:rPr>
        <w:t xml:space="preserve">que l'identification d'une bande de </w:t>
      </w:r>
      <w:bookmarkStart w:id="26" w:name="_GoBack"/>
      <w:bookmarkEnd w:id="26"/>
      <w:r w:rsidRPr="00015CFF">
        <w:rPr>
          <w:lang w:val="fr-CH"/>
        </w:rPr>
        <w:t>fréquences pour les IMT n'établit pas de priorité dans le Règlement des radiocommunications et n'exclut pas l'utilisation de cette bande de fréquences par toute application des services auxquels elle est attribuée,</w:t>
      </w:r>
    </w:p>
    <w:p w14:paraId="4D3295BC" w14:textId="77777777" w:rsidR="007132E2" w:rsidRPr="00015CFF" w:rsidRDefault="00766D44" w:rsidP="002F1F66">
      <w:pPr>
        <w:pStyle w:val="Call"/>
        <w:rPr>
          <w:i w:val="0"/>
          <w:lang w:val="fr-CH"/>
        </w:rPr>
      </w:pPr>
      <w:r w:rsidRPr="00015CFF">
        <w:rPr>
          <w:lang w:val="fr-CH"/>
        </w:rPr>
        <w:t>décide</w:t>
      </w:r>
    </w:p>
    <w:p w14:paraId="28A7256A" w14:textId="2EA53013" w:rsidR="007132E2" w:rsidRPr="00015CFF" w:rsidRDefault="00766D44" w:rsidP="002F1F66">
      <w:pPr>
        <w:rPr>
          <w:lang w:val="fr-CH"/>
        </w:rPr>
      </w:pPr>
      <w:r w:rsidRPr="00015CFF">
        <w:rPr>
          <w:lang w:val="fr-CH"/>
        </w:rPr>
        <w:t xml:space="preserve">que les administrations qui souhaitent mettre en </w:t>
      </w:r>
      <w:r w:rsidR="00F71B93" w:rsidRPr="00015CFF">
        <w:rPr>
          <w:lang w:val="fr-CH"/>
        </w:rPr>
        <w:t>œ</w:t>
      </w:r>
      <w:r w:rsidRPr="00015CFF">
        <w:rPr>
          <w:lang w:val="fr-CH"/>
        </w:rPr>
        <w:t>uvre des IMT et/ou des systèmes WAS doivent envisager d'utiliser la bande de fréquences 66</w:t>
      </w:r>
      <w:r w:rsidR="002F1F66" w:rsidRPr="00015CFF">
        <w:rPr>
          <w:lang w:val="fr-CH"/>
        </w:rPr>
        <w:noBreakHyphen/>
      </w:r>
      <w:r w:rsidRPr="00015CFF">
        <w:rPr>
          <w:lang w:val="fr-CH"/>
        </w:rPr>
        <w:t>71</w:t>
      </w:r>
      <w:r w:rsidR="002F1F66" w:rsidRPr="00015CFF">
        <w:rPr>
          <w:lang w:val="fr-CH"/>
        </w:rPr>
        <w:t> </w:t>
      </w:r>
      <w:r w:rsidRPr="00015CFF">
        <w:rPr>
          <w:lang w:val="fr-CH"/>
        </w:rPr>
        <w:t>GHz qui, conformément au numéro</w:t>
      </w:r>
      <w:r w:rsidRPr="00015CFF">
        <w:rPr>
          <w:b/>
          <w:lang w:val="fr-CH"/>
        </w:rPr>
        <w:t> 5.J113</w:t>
      </w:r>
      <w:r w:rsidR="000A4AB9" w:rsidRPr="00015CFF">
        <w:rPr>
          <w:b/>
          <w:lang w:val="fr-CH"/>
        </w:rPr>
        <w:t>b</w:t>
      </w:r>
      <w:r w:rsidRPr="00015CFF">
        <w:rPr>
          <w:bCs/>
          <w:lang w:val="fr-CH"/>
        </w:rPr>
        <w:t>,</w:t>
      </w:r>
      <w:r w:rsidRPr="00015CFF">
        <w:rPr>
          <w:lang w:val="fr-CH"/>
        </w:rPr>
        <w:t xml:space="preserve"> est identifiée pour les IMT et sert à mettre en place des systèmes WAS, et doivent tenir compte des avantages d'une utilisation harmonisée du spectre, eu égard aux versions les plus récentes des Rapports et Recommandations UIT-R pertinents (voir le point 2 du </w:t>
      </w:r>
      <w:r w:rsidRPr="00015CFF">
        <w:rPr>
          <w:i/>
          <w:iCs/>
          <w:lang w:val="fr-CH"/>
        </w:rPr>
        <w:t>invite l'UIT</w:t>
      </w:r>
      <w:r w:rsidRPr="00015CFF">
        <w:rPr>
          <w:i/>
          <w:iCs/>
          <w:lang w:val="fr-CH"/>
        </w:rPr>
        <w:noBreakHyphen/>
        <w:t>R</w:t>
      </w:r>
      <w:r w:rsidRPr="00015CFF">
        <w:rPr>
          <w:lang w:val="fr-CH"/>
        </w:rPr>
        <w:t>),</w:t>
      </w:r>
    </w:p>
    <w:p w14:paraId="22C09ADF" w14:textId="77777777" w:rsidR="007132E2" w:rsidRPr="00015CFF" w:rsidRDefault="00766D44" w:rsidP="002F1F66">
      <w:pPr>
        <w:pStyle w:val="Call"/>
        <w:rPr>
          <w:i w:val="0"/>
          <w:lang w:val="fr-CH"/>
        </w:rPr>
      </w:pPr>
      <w:r w:rsidRPr="00015CFF">
        <w:rPr>
          <w:lang w:val="fr-CH" w:eastAsia="nl-NL"/>
        </w:rPr>
        <w:t>invite l'UIT-R</w:t>
      </w:r>
    </w:p>
    <w:p w14:paraId="5202229F" w14:textId="4F465699" w:rsidR="007132E2" w:rsidRPr="00015CFF" w:rsidRDefault="00766D44" w:rsidP="002F1F66">
      <w:pPr>
        <w:rPr>
          <w:lang w:val="fr-CH"/>
        </w:rPr>
      </w:pPr>
      <w:r w:rsidRPr="00015CFF">
        <w:rPr>
          <w:lang w:val="fr-CH"/>
        </w:rPr>
        <w:t>1</w:t>
      </w:r>
      <w:r w:rsidRPr="00015CFF">
        <w:rPr>
          <w:lang w:val="fr-CH"/>
        </w:rPr>
        <w:tab/>
        <w:t>à définir des dispositions de fréquences harmonisées propres à faciliter le déploiement des IMT dans la bande de fréquences 66</w:t>
      </w:r>
      <w:r w:rsidR="002F1F66" w:rsidRPr="00015CFF">
        <w:rPr>
          <w:lang w:val="fr-CH"/>
        </w:rPr>
        <w:noBreakHyphen/>
      </w:r>
      <w:r w:rsidRPr="00015CFF">
        <w:rPr>
          <w:lang w:val="fr-CH"/>
        </w:rPr>
        <w:t>71</w:t>
      </w:r>
      <w:r w:rsidR="002F1F66" w:rsidRPr="00015CFF">
        <w:rPr>
          <w:lang w:val="fr-CH"/>
        </w:rPr>
        <w:t> </w:t>
      </w:r>
      <w:r w:rsidRPr="00015CFF">
        <w:rPr>
          <w:lang w:val="fr-CH"/>
        </w:rPr>
        <w:t>GHz;</w:t>
      </w:r>
    </w:p>
    <w:p w14:paraId="36F6FDC9" w14:textId="092D1D51" w:rsidR="007132E2" w:rsidRPr="00015CFF" w:rsidRDefault="00766D44" w:rsidP="002F1F66">
      <w:pPr>
        <w:rPr>
          <w:lang w:val="fr-CH"/>
        </w:rPr>
      </w:pPr>
      <w:r w:rsidRPr="00015CFF">
        <w:rPr>
          <w:lang w:val="fr-CH"/>
        </w:rPr>
        <w:t>2</w:t>
      </w:r>
      <w:r w:rsidRPr="00015CFF">
        <w:rPr>
          <w:lang w:val="fr-CH"/>
        </w:rPr>
        <w:tab/>
        <w:t>à élaborer des Recommandations et des Rapports de l'UIT-R qui aideront les administrations à faire en sorte que les applications et les services dans la bande de fréquences 66</w:t>
      </w:r>
      <w:r w:rsidR="002F1F66" w:rsidRPr="00015CFF">
        <w:rPr>
          <w:lang w:val="fr-CH"/>
        </w:rPr>
        <w:noBreakHyphen/>
      </w:r>
      <w:r w:rsidRPr="00015CFF">
        <w:rPr>
          <w:lang w:val="fr-CH"/>
        </w:rPr>
        <w:t xml:space="preserve">71 GHz puissent utiliser la bande d'une manière efficace, y compris la mise au point de techniques de </w:t>
      </w:r>
      <w:r w:rsidR="00F71B93" w:rsidRPr="00015CFF">
        <w:rPr>
          <w:lang w:val="fr-CH"/>
        </w:rPr>
        <w:t>coexistence</w:t>
      </w:r>
      <w:r w:rsidRPr="00015CFF">
        <w:rPr>
          <w:lang w:val="fr-CH"/>
        </w:rPr>
        <w:t xml:space="preserve"> appropriées entre les IMT et les systèmes WAS, le cas échéant</w:t>
      </w:r>
      <w:r w:rsidR="00946012" w:rsidRPr="00015CFF">
        <w:rPr>
          <w:lang w:val="fr-CH"/>
        </w:rPr>
        <w:t>.</w:t>
      </w:r>
    </w:p>
    <w:p w14:paraId="4B949A64" w14:textId="750620E7" w:rsidR="000A4AB9" w:rsidRPr="00015CFF" w:rsidRDefault="00766D44" w:rsidP="002F1F66">
      <w:pPr>
        <w:pStyle w:val="Reasons"/>
        <w:rPr>
          <w:lang w:val="fr-CH"/>
        </w:rPr>
      </w:pPr>
      <w:r w:rsidRPr="00015CFF">
        <w:rPr>
          <w:b/>
          <w:lang w:val="fr-CH"/>
        </w:rPr>
        <w:t>Motifs:</w:t>
      </w:r>
      <w:r w:rsidRPr="00015CFF">
        <w:rPr>
          <w:lang w:val="fr-CH"/>
        </w:rPr>
        <w:tab/>
      </w:r>
      <w:r w:rsidR="00BF6071" w:rsidRPr="00015CFF">
        <w:rPr>
          <w:lang w:val="fr-CH"/>
        </w:rPr>
        <w:t xml:space="preserve">Les </w:t>
      </w:r>
      <w:r w:rsidR="000A4AB9" w:rsidRPr="00015CFF">
        <w:rPr>
          <w:lang w:val="fr-CH"/>
        </w:rPr>
        <w:t xml:space="preserve">Administrations </w:t>
      </w:r>
      <w:r w:rsidR="00BF6071" w:rsidRPr="00015CFF">
        <w:rPr>
          <w:lang w:val="fr-CH"/>
        </w:rPr>
        <w:t xml:space="preserve">de la SADC appuient la nouvelle Résolution </w:t>
      </w:r>
      <w:r w:rsidR="002F1F66" w:rsidRPr="00015CFF">
        <w:rPr>
          <w:lang w:val="fr-CH"/>
        </w:rPr>
        <w:t>concernant</w:t>
      </w:r>
      <w:r w:rsidR="00BF6071" w:rsidRPr="00015CFF">
        <w:rPr>
          <w:lang w:val="fr-CH"/>
        </w:rPr>
        <w:t xml:space="preserve"> le partage entre les IMT et les systèmes MGWS et d'autres systèmes WAS dans la bande 66</w:t>
      </w:r>
      <w:r w:rsidR="002F1F66" w:rsidRPr="00015CFF">
        <w:rPr>
          <w:lang w:val="fr-CH"/>
        </w:rPr>
        <w:noBreakHyphen/>
      </w:r>
      <w:r w:rsidR="00BF6071" w:rsidRPr="00015CFF">
        <w:rPr>
          <w:lang w:val="fr-CH"/>
        </w:rPr>
        <w:t>71</w:t>
      </w:r>
      <w:r w:rsidR="002F1F66" w:rsidRPr="00015CFF">
        <w:rPr>
          <w:lang w:val="fr-CH"/>
        </w:rPr>
        <w:t> </w:t>
      </w:r>
      <w:r w:rsidR="00BF6071" w:rsidRPr="00015CFF">
        <w:rPr>
          <w:lang w:val="fr-CH"/>
        </w:rPr>
        <w:t>GHz</w:t>
      </w:r>
      <w:r w:rsidR="000A4AB9" w:rsidRPr="00015CFF">
        <w:rPr>
          <w:lang w:val="fr-CH"/>
        </w:rPr>
        <w:t>.</w:t>
      </w:r>
    </w:p>
    <w:p w14:paraId="1E44071D" w14:textId="08479753" w:rsidR="006E445A" w:rsidRPr="00015CFF" w:rsidRDefault="000A4AB9" w:rsidP="002F1F66">
      <w:pPr>
        <w:jc w:val="center"/>
        <w:rPr>
          <w:lang w:val="fr-CH"/>
        </w:rPr>
      </w:pPr>
      <w:r w:rsidRPr="00015CFF">
        <w:rPr>
          <w:lang w:val="fr-CH"/>
        </w:rPr>
        <w:t>______________</w:t>
      </w:r>
    </w:p>
    <w:sectPr w:rsidR="006E445A" w:rsidRPr="00015CF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7516" w14:textId="77777777" w:rsidR="0070076C" w:rsidRDefault="0070076C">
      <w:r>
        <w:separator/>
      </w:r>
    </w:p>
  </w:endnote>
  <w:endnote w:type="continuationSeparator" w:id="0">
    <w:p w14:paraId="5ADD9E3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0214" w14:textId="641670EE" w:rsidR="00936D25" w:rsidRDefault="00936D25">
    <w:pPr>
      <w:rPr>
        <w:lang w:val="en-US"/>
      </w:rPr>
    </w:pPr>
    <w:r>
      <w:fldChar w:fldCharType="begin"/>
    </w:r>
    <w:r>
      <w:rPr>
        <w:lang w:val="en-US"/>
      </w:rPr>
      <w:instrText xml:space="preserve"> FILENAME \p  \* MERGEFORMAT </w:instrText>
    </w:r>
    <w:r>
      <w:fldChar w:fldCharType="separate"/>
    </w:r>
    <w:r w:rsidR="00133E7B">
      <w:rPr>
        <w:noProof/>
        <w:lang w:val="en-US"/>
      </w:rPr>
      <w:t>P:\FRA\ITU-R\CONF-R\CMR19\000\089ADD13ADD03F.docx</w:t>
    </w:r>
    <w:r>
      <w:fldChar w:fldCharType="end"/>
    </w:r>
    <w:r>
      <w:rPr>
        <w:lang w:val="en-US"/>
      </w:rPr>
      <w:tab/>
    </w:r>
    <w:r>
      <w:fldChar w:fldCharType="begin"/>
    </w:r>
    <w:r>
      <w:instrText xml:space="preserve"> SAVEDATE \@ DD.MM.YY </w:instrText>
    </w:r>
    <w:r>
      <w:fldChar w:fldCharType="separate"/>
    </w:r>
    <w:r w:rsidR="00133E7B">
      <w:rPr>
        <w:noProof/>
      </w:rPr>
      <w:t>24.10.19</w:t>
    </w:r>
    <w:r>
      <w:fldChar w:fldCharType="end"/>
    </w:r>
    <w:r>
      <w:rPr>
        <w:lang w:val="en-US"/>
      </w:rPr>
      <w:tab/>
    </w:r>
    <w:r>
      <w:fldChar w:fldCharType="begin"/>
    </w:r>
    <w:r>
      <w:instrText xml:space="preserve"> PRINTDATE \@ DD.MM.YY </w:instrText>
    </w:r>
    <w:r>
      <w:fldChar w:fldCharType="separate"/>
    </w:r>
    <w:r w:rsidR="00133E7B">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9EA9" w14:textId="67AC47F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33E7B">
      <w:rPr>
        <w:lang w:val="en-US"/>
      </w:rPr>
      <w:t>P:\FRA\ITU-R\CONF-R\CMR19\000\089ADD13ADD03F.docx</w:t>
    </w:r>
    <w:r>
      <w:fldChar w:fldCharType="end"/>
    </w:r>
    <w:r w:rsidR="00DF0FF6" w:rsidRPr="004F56EF">
      <w:rPr>
        <w:lang w:val="en-GB"/>
      </w:rPr>
      <w:t xml:space="preserve"> (462209)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8A44" w14:textId="05E1BE37" w:rsidR="00DF0FF6" w:rsidRDefault="00DF0FF6" w:rsidP="00DF0FF6">
    <w:pPr>
      <w:pStyle w:val="Footer"/>
      <w:rPr>
        <w:lang w:val="en-US"/>
      </w:rPr>
    </w:pPr>
    <w:r>
      <w:fldChar w:fldCharType="begin"/>
    </w:r>
    <w:r>
      <w:rPr>
        <w:lang w:val="en-US"/>
      </w:rPr>
      <w:instrText xml:space="preserve"> FILENAME \p  \* MERGEFORMAT </w:instrText>
    </w:r>
    <w:r>
      <w:fldChar w:fldCharType="separate"/>
    </w:r>
    <w:r w:rsidR="00133E7B">
      <w:rPr>
        <w:lang w:val="en-US"/>
      </w:rPr>
      <w:t>P:\FRA\ITU-R\CONF-R\CMR19\000\089ADD13ADD03F.docx</w:t>
    </w:r>
    <w:r>
      <w:fldChar w:fldCharType="end"/>
    </w:r>
    <w:r w:rsidRPr="004F56EF">
      <w:rPr>
        <w:lang w:val="en-GB"/>
      </w:rPr>
      <w:t xml:space="preserve"> (462209)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920C" w14:textId="77777777" w:rsidR="0070076C" w:rsidRDefault="0070076C">
      <w:r>
        <w:rPr>
          <w:b/>
        </w:rPr>
        <w:t>_______________</w:t>
      </w:r>
    </w:p>
  </w:footnote>
  <w:footnote w:type="continuationSeparator" w:id="0">
    <w:p w14:paraId="40D0E4D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C9B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C19E903" w14:textId="77777777" w:rsidR="004F1F8E" w:rsidRDefault="004F1F8E" w:rsidP="00FD7AA3">
    <w:pPr>
      <w:pStyle w:val="Header"/>
    </w:pPr>
    <w:r>
      <w:t>CMR1</w:t>
    </w:r>
    <w:r w:rsidR="00FD7AA3">
      <w:t>9</w:t>
    </w:r>
    <w:r>
      <w:t>/</w:t>
    </w:r>
    <w:r w:rsidR="006A4B45">
      <w:t>89(Add.13)(Add.3)-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CFF"/>
    <w:rsid w:val="00016648"/>
    <w:rsid w:val="0003522F"/>
    <w:rsid w:val="00044179"/>
    <w:rsid w:val="00063A1F"/>
    <w:rsid w:val="00080E2C"/>
    <w:rsid w:val="00081366"/>
    <w:rsid w:val="000863B3"/>
    <w:rsid w:val="000A0D52"/>
    <w:rsid w:val="000A4755"/>
    <w:rsid w:val="000A4AB9"/>
    <w:rsid w:val="000A55AE"/>
    <w:rsid w:val="000B2E0C"/>
    <w:rsid w:val="000B3D0C"/>
    <w:rsid w:val="001167B9"/>
    <w:rsid w:val="001267A0"/>
    <w:rsid w:val="00133E7B"/>
    <w:rsid w:val="0015203F"/>
    <w:rsid w:val="00160C64"/>
    <w:rsid w:val="00162487"/>
    <w:rsid w:val="0018169B"/>
    <w:rsid w:val="0019352B"/>
    <w:rsid w:val="001960D0"/>
    <w:rsid w:val="001A11F6"/>
    <w:rsid w:val="001F17E8"/>
    <w:rsid w:val="00204306"/>
    <w:rsid w:val="00232FD2"/>
    <w:rsid w:val="00241C53"/>
    <w:rsid w:val="0026554E"/>
    <w:rsid w:val="002A4622"/>
    <w:rsid w:val="002A6F8F"/>
    <w:rsid w:val="002B17E5"/>
    <w:rsid w:val="002B19E6"/>
    <w:rsid w:val="002B2376"/>
    <w:rsid w:val="002C0EBF"/>
    <w:rsid w:val="002C28A4"/>
    <w:rsid w:val="002D5F72"/>
    <w:rsid w:val="002D7E0A"/>
    <w:rsid w:val="002F1F66"/>
    <w:rsid w:val="00315AFE"/>
    <w:rsid w:val="00337CF2"/>
    <w:rsid w:val="003606A6"/>
    <w:rsid w:val="0036650C"/>
    <w:rsid w:val="00393ACD"/>
    <w:rsid w:val="003A583E"/>
    <w:rsid w:val="003E112B"/>
    <w:rsid w:val="003E1D1C"/>
    <w:rsid w:val="003E7B05"/>
    <w:rsid w:val="003F3719"/>
    <w:rsid w:val="003F6F2D"/>
    <w:rsid w:val="00466211"/>
    <w:rsid w:val="00483196"/>
    <w:rsid w:val="004834A9"/>
    <w:rsid w:val="00491851"/>
    <w:rsid w:val="004D01FC"/>
    <w:rsid w:val="004E28C3"/>
    <w:rsid w:val="004F1F8E"/>
    <w:rsid w:val="004F56EF"/>
    <w:rsid w:val="00512A32"/>
    <w:rsid w:val="005343DA"/>
    <w:rsid w:val="0055371F"/>
    <w:rsid w:val="00560874"/>
    <w:rsid w:val="00586CF2"/>
    <w:rsid w:val="005A7C75"/>
    <w:rsid w:val="005C3768"/>
    <w:rsid w:val="005C6C3F"/>
    <w:rsid w:val="00605F18"/>
    <w:rsid w:val="00613635"/>
    <w:rsid w:val="0062093D"/>
    <w:rsid w:val="00637ECF"/>
    <w:rsid w:val="00647B59"/>
    <w:rsid w:val="00652FA7"/>
    <w:rsid w:val="00690C7B"/>
    <w:rsid w:val="006A4B45"/>
    <w:rsid w:val="006D4724"/>
    <w:rsid w:val="006E445A"/>
    <w:rsid w:val="006F5FA2"/>
    <w:rsid w:val="0070076C"/>
    <w:rsid w:val="00701BAE"/>
    <w:rsid w:val="00721F04"/>
    <w:rsid w:val="00730E95"/>
    <w:rsid w:val="007426B9"/>
    <w:rsid w:val="007611A4"/>
    <w:rsid w:val="00764342"/>
    <w:rsid w:val="00766D44"/>
    <w:rsid w:val="00774362"/>
    <w:rsid w:val="00786598"/>
    <w:rsid w:val="00790C74"/>
    <w:rsid w:val="00790E8E"/>
    <w:rsid w:val="007A04E8"/>
    <w:rsid w:val="007B2C34"/>
    <w:rsid w:val="007D1D18"/>
    <w:rsid w:val="007D20C1"/>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6012"/>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97C74"/>
    <w:rsid w:val="00BA5BD0"/>
    <w:rsid w:val="00BB1D82"/>
    <w:rsid w:val="00BD51C5"/>
    <w:rsid w:val="00BF26E7"/>
    <w:rsid w:val="00BF6071"/>
    <w:rsid w:val="00C53FCA"/>
    <w:rsid w:val="00C76BAF"/>
    <w:rsid w:val="00C814B9"/>
    <w:rsid w:val="00CD516F"/>
    <w:rsid w:val="00D119A7"/>
    <w:rsid w:val="00D25FBA"/>
    <w:rsid w:val="00D32B28"/>
    <w:rsid w:val="00D42954"/>
    <w:rsid w:val="00D66EAC"/>
    <w:rsid w:val="00D7213B"/>
    <w:rsid w:val="00D730DF"/>
    <w:rsid w:val="00D772F0"/>
    <w:rsid w:val="00D77BDC"/>
    <w:rsid w:val="00DC402B"/>
    <w:rsid w:val="00DC5833"/>
    <w:rsid w:val="00DE0932"/>
    <w:rsid w:val="00DF0FF6"/>
    <w:rsid w:val="00E03A27"/>
    <w:rsid w:val="00E049F1"/>
    <w:rsid w:val="00E37A25"/>
    <w:rsid w:val="00E537FF"/>
    <w:rsid w:val="00E6539B"/>
    <w:rsid w:val="00E70A31"/>
    <w:rsid w:val="00E723A7"/>
    <w:rsid w:val="00EA3F38"/>
    <w:rsid w:val="00EA5AB6"/>
    <w:rsid w:val="00EC7615"/>
    <w:rsid w:val="00ED16AA"/>
    <w:rsid w:val="00ED6B8D"/>
    <w:rsid w:val="00EE3D7B"/>
    <w:rsid w:val="00EF0E78"/>
    <w:rsid w:val="00EF662E"/>
    <w:rsid w:val="00F10064"/>
    <w:rsid w:val="00F148F1"/>
    <w:rsid w:val="00F45363"/>
    <w:rsid w:val="00F711A7"/>
    <w:rsid w:val="00F71B93"/>
    <w:rsid w:val="00F91BD0"/>
    <w:rsid w:val="00FA3BBF"/>
    <w:rsid w:val="00FC41F8"/>
    <w:rsid w:val="00FD7AA3"/>
    <w:rsid w:val="00FF1C40"/>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B2495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2B19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B19E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BBBF37-3A9B-4DA0-BE65-362DDDCAF078}">
  <ds:schemaRefs>
    <ds:schemaRef ds:uri="http://schemas.microsoft.com/sharepoint/v3/contenttype/forms"/>
  </ds:schemaRefs>
</ds:datastoreItem>
</file>

<file path=customXml/itemProps2.xml><?xml version="1.0" encoding="utf-8"?>
<ds:datastoreItem xmlns:ds="http://schemas.openxmlformats.org/officeDocument/2006/customXml" ds:itemID="{E178F06C-A8A4-471D-A140-75A0C67856C2}">
  <ds:schemaRefs>
    <ds:schemaRef ds:uri="996b2e75-67fd-4955-a3b0-5ab9934cb50b"/>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7B94DE51-3CB7-463D-ADCC-C3EC1255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1230</Words>
  <Characters>7419</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R16-WRC19-C-0089!A13-A3!MSW-F</vt:lpstr>
    </vt:vector>
  </TitlesOfParts>
  <Manager>Secrétariat général - Pool</Manager>
  <Company>Union internationale des télécommunications (UIT)</Company>
  <LinksUpToDate>false</LinksUpToDate>
  <CharactersWithSpaces>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R16-WRC19-C-0089!A13-A3!MSW-F</dc:title>
  <dc:subject>Conférence mondiale des radiocommunications - 2019</dc:subject>
  <dc:creator>Documents Proposals Manager (DPM)</dc:creator>
  <cp:keywords>DPM_v2019.10.15.2_prod</cp:keywords>
  <dc:description/>
  <cp:lastModifiedBy>French</cp:lastModifiedBy>
  <cp:revision>10</cp:revision>
  <cp:lastPrinted>2019-10-24T13:56:00Z</cp:lastPrinted>
  <dcterms:created xsi:type="dcterms:W3CDTF">2019-10-24T07:15:00Z</dcterms:created>
  <dcterms:modified xsi:type="dcterms:W3CDTF">2019-10-24T13:56:00Z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