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B75C1" w14:paraId="301271CC" w14:textId="77777777" w:rsidTr="007B1602">
        <w:trPr>
          <w:cantSplit/>
        </w:trPr>
        <w:tc>
          <w:tcPr>
            <w:tcW w:w="6521" w:type="dxa"/>
          </w:tcPr>
          <w:p w14:paraId="630A4BF6" w14:textId="77777777" w:rsidR="005651C9" w:rsidRPr="003B75C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B75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B75C1">
              <w:rPr>
                <w:rFonts w:ascii="Verdana" w:hAnsi="Verdana"/>
                <w:b/>
                <w:bCs/>
                <w:szCs w:val="22"/>
              </w:rPr>
              <w:t>9</w:t>
            </w:r>
            <w:r w:rsidRPr="003B75C1">
              <w:rPr>
                <w:rFonts w:ascii="Verdana" w:hAnsi="Verdana"/>
                <w:b/>
                <w:bCs/>
                <w:szCs w:val="22"/>
              </w:rPr>
              <w:t>)</w:t>
            </w: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B75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B75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B75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1D10FEFA" w14:textId="77777777" w:rsidR="005651C9" w:rsidRPr="003B75C1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B75C1">
              <w:rPr>
                <w:noProof/>
                <w:szCs w:val="22"/>
                <w:lang w:eastAsia="zh-CN"/>
              </w:rPr>
              <w:drawing>
                <wp:inline distT="0" distB="0" distL="0" distR="0" wp14:anchorId="4366291A" wp14:editId="4143A76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B75C1" w14:paraId="0EDF1125" w14:textId="77777777" w:rsidTr="007B160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EA462B2" w14:textId="77777777" w:rsidR="005651C9" w:rsidRPr="003B75C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36B1A5D" w14:textId="77777777" w:rsidR="005651C9" w:rsidRPr="003B75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B75C1" w14:paraId="5DF8C2C1" w14:textId="77777777" w:rsidTr="007B160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EA16421" w14:textId="77777777" w:rsidR="005651C9" w:rsidRPr="003B75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08AF57E" w14:textId="77777777" w:rsidR="005651C9" w:rsidRPr="003B75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B75C1" w14:paraId="5F3C434B" w14:textId="77777777" w:rsidTr="007B1602">
        <w:trPr>
          <w:cantSplit/>
        </w:trPr>
        <w:tc>
          <w:tcPr>
            <w:tcW w:w="6521" w:type="dxa"/>
          </w:tcPr>
          <w:p w14:paraId="2B545A1B" w14:textId="77777777" w:rsidR="005651C9" w:rsidRPr="003B75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75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E11782D" w14:textId="77777777" w:rsidR="005651C9" w:rsidRPr="003B75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</w:t>
            </w:r>
            <w:r w:rsidR="005651C9" w:rsidRPr="003B75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B75C1" w14:paraId="7893903D" w14:textId="77777777" w:rsidTr="007B1602">
        <w:trPr>
          <w:cantSplit/>
        </w:trPr>
        <w:tc>
          <w:tcPr>
            <w:tcW w:w="6521" w:type="dxa"/>
          </w:tcPr>
          <w:p w14:paraId="25EE7222" w14:textId="77777777" w:rsidR="000F33D8" w:rsidRPr="003B75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79D4CAE" w14:textId="77777777" w:rsidR="000F33D8" w:rsidRPr="003B75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75C1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3B75C1" w14:paraId="427BE410" w14:textId="77777777" w:rsidTr="007B1602">
        <w:trPr>
          <w:cantSplit/>
        </w:trPr>
        <w:tc>
          <w:tcPr>
            <w:tcW w:w="6521" w:type="dxa"/>
          </w:tcPr>
          <w:p w14:paraId="50117CFB" w14:textId="77777777" w:rsidR="000F33D8" w:rsidRPr="003B75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9F476BC" w14:textId="77777777" w:rsidR="000F33D8" w:rsidRPr="003B75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75C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B75C1" w14:paraId="775F1976" w14:textId="77777777" w:rsidTr="009546EA">
        <w:trPr>
          <w:cantSplit/>
        </w:trPr>
        <w:tc>
          <w:tcPr>
            <w:tcW w:w="10031" w:type="dxa"/>
            <w:gridSpan w:val="2"/>
          </w:tcPr>
          <w:p w14:paraId="25E90485" w14:textId="77777777" w:rsidR="000F33D8" w:rsidRPr="003B75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B75C1" w14:paraId="1782CCFB" w14:textId="77777777">
        <w:trPr>
          <w:cantSplit/>
        </w:trPr>
        <w:tc>
          <w:tcPr>
            <w:tcW w:w="10031" w:type="dxa"/>
            <w:gridSpan w:val="2"/>
          </w:tcPr>
          <w:p w14:paraId="1660B815" w14:textId="50304A92" w:rsidR="000F33D8" w:rsidRPr="003B75C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B75C1">
              <w:rPr>
                <w:szCs w:val="26"/>
              </w:rPr>
              <w:t>Ангола (Республика)/Ботсвана (Республика)</w:t>
            </w:r>
            <w:r w:rsidR="007B1602" w:rsidRPr="003B75C1">
              <w:rPr>
                <w:szCs w:val="26"/>
              </w:rPr>
              <w:t>/Эсватини (Королевство)</w:t>
            </w:r>
            <w:r w:rsidRPr="003B75C1">
              <w:rPr>
                <w:szCs w:val="26"/>
              </w:rPr>
              <w:t>/Лесото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</w:t>
            </w:r>
            <w:r w:rsidR="00C154B4" w:rsidRPr="003B75C1">
              <w:rPr>
                <w:szCs w:val="26"/>
              </w:rPr>
              <w:t>/</w:t>
            </w:r>
            <w:r w:rsidRPr="003B75C1">
              <w:rPr>
                <w:szCs w:val="26"/>
              </w:rPr>
              <w:t>Танзания (Объединенная Республика)/Замбия (Республика)/</w:t>
            </w:r>
            <w:r w:rsidR="007B1602" w:rsidRPr="003B75C1">
              <w:rPr>
                <w:szCs w:val="26"/>
              </w:rPr>
              <w:br/>
            </w:r>
            <w:r w:rsidRPr="003B75C1">
              <w:rPr>
                <w:szCs w:val="26"/>
              </w:rPr>
              <w:t>Зимбабве (Республика)</w:t>
            </w:r>
          </w:p>
        </w:tc>
      </w:tr>
      <w:tr w:rsidR="000F33D8" w:rsidRPr="003B75C1" w14:paraId="30A96967" w14:textId="77777777">
        <w:trPr>
          <w:cantSplit/>
        </w:trPr>
        <w:tc>
          <w:tcPr>
            <w:tcW w:w="10031" w:type="dxa"/>
            <w:gridSpan w:val="2"/>
          </w:tcPr>
          <w:p w14:paraId="0FFE7A60" w14:textId="77777777" w:rsidR="000F33D8" w:rsidRPr="003B75C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B75C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B75C1" w14:paraId="41E1B802" w14:textId="77777777">
        <w:trPr>
          <w:cantSplit/>
        </w:trPr>
        <w:tc>
          <w:tcPr>
            <w:tcW w:w="10031" w:type="dxa"/>
            <w:gridSpan w:val="2"/>
          </w:tcPr>
          <w:p w14:paraId="6E3D548E" w14:textId="77777777" w:rsidR="000F33D8" w:rsidRPr="003B75C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B75C1" w14:paraId="08AD5D37" w14:textId="77777777">
        <w:trPr>
          <w:cantSplit/>
        </w:trPr>
        <w:tc>
          <w:tcPr>
            <w:tcW w:w="10031" w:type="dxa"/>
            <w:gridSpan w:val="2"/>
          </w:tcPr>
          <w:p w14:paraId="0B5CF846" w14:textId="77777777" w:rsidR="000F33D8" w:rsidRPr="003B75C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B75C1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7DDDBAE7" w14:textId="77777777" w:rsidR="00D51940" w:rsidRPr="003B75C1" w:rsidRDefault="00C154B4" w:rsidP="007B1602">
      <w:pPr>
        <w:pStyle w:val="Normalaftertitle"/>
        <w:rPr>
          <w:szCs w:val="22"/>
        </w:rPr>
      </w:pPr>
      <w:r w:rsidRPr="003B75C1">
        <w:t>1.13</w:t>
      </w:r>
      <w:r w:rsidRPr="003B75C1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3B75C1">
        <w:rPr>
          <w:b/>
          <w:bCs/>
        </w:rPr>
        <w:t>238 (ВКР-15)</w:t>
      </w:r>
      <w:r w:rsidRPr="003B75C1">
        <w:t>;</w:t>
      </w:r>
    </w:p>
    <w:p w14:paraId="13CBABF7" w14:textId="3DC65FE2" w:rsidR="00C154B4" w:rsidRPr="003B75C1" w:rsidRDefault="006E6C37" w:rsidP="00C154B4">
      <w:pPr>
        <w:pStyle w:val="Headingb"/>
        <w:rPr>
          <w:lang w:val="ru-RU"/>
        </w:rPr>
      </w:pPr>
      <w:r w:rsidRPr="003B75C1">
        <w:rPr>
          <w:lang w:val="ru-RU"/>
        </w:rPr>
        <w:t>Введение</w:t>
      </w:r>
    </w:p>
    <w:p w14:paraId="0790F023" w14:textId="440F5D62" w:rsidR="00C154B4" w:rsidRPr="003B75C1" w:rsidRDefault="006E6C37" w:rsidP="00C154B4">
      <w:r w:rsidRPr="003B75C1">
        <w:t>Вышеперечисленные администрации Сообщества по вопросам развития юга Африки (САДК</w:t>
      </w:r>
      <w:r w:rsidR="00C154B4" w:rsidRPr="003B75C1">
        <w:t xml:space="preserve">) </w:t>
      </w:r>
      <w:r w:rsidRPr="003B75C1">
        <w:t xml:space="preserve">поддерживают определение </w:t>
      </w:r>
      <w:r w:rsidR="00C154B4" w:rsidRPr="003B75C1">
        <w:t xml:space="preserve">IMT </w:t>
      </w:r>
      <w:r w:rsidRPr="003B75C1">
        <w:t>в полосах частот</w:t>
      </w:r>
      <w:r w:rsidR="00C154B4" w:rsidRPr="003B75C1">
        <w:t xml:space="preserve"> 24,25−27,5 ГГц, 37−43,5 ГГц и 66−71 ГГц </w:t>
      </w:r>
      <w:r w:rsidRPr="003B75C1">
        <w:t>ввиду возможност</w:t>
      </w:r>
      <w:r w:rsidR="00DD0DE5" w:rsidRPr="003B75C1">
        <w:t>и</w:t>
      </w:r>
      <w:r w:rsidRPr="003B75C1">
        <w:t xml:space="preserve"> для</w:t>
      </w:r>
      <w:r w:rsidR="00C154B4" w:rsidRPr="003B75C1">
        <w:t xml:space="preserve"> </w:t>
      </w:r>
      <w:r w:rsidRPr="003B75C1">
        <w:t>согласования этих полос на международном уровне</w:t>
      </w:r>
      <w:r w:rsidR="00C154B4" w:rsidRPr="003B75C1">
        <w:t xml:space="preserve">. </w:t>
      </w:r>
      <w:r w:rsidRPr="003B75C1">
        <w:t>САДК также поддерживает определение для IMT нескольких полос в диапазоне</w:t>
      </w:r>
      <w:r w:rsidR="00C154B4" w:rsidRPr="003B75C1">
        <w:t xml:space="preserve"> </w:t>
      </w:r>
      <w:r w:rsidR="00093D0D" w:rsidRPr="003B75C1">
        <w:t xml:space="preserve">частот </w:t>
      </w:r>
      <w:r w:rsidR="00C154B4" w:rsidRPr="003B75C1">
        <w:t>50 ГГц</w:t>
      </w:r>
      <w:r w:rsidR="00DD0DE5" w:rsidRPr="003B75C1">
        <w:t>,</w:t>
      </w:r>
      <w:r w:rsidR="00C154B4" w:rsidRPr="003B75C1">
        <w:t xml:space="preserve"> </w:t>
      </w:r>
      <w:r w:rsidRPr="003B75C1">
        <w:t>поскольку эти полосы в настоящее время не и</w:t>
      </w:r>
      <w:bookmarkStart w:id="8" w:name="_GoBack"/>
      <w:bookmarkEnd w:id="8"/>
      <w:r w:rsidRPr="003B75C1">
        <w:t>спользуются администрациями САДК, а исследования показали, что технически возможно совместное использование с другими службами</w:t>
      </w:r>
      <w:r w:rsidR="00C154B4" w:rsidRPr="003B75C1">
        <w:t xml:space="preserve">. </w:t>
      </w:r>
      <w:r w:rsidRPr="003B75C1">
        <w:t xml:space="preserve">САДК не поддерживает </w:t>
      </w:r>
      <w:r w:rsidR="00DD0DE5" w:rsidRPr="003B75C1">
        <w:t xml:space="preserve">определение следующих полос для </w:t>
      </w:r>
      <w:r w:rsidR="00C154B4" w:rsidRPr="003B75C1">
        <w:t>IMT: 31,8−33,4 ГГц, 47−47,2 ГГц, 71−76 ГГц и 81−86 ГГц.</w:t>
      </w:r>
    </w:p>
    <w:p w14:paraId="5E59142D" w14:textId="1F578FA0" w:rsidR="00C154B4" w:rsidRPr="003B75C1" w:rsidRDefault="00DD0DE5" w:rsidP="00C154B4">
      <w:r w:rsidRPr="003B75C1">
        <w:t>Вышеперечисленные предложения представлены следующим образом</w:t>
      </w:r>
      <w:r w:rsidR="00C154B4" w:rsidRPr="003B75C1">
        <w:t>:</w:t>
      </w:r>
    </w:p>
    <w:p w14:paraId="1A67FBA9" w14:textId="5AB6AF89" w:rsidR="00C154B4" w:rsidRPr="003B75C1" w:rsidRDefault="00C154B4" w:rsidP="007B1602">
      <w:pPr>
        <w:pStyle w:val="enumlev1"/>
      </w:pPr>
      <w:r w:rsidRPr="003B75C1">
        <w:t>1</w:t>
      </w:r>
      <w:r w:rsidR="003B75C1">
        <w:rPr>
          <w:lang w:val="en-US"/>
        </w:rPr>
        <w:t>)</w:t>
      </w:r>
      <w:r w:rsidRPr="003B75C1">
        <w:tab/>
      </w:r>
      <w:r w:rsidR="00DD0DE5" w:rsidRPr="003B75C1">
        <w:t xml:space="preserve">полоса </w:t>
      </w:r>
      <w:r w:rsidRPr="003B75C1">
        <w:rPr>
          <w:b/>
          <w:bCs/>
        </w:rPr>
        <w:t>24,25−27,5 ГГц</w:t>
      </w:r>
      <w:r w:rsidRPr="003B75C1">
        <w:t xml:space="preserve"> – </w:t>
      </w:r>
      <w:r w:rsidR="00093D0D" w:rsidRPr="003B75C1">
        <w:t>Дополнительный</w:t>
      </w:r>
      <w:r w:rsidR="00DD0DE5" w:rsidRPr="003B75C1">
        <w:t xml:space="preserve"> документ </w:t>
      </w:r>
      <w:r w:rsidRPr="003B75C1">
        <w:t xml:space="preserve">1 </w:t>
      </w:r>
      <w:r w:rsidR="00DD0DE5" w:rsidRPr="003B75C1">
        <w:t>к Документу</w:t>
      </w:r>
      <w:r w:rsidRPr="003B75C1">
        <w:t xml:space="preserve"> 89 (</w:t>
      </w:r>
      <w:proofErr w:type="spellStart"/>
      <w:r w:rsidR="00093D0D" w:rsidRPr="003B75C1">
        <w:t>Add</w:t>
      </w:r>
      <w:proofErr w:type="spellEnd"/>
      <w:r w:rsidR="00093D0D" w:rsidRPr="003B75C1">
        <w:t>.</w:t>
      </w:r>
      <w:r w:rsidRPr="003B75C1">
        <w:t xml:space="preserve"> 13).</w:t>
      </w:r>
    </w:p>
    <w:p w14:paraId="222E38CB" w14:textId="1C3C4155" w:rsidR="00C154B4" w:rsidRPr="003B75C1" w:rsidRDefault="00C154B4" w:rsidP="007B1602">
      <w:pPr>
        <w:pStyle w:val="enumlev1"/>
      </w:pPr>
      <w:r w:rsidRPr="003B75C1">
        <w:t>2</w:t>
      </w:r>
      <w:r w:rsidR="003B75C1">
        <w:rPr>
          <w:lang w:val="en-US"/>
        </w:rPr>
        <w:t>)</w:t>
      </w:r>
      <w:r w:rsidRPr="003B75C1">
        <w:tab/>
      </w:r>
      <w:r w:rsidR="00DD0DE5" w:rsidRPr="003B75C1">
        <w:t xml:space="preserve">полоса </w:t>
      </w:r>
      <w:r w:rsidRPr="003B75C1">
        <w:rPr>
          <w:b/>
          <w:bCs/>
        </w:rPr>
        <w:t>37−43,5 ГГц</w:t>
      </w:r>
      <w:r w:rsidR="00093D0D" w:rsidRPr="003B75C1">
        <w:t xml:space="preserve"> </w:t>
      </w:r>
      <w:r w:rsidRPr="003B75C1">
        <w:t xml:space="preserve">– </w:t>
      </w:r>
      <w:r w:rsidR="00093D0D" w:rsidRPr="003B75C1">
        <w:t xml:space="preserve">Дополнительный </w:t>
      </w:r>
      <w:r w:rsidR="00DF23B0" w:rsidRPr="003B75C1">
        <w:t xml:space="preserve">документ </w:t>
      </w:r>
      <w:r w:rsidRPr="003B75C1">
        <w:t xml:space="preserve">2 </w:t>
      </w:r>
      <w:r w:rsidR="00DD0DE5" w:rsidRPr="003B75C1">
        <w:t xml:space="preserve">к Документу </w:t>
      </w:r>
      <w:r w:rsidRPr="003B75C1">
        <w:t>89 (</w:t>
      </w:r>
      <w:proofErr w:type="spellStart"/>
      <w:r w:rsidR="00093D0D" w:rsidRPr="003B75C1">
        <w:t>Add</w:t>
      </w:r>
      <w:proofErr w:type="spellEnd"/>
      <w:r w:rsidR="00093D0D" w:rsidRPr="003B75C1">
        <w:t>.</w:t>
      </w:r>
      <w:r w:rsidRPr="003B75C1">
        <w:t xml:space="preserve"> 13).</w:t>
      </w:r>
    </w:p>
    <w:p w14:paraId="624598A3" w14:textId="52DDCE8C" w:rsidR="00C154B4" w:rsidRPr="003B75C1" w:rsidRDefault="00C154B4" w:rsidP="007B1602">
      <w:pPr>
        <w:pStyle w:val="enumlev1"/>
      </w:pPr>
      <w:r w:rsidRPr="003B75C1">
        <w:t>3</w:t>
      </w:r>
      <w:r w:rsidR="003B75C1">
        <w:rPr>
          <w:lang w:val="en-US"/>
        </w:rPr>
        <w:t>)</w:t>
      </w:r>
      <w:r w:rsidRPr="003B75C1">
        <w:tab/>
      </w:r>
      <w:r w:rsidR="00DD0DE5" w:rsidRPr="003B75C1">
        <w:t xml:space="preserve">полоса </w:t>
      </w:r>
      <w:r w:rsidRPr="003B75C1">
        <w:rPr>
          <w:b/>
          <w:bCs/>
        </w:rPr>
        <w:t>66−71 ГГц</w:t>
      </w:r>
      <w:r w:rsidR="00093D0D" w:rsidRPr="003B75C1">
        <w:t xml:space="preserve"> </w:t>
      </w:r>
      <w:r w:rsidRPr="003B75C1">
        <w:t xml:space="preserve">– </w:t>
      </w:r>
      <w:r w:rsidR="00093D0D" w:rsidRPr="003B75C1">
        <w:t>Дополнительный</w:t>
      </w:r>
      <w:r w:rsidR="00DF23B0" w:rsidRPr="003B75C1">
        <w:t xml:space="preserve"> документ </w:t>
      </w:r>
      <w:r w:rsidRPr="003B75C1">
        <w:t xml:space="preserve">3 </w:t>
      </w:r>
      <w:r w:rsidR="00DD0DE5" w:rsidRPr="003B75C1">
        <w:t xml:space="preserve">к Документу </w:t>
      </w:r>
      <w:r w:rsidRPr="003B75C1">
        <w:t>89 (</w:t>
      </w:r>
      <w:proofErr w:type="spellStart"/>
      <w:r w:rsidR="00093D0D" w:rsidRPr="003B75C1">
        <w:t>Add</w:t>
      </w:r>
      <w:proofErr w:type="spellEnd"/>
      <w:r w:rsidR="00093D0D" w:rsidRPr="003B75C1">
        <w:t>.</w:t>
      </w:r>
      <w:r w:rsidRPr="003B75C1">
        <w:t xml:space="preserve"> 13).</w:t>
      </w:r>
    </w:p>
    <w:p w14:paraId="22FD9DB4" w14:textId="3C72E53C" w:rsidR="00C154B4" w:rsidRPr="003B75C1" w:rsidRDefault="00C154B4" w:rsidP="007B1602">
      <w:pPr>
        <w:pStyle w:val="enumlev1"/>
      </w:pPr>
      <w:r w:rsidRPr="003B75C1">
        <w:t>4</w:t>
      </w:r>
      <w:r w:rsidR="003B75C1">
        <w:rPr>
          <w:lang w:val="en-US"/>
        </w:rPr>
        <w:t>)</w:t>
      </w:r>
      <w:r w:rsidRPr="003B75C1">
        <w:tab/>
      </w:r>
      <w:r w:rsidR="00DD0DE5" w:rsidRPr="003B75C1">
        <w:t xml:space="preserve">полосы диапазона </w:t>
      </w:r>
      <w:r w:rsidRPr="003B75C1">
        <w:rPr>
          <w:b/>
          <w:bCs/>
        </w:rPr>
        <w:t>50 ГГц</w:t>
      </w:r>
      <w:r w:rsidR="00093D0D" w:rsidRPr="003B75C1">
        <w:t xml:space="preserve"> </w:t>
      </w:r>
      <w:r w:rsidRPr="003B75C1">
        <w:t xml:space="preserve">– </w:t>
      </w:r>
      <w:r w:rsidR="00093D0D" w:rsidRPr="003B75C1">
        <w:t>Дополнительный</w:t>
      </w:r>
      <w:r w:rsidR="00DF23B0" w:rsidRPr="003B75C1">
        <w:t xml:space="preserve"> документ </w:t>
      </w:r>
      <w:r w:rsidRPr="003B75C1">
        <w:t xml:space="preserve">4 </w:t>
      </w:r>
      <w:r w:rsidR="00DD0DE5" w:rsidRPr="003B75C1">
        <w:t xml:space="preserve">к Документу </w:t>
      </w:r>
      <w:r w:rsidRPr="003B75C1">
        <w:t>89 (</w:t>
      </w:r>
      <w:proofErr w:type="spellStart"/>
      <w:r w:rsidR="00093D0D" w:rsidRPr="003B75C1">
        <w:t>Add</w:t>
      </w:r>
      <w:proofErr w:type="spellEnd"/>
      <w:r w:rsidR="00093D0D" w:rsidRPr="003B75C1">
        <w:t>.</w:t>
      </w:r>
      <w:r w:rsidRPr="003B75C1">
        <w:t xml:space="preserve"> 13).</w:t>
      </w:r>
    </w:p>
    <w:p w14:paraId="7697B8DC" w14:textId="302878BD" w:rsidR="00C154B4" w:rsidRPr="003B75C1" w:rsidRDefault="00C154B4" w:rsidP="007B1602">
      <w:pPr>
        <w:pStyle w:val="enumlev1"/>
      </w:pPr>
      <w:r w:rsidRPr="003B75C1">
        <w:t>5</w:t>
      </w:r>
      <w:r w:rsidR="003B75C1">
        <w:rPr>
          <w:lang w:val="en-US"/>
        </w:rPr>
        <w:t>)</w:t>
      </w:r>
      <w:r w:rsidRPr="003B75C1">
        <w:tab/>
      </w:r>
      <w:r w:rsidR="00DF23B0" w:rsidRPr="003B75C1">
        <w:t>Полосы, в отношении которых поддерживается</w:t>
      </w:r>
      <w:r w:rsidRPr="003B75C1">
        <w:t xml:space="preserve"> </w:t>
      </w:r>
      <w:r w:rsidRPr="003B75C1">
        <w:rPr>
          <w:b/>
          <w:bCs/>
          <w:u w:val="single"/>
        </w:rPr>
        <w:t>NOC</w:t>
      </w:r>
      <w:r w:rsidRPr="003B75C1">
        <w:t xml:space="preserve"> – </w:t>
      </w:r>
      <w:r w:rsidR="00093D0D" w:rsidRPr="003B75C1">
        <w:t>Дополнительный</w:t>
      </w:r>
      <w:r w:rsidR="00DF23B0" w:rsidRPr="003B75C1">
        <w:t xml:space="preserve"> документ </w:t>
      </w:r>
      <w:r w:rsidRPr="003B75C1">
        <w:t xml:space="preserve">5 </w:t>
      </w:r>
      <w:r w:rsidR="00DD0DE5" w:rsidRPr="003B75C1">
        <w:t xml:space="preserve">к Документу </w:t>
      </w:r>
      <w:r w:rsidRPr="003B75C1">
        <w:t>89 (</w:t>
      </w:r>
      <w:proofErr w:type="spellStart"/>
      <w:r w:rsidR="00093D0D" w:rsidRPr="003B75C1">
        <w:t>Add</w:t>
      </w:r>
      <w:proofErr w:type="spellEnd"/>
      <w:r w:rsidR="00093D0D" w:rsidRPr="003B75C1">
        <w:t>.</w:t>
      </w:r>
      <w:r w:rsidRPr="003B75C1">
        <w:t xml:space="preserve"> 13).</w:t>
      </w:r>
    </w:p>
    <w:p w14:paraId="5785CF14" w14:textId="6E114D0C" w:rsidR="009B5CC2" w:rsidRPr="003B75C1" w:rsidRDefault="00C154B4" w:rsidP="00C154B4">
      <w:pPr>
        <w:spacing w:before="720"/>
        <w:jc w:val="center"/>
      </w:pPr>
      <w:r w:rsidRPr="003B75C1">
        <w:t>______________</w:t>
      </w:r>
    </w:p>
    <w:sectPr w:rsidR="009B5CC2" w:rsidRPr="003B75C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DE9DD" w14:textId="77777777" w:rsidR="00F1578A" w:rsidRDefault="00F1578A">
      <w:r>
        <w:separator/>
      </w:r>
    </w:p>
  </w:endnote>
  <w:endnote w:type="continuationSeparator" w:id="0">
    <w:p w14:paraId="7FD161D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3F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50E430" w14:textId="3FB298A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2CC8">
      <w:rPr>
        <w:noProof/>
        <w:lang w:val="fr-FR"/>
      </w:rPr>
      <w:t>P:\RUS\ITU-R\CONF-R\CMR19\000\089ADD13R.docx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CC8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CC8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9AC8" w14:textId="08672C25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2CC8">
      <w:rPr>
        <w:lang w:val="fr-FR"/>
      </w:rPr>
      <w:t>P:\RUS\ITU-R\CONF-R\CMR19\000\089ADD13R.docx</w:t>
    </w:r>
    <w:r>
      <w:fldChar w:fldCharType="end"/>
    </w:r>
    <w:r w:rsidR="00C154B4">
      <w:t xml:space="preserve"> (462630)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80B4" w14:textId="3CE70D89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2CC8">
      <w:rPr>
        <w:lang w:val="fr-FR"/>
      </w:rPr>
      <w:t>P:\RUS\ITU-R\CONF-R\CMR19\000\089ADD13R.docx</w:t>
    </w:r>
    <w:r>
      <w:fldChar w:fldCharType="end"/>
    </w:r>
    <w:r w:rsidR="00C154B4">
      <w:t xml:space="preserve"> (462630)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CE9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BAA22C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7920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64A443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89(Add.13)-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F26"/>
    <w:rsid w:val="000260F1"/>
    <w:rsid w:val="0003535B"/>
    <w:rsid w:val="00092CC8"/>
    <w:rsid w:val="00093D0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B75C1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D9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6C37"/>
    <w:rsid w:val="00763F4F"/>
    <w:rsid w:val="00775720"/>
    <w:rsid w:val="007917AE"/>
    <w:rsid w:val="007A08B5"/>
    <w:rsid w:val="007B1602"/>
    <w:rsid w:val="007E67B9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C97"/>
    <w:rsid w:val="00A81026"/>
    <w:rsid w:val="00A97EC0"/>
    <w:rsid w:val="00AC66E6"/>
    <w:rsid w:val="00B11A8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54B4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D0DE5"/>
    <w:rsid w:val="00DE2EBA"/>
    <w:rsid w:val="00DF23B0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49B8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136B577-A527-4DC7-A8DD-E171E9DA2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FB719-8BDD-4645-8FE7-F7D8EF216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84C17-B8DB-450D-A755-4DFEA43AFE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A11221-8A77-441C-8963-A286674AA738}">
  <ds:schemaRefs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1719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R16-WRC19-C-0089!A13!MSW-R</vt:lpstr>
    </vt:vector>
  </TitlesOfParts>
  <Manager>General Secretariat - Pool</Manager>
  <Company>International Telecommunication Union (ITU)</Company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7</cp:revision>
  <cp:lastPrinted>2019-10-27T15:15:00Z</cp:lastPrinted>
  <dcterms:created xsi:type="dcterms:W3CDTF">2019-10-26T15:29:00Z</dcterms:created>
  <dcterms:modified xsi:type="dcterms:W3CDTF">2019-10-27T15:17:00Z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