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FFFB045" w14:textId="77777777">
        <w:trPr>
          <w:cantSplit/>
        </w:trPr>
        <w:tc>
          <w:tcPr>
            <w:tcW w:w="6911" w:type="dxa"/>
          </w:tcPr>
          <w:p w14:paraId="0F459BF3"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C7C84CD"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3D321F88" wp14:editId="46F06D8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03F369B" w14:textId="77777777">
        <w:trPr>
          <w:cantSplit/>
        </w:trPr>
        <w:tc>
          <w:tcPr>
            <w:tcW w:w="6911" w:type="dxa"/>
            <w:tcBorders>
              <w:bottom w:val="single" w:sz="12" w:space="0" w:color="auto"/>
            </w:tcBorders>
          </w:tcPr>
          <w:p w14:paraId="1F1A3464"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B589454" w14:textId="77777777" w:rsidR="00A066F1" w:rsidRPr="00617BE4" w:rsidRDefault="00A066F1" w:rsidP="00A066F1">
            <w:pPr>
              <w:spacing w:before="0" w:line="240" w:lineRule="atLeast"/>
              <w:rPr>
                <w:rFonts w:ascii="Verdana" w:hAnsi="Verdana"/>
                <w:szCs w:val="24"/>
              </w:rPr>
            </w:pPr>
          </w:p>
        </w:tc>
      </w:tr>
      <w:tr w:rsidR="00A066F1" w:rsidRPr="00C324A8" w14:paraId="2642BF76" w14:textId="77777777">
        <w:trPr>
          <w:cantSplit/>
        </w:trPr>
        <w:tc>
          <w:tcPr>
            <w:tcW w:w="6911" w:type="dxa"/>
            <w:tcBorders>
              <w:top w:val="single" w:sz="12" w:space="0" w:color="auto"/>
            </w:tcBorders>
          </w:tcPr>
          <w:p w14:paraId="341E94D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441400C" w14:textId="77777777" w:rsidR="00A066F1" w:rsidRPr="00C324A8" w:rsidRDefault="00A066F1" w:rsidP="00A066F1">
            <w:pPr>
              <w:spacing w:before="0" w:line="240" w:lineRule="atLeast"/>
              <w:rPr>
                <w:rFonts w:ascii="Verdana" w:hAnsi="Verdana"/>
                <w:sz w:val="20"/>
              </w:rPr>
            </w:pPr>
          </w:p>
        </w:tc>
      </w:tr>
      <w:tr w:rsidR="00A066F1" w:rsidRPr="00C324A8" w14:paraId="503E99C4" w14:textId="77777777">
        <w:trPr>
          <w:cantSplit/>
          <w:trHeight w:val="23"/>
        </w:trPr>
        <w:tc>
          <w:tcPr>
            <w:tcW w:w="6911" w:type="dxa"/>
            <w:shd w:val="clear" w:color="auto" w:fill="auto"/>
          </w:tcPr>
          <w:p w14:paraId="69B7E70F"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4F28187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85</w:t>
            </w:r>
            <w:r w:rsidR="00A066F1" w:rsidRPr="00841216">
              <w:rPr>
                <w:rFonts w:ascii="Verdana" w:hAnsi="Verdana"/>
                <w:b/>
                <w:sz w:val="20"/>
              </w:rPr>
              <w:t>-</w:t>
            </w:r>
            <w:r w:rsidR="005E10C9" w:rsidRPr="00841216">
              <w:rPr>
                <w:rFonts w:ascii="Verdana" w:hAnsi="Verdana"/>
                <w:b/>
                <w:sz w:val="20"/>
              </w:rPr>
              <w:t>E</w:t>
            </w:r>
          </w:p>
        </w:tc>
      </w:tr>
      <w:tr w:rsidR="00A066F1" w:rsidRPr="00C324A8" w14:paraId="6EFBE35F" w14:textId="77777777">
        <w:trPr>
          <w:cantSplit/>
          <w:trHeight w:val="23"/>
        </w:trPr>
        <w:tc>
          <w:tcPr>
            <w:tcW w:w="6911" w:type="dxa"/>
            <w:shd w:val="clear" w:color="auto" w:fill="auto"/>
          </w:tcPr>
          <w:p w14:paraId="0C9DD191"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D7D679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10 October 2019</w:t>
            </w:r>
          </w:p>
        </w:tc>
      </w:tr>
      <w:tr w:rsidR="00A066F1" w:rsidRPr="00C324A8" w14:paraId="1006F1AA" w14:textId="77777777">
        <w:trPr>
          <w:cantSplit/>
          <w:trHeight w:val="23"/>
        </w:trPr>
        <w:tc>
          <w:tcPr>
            <w:tcW w:w="6911" w:type="dxa"/>
            <w:shd w:val="clear" w:color="auto" w:fill="auto"/>
          </w:tcPr>
          <w:p w14:paraId="504E9358"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1777D1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92A48A4" w14:textId="77777777" w:rsidTr="00025864">
        <w:trPr>
          <w:cantSplit/>
          <w:trHeight w:val="23"/>
        </w:trPr>
        <w:tc>
          <w:tcPr>
            <w:tcW w:w="10031" w:type="dxa"/>
            <w:gridSpan w:val="2"/>
            <w:shd w:val="clear" w:color="auto" w:fill="auto"/>
          </w:tcPr>
          <w:p w14:paraId="7571C89E" w14:textId="77777777" w:rsidR="00A066F1" w:rsidRPr="00C324A8" w:rsidRDefault="00A066F1" w:rsidP="00A066F1">
            <w:pPr>
              <w:tabs>
                <w:tab w:val="left" w:pos="993"/>
              </w:tabs>
              <w:spacing w:before="0"/>
              <w:rPr>
                <w:rFonts w:ascii="Verdana" w:hAnsi="Verdana"/>
                <w:b/>
                <w:sz w:val="20"/>
              </w:rPr>
            </w:pPr>
          </w:p>
        </w:tc>
      </w:tr>
      <w:tr w:rsidR="00E55816" w:rsidRPr="00C324A8" w14:paraId="439AA572" w14:textId="77777777" w:rsidTr="00025864">
        <w:trPr>
          <w:cantSplit/>
          <w:trHeight w:val="23"/>
        </w:trPr>
        <w:tc>
          <w:tcPr>
            <w:tcW w:w="10031" w:type="dxa"/>
            <w:gridSpan w:val="2"/>
            <w:shd w:val="clear" w:color="auto" w:fill="auto"/>
          </w:tcPr>
          <w:p w14:paraId="56317D24" w14:textId="77777777" w:rsidR="00E55816" w:rsidRDefault="00884D60" w:rsidP="00E55816">
            <w:pPr>
              <w:pStyle w:val="Source"/>
            </w:pPr>
            <w:r>
              <w:t>Iran (Islamic Republic of)</w:t>
            </w:r>
          </w:p>
        </w:tc>
      </w:tr>
      <w:tr w:rsidR="00E55816" w:rsidRPr="00C324A8" w14:paraId="407C3CFE" w14:textId="77777777" w:rsidTr="00025864">
        <w:trPr>
          <w:cantSplit/>
          <w:trHeight w:val="23"/>
        </w:trPr>
        <w:tc>
          <w:tcPr>
            <w:tcW w:w="10031" w:type="dxa"/>
            <w:gridSpan w:val="2"/>
            <w:shd w:val="clear" w:color="auto" w:fill="auto"/>
          </w:tcPr>
          <w:p w14:paraId="1EC9D850" w14:textId="77777777" w:rsidR="00E55816" w:rsidRDefault="007D5320" w:rsidP="00E55816">
            <w:pPr>
              <w:pStyle w:val="Title1"/>
            </w:pPr>
            <w:r>
              <w:t>Proposals for the work of the conference</w:t>
            </w:r>
          </w:p>
        </w:tc>
      </w:tr>
      <w:tr w:rsidR="00E55816" w:rsidRPr="00C324A8" w14:paraId="2B4B2F61" w14:textId="77777777" w:rsidTr="00025864">
        <w:trPr>
          <w:cantSplit/>
          <w:trHeight w:val="23"/>
        </w:trPr>
        <w:tc>
          <w:tcPr>
            <w:tcW w:w="10031" w:type="dxa"/>
            <w:gridSpan w:val="2"/>
            <w:shd w:val="clear" w:color="auto" w:fill="auto"/>
          </w:tcPr>
          <w:p w14:paraId="793CC47F" w14:textId="77777777" w:rsidR="00E55816" w:rsidRDefault="00E55816" w:rsidP="00E55816">
            <w:pPr>
              <w:pStyle w:val="Title2"/>
            </w:pPr>
          </w:p>
        </w:tc>
      </w:tr>
      <w:tr w:rsidR="00A538A6" w:rsidRPr="00C324A8" w14:paraId="11CC58D8" w14:textId="77777777" w:rsidTr="00025864">
        <w:trPr>
          <w:cantSplit/>
          <w:trHeight w:val="23"/>
        </w:trPr>
        <w:tc>
          <w:tcPr>
            <w:tcW w:w="10031" w:type="dxa"/>
            <w:gridSpan w:val="2"/>
            <w:shd w:val="clear" w:color="auto" w:fill="auto"/>
          </w:tcPr>
          <w:p w14:paraId="7E655DCC" w14:textId="77777777" w:rsidR="00A538A6" w:rsidRDefault="004B13CB" w:rsidP="004B13CB">
            <w:pPr>
              <w:pStyle w:val="Agendaitem"/>
            </w:pPr>
            <w:r>
              <w:t>Agenda item 1.7</w:t>
            </w:r>
          </w:p>
        </w:tc>
      </w:tr>
    </w:tbl>
    <w:bookmarkEnd w:id="6"/>
    <w:bookmarkEnd w:id="7"/>
    <w:p w14:paraId="67790226" w14:textId="77777777" w:rsidR="005118F7" w:rsidRPr="00EC5386" w:rsidRDefault="00247F6C" w:rsidP="00AB5478">
      <w:pPr>
        <w:overflowPunct/>
        <w:autoSpaceDE/>
        <w:autoSpaceDN/>
        <w:adjustRightInd/>
        <w:textAlignment w:val="auto"/>
        <w:rPr>
          <w:lang w:val="en-US"/>
        </w:rPr>
      </w:pPr>
      <w:r w:rsidRPr="00656311">
        <w:rPr>
          <w:lang w:val="en-US"/>
        </w:rPr>
        <w:t>1.7</w:t>
      </w:r>
      <w:r w:rsidRPr="00656311">
        <w:rPr>
          <w:lang w:val="en-US"/>
        </w:rPr>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656311">
        <w:rPr>
          <w:b/>
          <w:bCs/>
          <w:lang w:val="en-US"/>
        </w:rPr>
        <w:t>659 (WRC-15)</w:t>
      </w:r>
      <w:r w:rsidRPr="00656311">
        <w:rPr>
          <w:lang w:val="en-US"/>
        </w:rPr>
        <w:t>;</w:t>
      </w:r>
    </w:p>
    <w:p w14:paraId="49280141" w14:textId="77777777" w:rsidR="00187BD9" w:rsidRPr="00D31F13" w:rsidRDefault="00187BD9" w:rsidP="00187BD9">
      <w:pPr>
        <w:tabs>
          <w:tab w:val="clear" w:pos="1134"/>
          <w:tab w:val="clear" w:pos="1871"/>
          <w:tab w:val="clear" w:pos="2268"/>
        </w:tabs>
        <w:overflowPunct/>
        <w:autoSpaceDE/>
        <w:autoSpaceDN/>
        <w:adjustRightInd/>
        <w:spacing w:before="0"/>
        <w:textAlignment w:val="auto"/>
        <w:rPr>
          <w:lang w:val="en-US"/>
        </w:rPr>
      </w:pPr>
      <w:r w:rsidRPr="00D31F13">
        <w:rPr>
          <w:lang w:val="en-US"/>
        </w:rPr>
        <w:br w:type="page"/>
      </w:r>
    </w:p>
    <w:p w14:paraId="1EC4E83E" w14:textId="77777777" w:rsidR="009E7DC1" w:rsidRDefault="00247F6C">
      <w:pPr>
        <w:pStyle w:val="Proposal"/>
      </w:pPr>
      <w:r>
        <w:lastRenderedPageBreak/>
        <w:tab/>
        <w:t>IRN/85A7/1</w:t>
      </w:r>
    </w:p>
    <w:p w14:paraId="030E4CE6" w14:textId="77777777" w:rsidR="00914BE8" w:rsidRPr="009A6CD8" w:rsidRDefault="00914BE8" w:rsidP="005D315B">
      <w:pPr>
        <w:pStyle w:val="Headingb"/>
        <w:rPr>
          <w:lang w:val="en-GB" w:eastAsia="ko-KR"/>
        </w:rPr>
      </w:pPr>
      <w:r w:rsidRPr="009A6CD8">
        <w:rPr>
          <w:lang w:val="en-GB" w:eastAsia="ko-KR"/>
        </w:rPr>
        <w:t>Introduction</w:t>
      </w:r>
    </w:p>
    <w:p w14:paraId="56A8B3C6" w14:textId="4E37DF57" w:rsidR="00914BE8" w:rsidRPr="007A307E" w:rsidRDefault="00914BE8" w:rsidP="005838B2">
      <w:r w:rsidRPr="007A307E">
        <w:t xml:space="preserve">Three methods are proposed </w:t>
      </w:r>
      <w:r w:rsidR="005838B2" w:rsidRPr="007A307E">
        <w:rPr>
          <w:rPrChange w:id="8" w:author="Arnould, Carine" w:date="2019-10-14T14:31:00Z">
            <w:rPr>
              <w:highlight w:val="cyan"/>
            </w:rPr>
          </w:rPrChange>
        </w:rPr>
        <w:t>in the CPM Report</w:t>
      </w:r>
      <w:r w:rsidR="005838B2" w:rsidRPr="007A307E">
        <w:t xml:space="preserve"> </w:t>
      </w:r>
      <w:r w:rsidRPr="007A307E">
        <w:t>for agenda item 1.7:</w:t>
      </w:r>
    </w:p>
    <w:p w14:paraId="210590D2" w14:textId="77777777" w:rsidR="00914BE8" w:rsidRPr="007A307E" w:rsidRDefault="00914BE8" w:rsidP="005D315B">
      <w:pPr>
        <w:pStyle w:val="enumlev1"/>
      </w:pPr>
      <w:r w:rsidRPr="007A307E">
        <w:t>•</w:t>
      </w:r>
      <w:r w:rsidRPr="007A307E">
        <w:tab/>
        <w:t>Method A proposes no change to the Radio Regulations;</w:t>
      </w:r>
    </w:p>
    <w:p w14:paraId="6D918341" w14:textId="77777777" w:rsidR="00914BE8" w:rsidRPr="007A307E" w:rsidRDefault="00914BE8" w:rsidP="005D315B">
      <w:pPr>
        <w:pStyle w:val="enumlev1"/>
      </w:pPr>
      <w:r w:rsidRPr="007A307E">
        <w:t>•</w:t>
      </w:r>
      <w:r w:rsidRPr="007A307E">
        <w:tab/>
        <w:t>Method B1 proposes a new SOS (Earth-to-space) allocation for non-GSO SD systems in the frequency range 403-404 MHz;</w:t>
      </w:r>
    </w:p>
    <w:p w14:paraId="026552F2" w14:textId="77777777" w:rsidR="00914BE8" w:rsidRPr="007A307E" w:rsidRDefault="00914BE8" w:rsidP="005D315B">
      <w:pPr>
        <w:pStyle w:val="enumlev1"/>
      </w:pPr>
      <w:r w:rsidRPr="007A307E">
        <w:t>•</w:t>
      </w:r>
      <w:r w:rsidRPr="007A307E">
        <w:tab/>
        <w:t>Method B2 proposes a new SOS (Earth-to-space) allocation for non-GSO SD systems in the frequency range 404-405 MHz;</w:t>
      </w:r>
    </w:p>
    <w:p w14:paraId="042BCAFC" w14:textId="77777777" w:rsidR="00914BE8" w:rsidRPr="007A307E" w:rsidRDefault="00914BE8" w:rsidP="005D315B">
      <w:pPr>
        <w:pStyle w:val="enumlev1"/>
      </w:pPr>
      <w:r w:rsidRPr="007A307E">
        <w:t>•</w:t>
      </w:r>
      <w:r w:rsidRPr="007A307E">
        <w:tab/>
        <w:t>Method C proposes to use the SOS allocation in the frequency band 137-138 MHz in downlink and the band 148-149.9 MHz in uplink and to provide appropriate associated regulatory provisions in the Radio Regulations for telecommand links of non-GSO SD missions.</w:t>
      </w:r>
    </w:p>
    <w:p w14:paraId="1F16DA73" w14:textId="03F2CC02" w:rsidR="00914BE8" w:rsidRPr="00C130B0" w:rsidRDefault="00914BE8" w:rsidP="00247F6C">
      <w:pPr>
        <w:spacing w:before="360"/>
      </w:pPr>
      <w:r w:rsidRPr="007A307E">
        <w:t xml:space="preserve">As outlined for the Method B in </w:t>
      </w:r>
      <w:r w:rsidR="005838B2" w:rsidRPr="007A307E">
        <w:rPr>
          <w:rPrChange w:id="9" w:author="Arnould, Carine" w:date="2019-10-14T14:31:00Z">
            <w:rPr>
              <w:highlight w:val="cyan"/>
            </w:rPr>
          </w:rPrChange>
        </w:rPr>
        <w:t>the</w:t>
      </w:r>
      <w:r w:rsidR="005838B2" w:rsidRPr="007A307E">
        <w:t xml:space="preserve"> </w:t>
      </w:r>
      <w:r w:rsidRPr="007A307E">
        <w:t>CPM Report</w:t>
      </w:r>
      <w:r w:rsidR="00F13D25">
        <w:t>:</w:t>
      </w:r>
    </w:p>
    <w:p w14:paraId="4AC74163" w14:textId="35103F01" w:rsidR="00914BE8" w:rsidRPr="00C130B0" w:rsidRDefault="00914BE8" w:rsidP="005D315B">
      <w:pPr>
        <w:pStyle w:val="enumlev1"/>
      </w:pPr>
      <w:r>
        <w:t>a)</w:t>
      </w:r>
      <w:r>
        <w:tab/>
      </w:r>
      <w:r w:rsidRPr="00C130B0">
        <w:t>In section 4/1.7/3.3.3.2:</w:t>
      </w:r>
    </w:p>
    <w:p w14:paraId="592458D4" w14:textId="0C8ED3E6" w:rsidR="00914BE8" w:rsidRPr="00C130B0" w:rsidRDefault="005D315B" w:rsidP="005D315B">
      <w:pPr>
        <w:pStyle w:val="enumlev1"/>
      </w:pPr>
      <w:r>
        <w:tab/>
      </w:r>
      <w:r w:rsidR="00F13D25">
        <w:t>“</w:t>
      </w:r>
      <w:r w:rsidR="00914BE8" w:rsidRPr="00C130B0">
        <w:t>The studies show varying conclusions regarding the feasibility of sharing between potential new SOS allocations for non-GSO SD systems and the existing services in the frequency range 403-406 MHz.</w:t>
      </w:r>
      <w:r w:rsidR="00F13D25">
        <w:t>”</w:t>
      </w:r>
    </w:p>
    <w:p w14:paraId="6270A7B6" w14:textId="77777777" w:rsidR="00914BE8" w:rsidRPr="00C130B0" w:rsidRDefault="00914BE8" w:rsidP="005D315B">
      <w:pPr>
        <w:pStyle w:val="enumlev1"/>
      </w:pPr>
      <w:r>
        <w:t>b)</w:t>
      </w:r>
      <w:r>
        <w:tab/>
      </w:r>
      <w:r w:rsidRPr="00C130B0">
        <w:t>In the disadvantage part of Method B in section 4/1.7/4.2:</w:t>
      </w:r>
    </w:p>
    <w:p w14:paraId="16DEE423" w14:textId="706DE5EE" w:rsidR="00914BE8" w:rsidRPr="00C130B0" w:rsidRDefault="005D315B" w:rsidP="005D315B">
      <w:pPr>
        <w:pStyle w:val="enumlev1"/>
      </w:pPr>
      <w:r>
        <w:tab/>
      </w:r>
      <w:r w:rsidR="00F13D25">
        <w:t>“</w:t>
      </w:r>
      <w:r w:rsidR="00914BE8" w:rsidRPr="00C130B0">
        <w:t xml:space="preserve">Several studies show that co-channel sharing with MetAids is not feasible in the 403-406 MHz band and hence that current and future usage of 403-406 MHz frequency band for MetAids will not be fulfilled </w:t>
      </w:r>
      <w:r w:rsidR="00F13D25">
        <w:t>”</w:t>
      </w:r>
    </w:p>
    <w:p w14:paraId="7FE2BF38" w14:textId="77777777" w:rsidR="00914BE8" w:rsidRPr="007A307E" w:rsidRDefault="00914BE8" w:rsidP="005D315B">
      <w:pPr>
        <w:pStyle w:val="enumlev1"/>
      </w:pPr>
      <w:r w:rsidRPr="007A307E">
        <w:t>c)</w:t>
      </w:r>
      <w:r w:rsidRPr="007A307E">
        <w:tab/>
        <w:t>In the note part of Method</w:t>
      </w:r>
      <w:r w:rsidR="005838B2" w:rsidRPr="007A307E">
        <w:rPr>
          <w:rPrChange w:id="10" w:author="Arnould, Carine" w:date="2019-10-14T14:31:00Z">
            <w:rPr>
              <w:highlight w:val="cyan"/>
            </w:rPr>
          </w:rPrChange>
        </w:rPr>
        <w:t>s</w:t>
      </w:r>
      <w:r w:rsidRPr="007A307E">
        <w:t xml:space="preserve"> B1 and B2 in sections 4/1.7/5.2 and 4/1.7/5.3 respectively: </w:t>
      </w:r>
    </w:p>
    <w:p w14:paraId="38CEC380" w14:textId="546DB234" w:rsidR="00914BE8" w:rsidRPr="007A307E" w:rsidRDefault="005D315B" w:rsidP="005D315B">
      <w:pPr>
        <w:pStyle w:val="enumlev1"/>
      </w:pPr>
      <w:r>
        <w:tab/>
      </w:r>
      <w:r w:rsidR="00F13D25">
        <w:t>“</w:t>
      </w:r>
      <w:r w:rsidR="00914BE8" w:rsidRPr="007A307E">
        <w:t>Studies carried out in support of this Method include elements such as separation distances and guardbands which need to be respected. Consequently, such missing information should be duly included in the regulatory parts.</w:t>
      </w:r>
      <w:r w:rsidR="00F13D25">
        <w:t>”</w:t>
      </w:r>
    </w:p>
    <w:p w14:paraId="6F2EDE96" w14:textId="77777777" w:rsidR="00914BE8" w:rsidRPr="007A307E" w:rsidRDefault="00914BE8">
      <w:pPr>
        <w:spacing w:before="360"/>
      </w:pPr>
      <w:r w:rsidRPr="007A307E">
        <w:t xml:space="preserve">Regarding the above diverse conclusions for the sharing studies in </w:t>
      </w:r>
      <w:r w:rsidR="005838B2" w:rsidRPr="007A307E">
        <w:rPr>
          <w:rPrChange w:id="11" w:author="Arnould, Carine" w:date="2019-10-14T14:31:00Z">
            <w:rPr>
              <w:highlight w:val="cyan"/>
            </w:rPr>
          </w:rPrChange>
        </w:rPr>
        <w:t>the</w:t>
      </w:r>
      <w:r w:rsidR="005838B2" w:rsidRPr="007A307E">
        <w:t xml:space="preserve"> </w:t>
      </w:r>
      <w:r w:rsidRPr="007A307E">
        <w:t xml:space="preserve">CPM </w:t>
      </w:r>
      <w:r w:rsidR="005838B2" w:rsidRPr="007A307E">
        <w:rPr>
          <w:rPrChange w:id="12" w:author="Arnould, Carine" w:date="2019-10-14T14:31:00Z">
            <w:rPr>
              <w:highlight w:val="cyan"/>
            </w:rPr>
          </w:rPrChange>
        </w:rPr>
        <w:t>R</w:t>
      </w:r>
      <w:r w:rsidRPr="007A307E">
        <w:t>eport, it seems that Method B could not satisfy this agenda item.</w:t>
      </w:r>
    </w:p>
    <w:p w14:paraId="741E1F91" w14:textId="77777777" w:rsidR="00914BE8" w:rsidRPr="00C130B0" w:rsidRDefault="00914BE8">
      <w:r w:rsidRPr="007A307E">
        <w:t xml:space="preserve">In </w:t>
      </w:r>
      <w:r w:rsidR="005838B2" w:rsidRPr="007A307E">
        <w:rPr>
          <w:rPrChange w:id="13" w:author="Arnould, Carine" w:date="2019-10-14T14:31:00Z">
            <w:rPr>
              <w:highlight w:val="cyan"/>
            </w:rPr>
          </w:rPrChange>
        </w:rPr>
        <w:t>M</w:t>
      </w:r>
      <w:r w:rsidRPr="007A307E">
        <w:t xml:space="preserve">ethod C, it seems that there are some benefits and drawbacks. The benefits of this </w:t>
      </w:r>
      <w:r w:rsidR="005838B2" w:rsidRPr="007A307E">
        <w:rPr>
          <w:rPrChange w:id="14" w:author="Arnould, Carine" w:date="2019-10-14T14:31:00Z">
            <w:rPr>
              <w:highlight w:val="cyan"/>
            </w:rPr>
          </w:rPrChange>
        </w:rPr>
        <w:t>m</w:t>
      </w:r>
      <w:r w:rsidRPr="007A307E">
        <w:t>ethod</w:t>
      </w:r>
      <w:r w:rsidRPr="00C130B0">
        <w:t xml:space="preserve"> in the frequency band 137-138 MHz are as follows:</w:t>
      </w:r>
    </w:p>
    <w:p w14:paraId="42AE0047" w14:textId="77777777" w:rsidR="00914BE8" w:rsidRPr="00C130B0" w:rsidRDefault="00914BE8" w:rsidP="005D315B">
      <w:pPr>
        <w:pStyle w:val="enumlev1"/>
      </w:pPr>
      <w:r>
        <w:t>a)</w:t>
      </w:r>
      <w:r>
        <w:tab/>
      </w:r>
      <w:r w:rsidRPr="00C130B0">
        <w:t xml:space="preserve">In Method C, the frequency band 137-138 MHz which has already been allocated to space operation service (space-to-Earth) would be identified for the application of telemetry, tracking and command links of non-GSO satellites with short duration missions through addition of a new footnote (refer to No. </w:t>
      </w:r>
      <w:r w:rsidRPr="00C130B0">
        <w:rPr>
          <w:b/>
          <w:bCs/>
        </w:rPr>
        <w:t>5.C17</w:t>
      </w:r>
      <w:r w:rsidRPr="00C130B0">
        <w:t xml:space="preserve">, and </w:t>
      </w:r>
      <w:r w:rsidRPr="00C130B0">
        <w:rPr>
          <w:i/>
          <w:iCs/>
        </w:rPr>
        <w:t>considering d</w:t>
      </w:r>
      <w:r w:rsidRPr="00C130B0">
        <w:t xml:space="preserve">) in draft new Resolution [A17-Method-C] in section 4/1.7/5.4). </w:t>
      </w:r>
    </w:p>
    <w:p w14:paraId="284D6E59" w14:textId="159F7837" w:rsidR="00914BE8" w:rsidRPr="00C130B0" w:rsidRDefault="00914BE8" w:rsidP="005D315B">
      <w:pPr>
        <w:pStyle w:val="enumlev1"/>
      </w:pPr>
      <w:r>
        <w:t>b)</w:t>
      </w:r>
      <w:r>
        <w:tab/>
      </w:r>
      <w:r w:rsidRPr="00C130B0">
        <w:t>In Method C , in the draft new Resolution [A17-method-C],</w:t>
      </w:r>
      <w:r w:rsidR="005838B2">
        <w:t xml:space="preserve"> </w:t>
      </w:r>
      <w:r w:rsidRPr="00C130B0">
        <w:t>a pfd value of −140</w:t>
      </w:r>
      <w:r w:rsidR="00F13D25">
        <w:t> </w:t>
      </w:r>
      <w:r w:rsidRPr="00C130B0">
        <w:t>dB(W/(m</w:t>
      </w:r>
      <w:r w:rsidR="009A6CD8">
        <w:rPr>
          <w:vertAlign w:val="superscript"/>
        </w:rPr>
        <w:t>2</w:t>
      </w:r>
      <w:r w:rsidR="009A6CD8">
        <w:t>·</w:t>
      </w:r>
      <w:r w:rsidRPr="00C130B0">
        <w:t xml:space="preserve">4 kHz)) has been included for ensuring the protection of terrestrial services in </w:t>
      </w:r>
      <w:r w:rsidR="005838B2">
        <w:t>the frequency band 137-138 MHz</w:t>
      </w:r>
      <w:r w:rsidRPr="00C130B0">
        <w:t>.</w:t>
      </w:r>
      <w:r w:rsidR="005838B2">
        <w:t xml:space="preserve"> </w:t>
      </w:r>
      <w:r w:rsidRPr="00C130B0">
        <w:t>This pfd value is the same as the coordination threshold that has already been taken in the same frequency band for space stations of MSS (space-to-Earth) with re</w:t>
      </w:r>
      <w:r w:rsidR="005838B2">
        <w:t>spect to terrestrial services (</w:t>
      </w:r>
      <w:r w:rsidRPr="00C130B0">
        <w:t xml:space="preserve">see sections 1.1.1 and 1.1.2 of Annex 1 of </w:t>
      </w:r>
      <w:r w:rsidRPr="007A307E">
        <w:t xml:space="preserve">Appendix </w:t>
      </w:r>
      <w:r w:rsidRPr="007A307E">
        <w:rPr>
          <w:b/>
          <w:bCs/>
          <w:rPrChange w:id="15" w:author="Arnould, Carine" w:date="2019-10-14T14:32:00Z">
            <w:rPr>
              <w:b/>
              <w:bCs/>
              <w:highlight w:val="cyan"/>
            </w:rPr>
          </w:rPrChange>
        </w:rPr>
        <w:t>5</w:t>
      </w:r>
      <w:r w:rsidR="005838B2">
        <w:t xml:space="preserve"> of RR)</w:t>
      </w:r>
      <w:r w:rsidRPr="00C130B0">
        <w:t>.</w:t>
      </w:r>
      <w:r w:rsidR="005838B2">
        <w:t xml:space="preserve"> </w:t>
      </w:r>
      <w:r w:rsidRPr="00C130B0">
        <w:t xml:space="preserve">If this level is exceeded, RR No. </w:t>
      </w:r>
      <w:r w:rsidRPr="00C130B0">
        <w:rPr>
          <w:b/>
          <w:bCs/>
        </w:rPr>
        <w:t>9.11A</w:t>
      </w:r>
      <w:r w:rsidRPr="00C130B0">
        <w:t xml:space="preserve"> applies for networks or systems within the SOS in this band (refer to </w:t>
      </w:r>
      <w:r w:rsidRPr="00C130B0">
        <w:rPr>
          <w:i/>
          <w:iCs/>
        </w:rPr>
        <w:t>resolves 2</w:t>
      </w:r>
      <w:r w:rsidRPr="00C130B0">
        <w:t xml:space="preserve"> in the draft new Resolution [A17-method-C]).</w:t>
      </w:r>
    </w:p>
    <w:p w14:paraId="3D8F1BE8" w14:textId="77777777" w:rsidR="00914BE8" w:rsidRPr="00C130B0" w:rsidRDefault="00914BE8" w:rsidP="00247F6C">
      <w:pPr>
        <w:spacing w:before="360"/>
      </w:pPr>
      <w:r w:rsidRPr="00C130B0">
        <w:t>In Method C, for the frequency band 148-149.9 MHz, the following drawbacks are observed:</w:t>
      </w:r>
    </w:p>
    <w:p w14:paraId="362E6960" w14:textId="77777777" w:rsidR="00914BE8" w:rsidRPr="007A307E" w:rsidRDefault="00BE60AC" w:rsidP="005D315B">
      <w:pPr>
        <w:pStyle w:val="enumlev1"/>
      </w:pPr>
      <w:r>
        <w:t>a)</w:t>
      </w:r>
      <w:r>
        <w:tab/>
      </w:r>
      <w:r w:rsidR="00914BE8" w:rsidRPr="00C130B0">
        <w:t xml:space="preserve">In the RR No. </w:t>
      </w:r>
      <w:r w:rsidR="00914BE8" w:rsidRPr="00C130B0">
        <w:rPr>
          <w:b/>
          <w:bCs/>
        </w:rPr>
        <w:t>5.218</w:t>
      </w:r>
      <w:r w:rsidR="00914BE8" w:rsidRPr="00C130B0">
        <w:t xml:space="preserve">, the frequency band 148-149.9 MHz has already been allocated to space operation service (Earth-to-space) on a primary basis, subject to agreement </w:t>
      </w:r>
      <w:r w:rsidR="00914BE8" w:rsidRPr="007A307E">
        <w:t xml:space="preserve">obtained under RR No. </w:t>
      </w:r>
      <w:r w:rsidR="00914BE8" w:rsidRPr="007A307E">
        <w:rPr>
          <w:b/>
          <w:bCs/>
        </w:rPr>
        <w:t>9.21</w:t>
      </w:r>
      <w:r w:rsidR="00914BE8" w:rsidRPr="007A307E">
        <w:t xml:space="preserve">. In </w:t>
      </w:r>
      <w:r w:rsidR="00D31F13" w:rsidRPr="007A307E">
        <w:rPr>
          <w:rPrChange w:id="16" w:author="Arnould, Carine" w:date="2019-10-14T14:32:00Z">
            <w:rPr>
              <w:highlight w:val="cyan"/>
            </w:rPr>
          </w:rPrChange>
        </w:rPr>
        <w:t>M</w:t>
      </w:r>
      <w:r w:rsidR="00914BE8" w:rsidRPr="007A307E">
        <w:t xml:space="preserve">ethod C, without inspecting or assessing the effects, with modification of RR No. </w:t>
      </w:r>
      <w:r w:rsidR="00914BE8" w:rsidRPr="007A307E">
        <w:rPr>
          <w:b/>
          <w:bCs/>
        </w:rPr>
        <w:t>5.218</w:t>
      </w:r>
      <w:r w:rsidR="00914BE8" w:rsidRPr="007A307E">
        <w:t xml:space="preserve">, the reference to RR No </w:t>
      </w:r>
      <w:r w:rsidR="00914BE8" w:rsidRPr="007A307E">
        <w:rPr>
          <w:b/>
          <w:bCs/>
        </w:rPr>
        <w:t>9.21</w:t>
      </w:r>
      <w:r w:rsidR="00914BE8" w:rsidRPr="007A307E">
        <w:t xml:space="preserve"> is removed from the RR No. </w:t>
      </w:r>
      <w:r w:rsidR="00914BE8" w:rsidRPr="007A307E">
        <w:rPr>
          <w:b/>
          <w:bCs/>
        </w:rPr>
        <w:t>5.218</w:t>
      </w:r>
      <w:r w:rsidR="00914BE8" w:rsidRPr="007A307E">
        <w:t xml:space="preserve"> and space operation service (Earth-to-space) is added directly as a primary service in the 148-149 MHz frequency band to the table of frequency allocation.</w:t>
      </w:r>
    </w:p>
    <w:p w14:paraId="2D8D5667" w14:textId="26063578" w:rsidR="00914BE8" w:rsidRPr="007A307E" w:rsidRDefault="005D315B" w:rsidP="005D315B">
      <w:pPr>
        <w:pStyle w:val="enumlev1"/>
      </w:pPr>
      <w:r>
        <w:tab/>
      </w:r>
      <w:r w:rsidR="00914BE8" w:rsidRPr="007A307E">
        <w:t>Considering the above, it is outlined in the disadvantage part of Method C in section</w:t>
      </w:r>
      <w:r w:rsidR="009A2D9E">
        <w:t> </w:t>
      </w:r>
      <w:r w:rsidR="00914BE8" w:rsidRPr="007A307E">
        <w:t>4/1.7/4.3 that:</w:t>
      </w:r>
    </w:p>
    <w:p w14:paraId="22386EAF" w14:textId="5D7C1450" w:rsidR="00E747F1" w:rsidRPr="007A307E" w:rsidRDefault="005D315B" w:rsidP="005D315B">
      <w:pPr>
        <w:pStyle w:val="enumlev1"/>
      </w:pPr>
      <w:r>
        <w:tab/>
      </w:r>
      <w:r w:rsidR="009A2D9E">
        <w:t>“</w:t>
      </w:r>
      <w:r w:rsidR="00914BE8" w:rsidRPr="007A307E">
        <w:t xml:space="preserve">The impact of removal of RR No. </w:t>
      </w:r>
      <w:r w:rsidR="00914BE8" w:rsidRPr="007A307E">
        <w:rPr>
          <w:b/>
          <w:bCs/>
        </w:rPr>
        <w:t>9.21</w:t>
      </w:r>
      <w:r w:rsidR="00914BE8" w:rsidRPr="007A307E">
        <w:t xml:space="preserve"> in the frequency band 148-149.9 (in particular for non-GSO SD missions) is still to be investigated.</w:t>
      </w:r>
      <w:r w:rsidR="009A2D9E">
        <w:t>”</w:t>
      </w:r>
    </w:p>
    <w:p w14:paraId="69FAEB11" w14:textId="11765297" w:rsidR="00914BE8" w:rsidRPr="007A307E" w:rsidRDefault="00BE60AC" w:rsidP="005D315B">
      <w:pPr>
        <w:pStyle w:val="enumlev1"/>
      </w:pPr>
      <w:r w:rsidRPr="007A307E">
        <w:t>b)</w:t>
      </w:r>
      <w:r w:rsidRPr="007A307E">
        <w:tab/>
      </w:r>
      <w:r w:rsidR="00914BE8" w:rsidRPr="007A307E">
        <w:t xml:space="preserve">As outlined in </w:t>
      </w:r>
      <w:r w:rsidR="00914BE8" w:rsidRPr="007A307E">
        <w:rPr>
          <w:i/>
          <w:iCs/>
        </w:rPr>
        <w:t>resolves</w:t>
      </w:r>
      <w:r w:rsidR="00914BE8" w:rsidRPr="007A307E">
        <w:t xml:space="preserve"> 3 in the draft new Resolution [A17-Me</w:t>
      </w:r>
      <w:r w:rsidR="00247F6C" w:rsidRPr="007A307E">
        <w:t>thod-C] in section</w:t>
      </w:r>
      <w:r w:rsidR="009A2D9E">
        <w:t> </w:t>
      </w:r>
      <w:r w:rsidR="00247F6C" w:rsidRPr="007A307E">
        <w:t>4/1.7/5.4:</w:t>
      </w:r>
    </w:p>
    <w:p w14:paraId="5A18CD8E" w14:textId="055391C3" w:rsidR="00914BE8" w:rsidRPr="007A307E" w:rsidRDefault="005D315B" w:rsidP="005D315B">
      <w:pPr>
        <w:pStyle w:val="enumlev1"/>
        <w:rPr>
          <w:rFonts w:asciiTheme="majorBidi" w:hAnsiTheme="majorBidi" w:cstheme="majorBidi"/>
          <w:szCs w:val="24"/>
        </w:rPr>
      </w:pPr>
      <w:r>
        <w:rPr>
          <w:rFonts w:asciiTheme="majorBidi" w:hAnsiTheme="majorBidi" w:cstheme="majorBidi"/>
          <w:szCs w:val="24"/>
        </w:rPr>
        <w:tab/>
      </w:r>
      <w:r w:rsidR="009A2D9E">
        <w:rPr>
          <w:rFonts w:asciiTheme="majorBidi" w:hAnsiTheme="majorBidi" w:cstheme="majorBidi"/>
          <w:szCs w:val="24"/>
        </w:rPr>
        <w:t>“</w:t>
      </w:r>
      <w:r w:rsidR="00914BE8" w:rsidRPr="007A307E">
        <w:rPr>
          <w:rFonts w:asciiTheme="majorBidi" w:hAnsiTheme="majorBidi" w:cstheme="majorBidi"/>
          <w:szCs w:val="24"/>
        </w:rPr>
        <w:t xml:space="preserve">In the frequency band 148-149.9 MHz (Earth-to-space), No. </w:t>
      </w:r>
      <w:r w:rsidR="00914BE8" w:rsidRPr="007A307E">
        <w:rPr>
          <w:rFonts w:asciiTheme="majorBidi" w:hAnsiTheme="majorBidi" w:cstheme="majorBidi"/>
          <w:b/>
          <w:bCs/>
          <w:szCs w:val="24"/>
        </w:rPr>
        <w:t>9.11A</w:t>
      </w:r>
      <w:r w:rsidR="00914BE8" w:rsidRPr="007A307E">
        <w:rPr>
          <w:rFonts w:asciiTheme="majorBidi" w:hAnsiTheme="majorBidi" w:cstheme="majorBidi"/>
          <w:szCs w:val="24"/>
        </w:rPr>
        <w:t xml:space="preserve"> does not apply to space operation service (SOS) (Earth-to-space) networks</w:t>
      </w:r>
      <w:r w:rsidR="009A2D9E">
        <w:rPr>
          <w:rFonts w:asciiTheme="majorBidi" w:hAnsiTheme="majorBidi" w:cstheme="majorBidi"/>
          <w:szCs w:val="24"/>
        </w:rPr>
        <w:t>”</w:t>
      </w:r>
    </w:p>
    <w:p w14:paraId="0492AD63" w14:textId="21D381AA" w:rsidR="00914BE8" w:rsidRPr="007A307E" w:rsidRDefault="005D315B" w:rsidP="005D315B">
      <w:pPr>
        <w:pStyle w:val="enumlev1"/>
        <w:rPr>
          <w:rFonts w:asciiTheme="majorBidi" w:hAnsiTheme="majorBidi" w:cstheme="majorBidi"/>
          <w:szCs w:val="24"/>
        </w:rPr>
      </w:pPr>
      <w:r>
        <w:rPr>
          <w:rFonts w:asciiTheme="majorBidi" w:hAnsiTheme="majorBidi" w:cstheme="majorBidi"/>
          <w:szCs w:val="24"/>
        </w:rPr>
        <w:tab/>
      </w:r>
      <w:r w:rsidR="00914BE8" w:rsidRPr="007A307E">
        <w:rPr>
          <w:rFonts w:asciiTheme="majorBidi" w:hAnsiTheme="majorBidi" w:cstheme="majorBidi"/>
          <w:szCs w:val="24"/>
        </w:rPr>
        <w:t>Considering the above, it seems that the protection of the heavily used primary terrestrial services is not ensured in this frequency band.</w:t>
      </w:r>
    </w:p>
    <w:p w14:paraId="0A12588E" w14:textId="589909AE" w:rsidR="00914BE8" w:rsidRDefault="00E747F1" w:rsidP="005D315B">
      <w:pPr>
        <w:pStyle w:val="enumlev1"/>
      </w:pPr>
      <w:r w:rsidRPr="007A307E">
        <w:t>c)</w:t>
      </w:r>
      <w:r w:rsidRPr="007A307E">
        <w:tab/>
      </w:r>
      <w:r w:rsidR="00914BE8" w:rsidRPr="007A307E">
        <w:t xml:space="preserve">It seems that modification of RR No. </w:t>
      </w:r>
      <w:r w:rsidR="00914BE8" w:rsidRPr="007A307E">
        <w:rPr>
          <w:b/>
          <w:bCs/>
        </w:rPr>
        <w:t>5.218</w:t>
      </w:r>
      <w:r w:rsidR="00914BE8" w:rsidRPr="007A307E">
        <w:t xml:space="preserve"> by removing RR No. </w:t>
      </w:r>
      <w:r w:rsidR="00914BE8" w:rsidRPr="007A307E">
        <w:rPr>
          <w:b/>
          <w:bCs/>
        </w:rPr>
        <w:t>9.21</w:t>
      </w:r>
      <w:r w:rsidR="00914BE8" w:rsidRPr="007A307E">
        <w:t xml:space="preserve"> from the</w:t>
      </w:r>
      <w:r w:rsidR="00914BE8" w:rsidRPr="00C130B0">
        <w:t xml:space="preserve"> conditions for the use of SOS frequency band 148</w:t>
      </w:r>
      <w:r w:rsidR="005D315B">
        <w:t>-</w:t>
      </w:r>
      <w:r w:rsidR="00914BE8" w:rsidRPr="00C130B0">
        <w:t xml:space="preserve">149.9 MHz (Earth-to-space), is out of the scope of Resolution </w:t>
      </w:r>
      <w:r w:rsidR="00914BE8" w:rsidRPr="00C130B0">
        <w:rPr>
          <w:b/>
        </w:rPr>
        <w:t>659 (WRC-15)</w:t>
      </w:r>
      <w:r w:rsidR="00914BE8" w:rsidRPr="00C130B0">
        <w:t>.</w:t>
      </w:r>
    </w:p>
    <w:p w14:paraId="7CDBEBCA" w14:textId="77777777" w:rsidR="00914BE8" w:rsidRPr="00E747F1" w:rsidRDefault="00914BE8" w:rsidP="00815B7B">
      <w:pPr>
        <w:pStyle w:val="Headingb"/>
        <w:rPr>
          <w:lang w:eastAsia="ko-KR"/>
        </w:rPr>
      </w:pPr>
      <w:r w:rsidRPr="00E747F1">
        <w:rPr>
          <w:lang w:eastAsia="ko-KR"/>
        </w:rPr>
        <w:t>Proposal</w:t>
      </w:r>
    </w:p>
    <w:p w14:paraId="1BF1AB08" w14:textId="77777777" w:rsidR="00914BE8" w:rsidRPr="007A307E" w:rsidRDefault="00914BE8">
      <w:r w:rsidRPr="007A307E">
        <w:t xml:space="preserve">Regarding the above, this </w:t>
      </w:r>
      <w:r w:rsidR="005838B2" w:rsidRPr="007A307E">
        <w:rPr>
          <w:rPrChange w:id="17" w:author="Arnould, Carine" w:date="2019-10-14T14:32:00Z">
            <w:rPr>
              <w:highlight w:val="cyan"/>
            </w:rPr>
          </w:rPrChange>
        </w:rPr>
        <w:t>A</w:t>
      </w:r>
      <w:r w:rsidRPr="007A307E">
        <w:t xml:space="preserve">dministration supports Method A (No Change) of the CPM Report. </w:t>
      </w:r>
    </w:p>
    <w:p w14:paraId="213B151E" w14:textId="643C9E48" w:rsidR="00914BE8" w:rsidRPr="00C130B0" w:rsidRDefault="00914BE8">
      <w:r w:rsidRPr="007A307E">
        <w:t xml:space="preserve">However, in order to accommodate the spectrum requirements for TT&amp;C in the SOS for non-GSO SD missions, this </w:t>
      </w:r>
      <w:r w:rsidR="005838B2" w:rsidRPr="007A307E">
        <w:rPr>
          <w:rPrChange w:id="18" w:author="Arnould, Carine" w:date="2019-10-14T14:32:00Z">
            <w:rPr>
              <w:highlight w:val="cyan"/>
            </w:rPr>
          </w:rPrChange>
        </w:rPr>
        <w:t>A</w:t>
      </w:r>
      <w:r w:rsidRPr="007A307E">
        <w:t xml:space="preserve">dministration may also consider those parts of Method C that are related to the frequency band 137-138 MHz, </w:t>
      </w:r>
      <w:r w:rsidR="005838B2" w:rsidRPr="007A307E">
        <w:rPr>
          <w:rPrChange w:id="19" w:author="Arnould, Carine" w:date="2019-10-14T14:32:00Z">
            <w:rPr>
              <w:highlight w:val="cyan"/>
            </w:rPr>
          </w:rPrChange>
        </w:rPr>
        <w:t>i</w:t>
      </w:r>
      <w:r w:rsidRPr="007A307E">
        <w:t>n other words:</w:t>
      </w:r>
    </w:p>
    <w:p w14:paraId="72A5F71D" w14:textId="6B6EEB85" w:rsidR="00914BE8" w:rsidRPr="009A2D9E" w:rsidRDefault="00E747F1" w:rsidP="005D315B">
      <w:pPr>
        <w:pStyle w:val="enumlev1"/>
      </w:pPr>
      <w:r>
        <w:t>a)</w:t>
      </w:r>
      <w:r>
        <w:tab/>
      </w:r>
      <w:r w:rsidR="00914BE8" w:rsidRPr="00C130B0">
        <w:t xml:space="preserve">We may </w:t>
      </w:r>
      <w:r w:rsidR="00914BE8">
        <w:t>support</w:t>
      </w:r>
      <w:r w:rsidR="00914BE8" w:rsidRPr="00C130B0">
        <w:t xml:space="preserve"> using existing allocations to SOS in the frequency band 137</w:t>
      </w:r>
      <w:r w:rsidR="005D315B">
        <w:t>-</w:t>
      </w:r>
      <w:r w:rsidR="00914BE8" w:rsidRPr="00C130B0">
        <w:t xml:space="preserve">138 MHz (space-to-Earth) for TT&amp;C links of non-GSO satellites with short duration missions if the protection of the heavily used terrestrial services in the 137-138 MHz frequency band is ensured. (Namely, the applicability and sufficiency of the proposed pfd value of </w:t>
      </w:r>
      <w:r w:rsidR="009A2D9E">
        <w:t>−</w:t>
      </w:r>
      <w:r w:rsidR="00914BE8" w:rsidRPr="00C130B0">
        <w:t>140 dB (W/(</w:t>
      </w:r>
      <w:r w:rsidR="009A6CD8" w:rsidRPr="00C130B0">
        <w:t>m</w:t>
      </w:r>
      <w:r w:rsidR="009A6CD8">
        <w:rPr>
          <w:vertAlign w:val="superscript"/>
        </w:rPr>
        <w:t>2</w:t>
      </w:r>
      <w:r w:rsidR="009A6CD8">
        <w:t>·</w:t>
      </w:r>
      <w:r w:rsidR="009A6CD8" w:rsidRPr="00C130B0">
        <w:t>4 kHz</w:t>
      </w:r>
      <w:r w:rsidR="00914BE8" w:rsidRPr="00C130B0">
        <w:t>))</w:t>
      </w:r>
      <w:r w:rsidR="009A2D9E">
        <w:t xml:space="preserve"> </w:t>
      </w:r>
      <w:r w:rsidR="00914BE8" w:rsidRPr="00C130B0">
        <w:t>for the protection of terrestrial services are demonstrated.</w:t>
      </w:r>
      <w:r w:rsidR="009A2D9E">
        <w:t>)</w:t>
      </w:r>
    </w:p>
    <w:p w14:paraId="6405FDDB" w14:textId="6C21270A" w:rsidR="00914BE8" w:rsidRPr="00C130B0" w:rsidRDefault="00E747F1" w:rsidP="005D315B">
      <w:pPr>
        <w:pStyle w:val="enumlev1"/>
      </w:pPr>
      <w:r>
        <w:t>b)</w:t>
      </w:r>
      <w:r>
        <w:tab/>
      </w:r>
      <w:r w:rsidR="00914BE8" w:rsidRPr="00C130B0">
        <w:t xml:space="preserve">However, we </w:t>
      </w:r>
      <w:r w:rsidR="00914BE8">
        <w:t>can</w:t>
      </w:r>
      <w:bookmarkStart w:id="20" w:name="_GoBack"/>
      <w:bookmarkEnd w:id="20"/>
      <w:r w:rsidR="00914BE8">
        <w:t>not support</w:t>
      </w:r>
      <w:r w:rsidR="00914BE8" w:rsidRPr="00C130B0">
        <w:t xml:space="preserve"> using the frequency bands 148-149.9 MHz for TT&amp;C links of non-GSO satellites with short duration missions since no mechanism has been devised for protection of heavily used terrestrial se</w:t>
      </w:r>
      <w:r>
        <w:t>rvices in this frequency band.</w:t>
      </w:r>
    </w:p>
    <w:p w14:paraId="54E8B12B" w14:textId="77777777" w:rsidR="00E747F1" w:rsidRDefault="00E747F1" w:rsidP="00200A1E">
      <w:pPr>
        <w:pStyle w:val="Reasons"/>
      </w:pPr>
    </w:p>
    <w:p w14:paraId="7DE1AD10" w14:textId="77777777" w:rsidR="00E747F1" w:rsidRDefault="00E747F1">
      <w:pPr>
        <w:jc w:val="center"/>
      </w:pPr>
      <w:r>
        <w:t>______________</w:t>
      </w:r>
    </w:p>
    <w:p w14:paraId="55B934F9" w14:textId="77777777" w:rsidR="009E7DC1" w:rsidRDefault="009E7DC1" w:rsidP="00E747F1"/>
    <w:sectPr w:rsidR="009E7DC1"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7B110" w14:textId="77777777" w:rsidR="009E6262" w:rsidRDefault="009E6262">
      <w:r>
        <w:separator/>
      </w:r>
    </w:p>
  </w:endnote>
  <w:endnote w:type="continuationSeparator" w:id="0">
    <w:p w14:paraId="39C4A7ED" w14:textId="77777777" w:rsidR="009E6262" w:rsidRDefault="009E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7B1A2" w14:textId="77777777" w:rsidR="00E45D05" w:rsidRDefault="00E45D05">
    <w:pPr>
      <w:framePr w:wrap="around" w:vAnchor="text" w:hAnchor="margin" w:xAlign="right" w:y="1"/>
    </w:pPr>
    <w:r>
      <w:fldChar w:fldCharType="begin"/>
    </w:r>
    <w:r>
      <w:instrText xml:space="preserve">PAGE  </w:instrText>
    </w:r>
    <w:r>
      <w:fldChar w:fldCharType="end"/>
    </w:r>
  </w:p>
  <w:p w14:paraId="06B65F02" w14:textId="5AAC194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A439B">
      <w:rPr>
        <w:noProof/>
        <w:lang w:val="en-US"/>
      </w:rPr>
      <w:t>P:\ENG\ITU-R\CONF-R\CMR19\000\085ADD07E.docx</w:t>
    </w:r>
    <w:r>
      <w:fldChar w:fldCharType="end"/>
    </w:r>
    <w:r w:rsidRPr="0041348E">
      <w:rPr>
        <w:lang w:val="en-US"/>
      </w:rPr>
      <w:tab/>
    </w:r>
    <w:r>
      <w:fldChar w:fldCharType="begin"/>
    </w:r>
    <w:r>
      <w:instrText xml:space="preserve"> SAVEDATE \@ DD.MM.YY </w:instrText>
    </w:r>
    <w:r>
      <w:fldChar w:fldCharType="separate"/>
    </w:r>
    <w:r w:rsidR="003A439B">
      <w:rPr>
        <w:noProof/>
      </w:rPr>
      <w:t>18.10.19</w:t>
    </w:r>
    <w:r>
      <w:fldChar w:fldCharType="end"/>
    </w:r>
    <w:r w:rsidRPr="0041348E">
      <w:rPr>
        <w:lang w:val="en-US"/>
      </w:rPr>
      <w:tab/>
    </w:r>
    <w:r>
      <w:fldChar w:fldCharType="begin"/>
    </w:r>
    <w:r>
      <w:instrText xml:space="preserve"> PRINTDATE \@ DD.MM.YY </w:instrText>
    </w:r>
    <w:r>
      <w:fldChar w:fldCharType="separate"/>
    </w:r>
    <w:r w:rsidR="003A439B">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4747" w14:textId="4E5B7865" w:rsidR="00E45D05" w:rsidRDefault="00E45D05" w:rsidP="009B1EA1">
    <w:pPr>
      <w:pStyle w:val="Footer"/>
    </w:pPr>
    <w:r>
      <w:fldChar w:fldCharType="begin"/>
    </w:r>
    <w:r w:rsidRPr="0041348E">
      <w:rPr>
        <w:lang w:val="en-US"/>
      </w:rPr>
      <w:instrText xml:space="preserve"> FILENAME \p  \* MERGEFORMAT </w:instrText>
    </w:r>
    <w:r>
      <w:fldChar w:fldCharType="separate"/>
    </w:r>
    <w:r w:rsidR="003A439B">
      <w:rPr>
        <w:lang w:val="en-US"/>
      </w:rPr>
      <w:t>P:\ENG\ITU-R\CONF-R\CMR19\000\085ADD07E.docx</w:t>
    </w:r>
    <w:r>
      <w:fldChar w:fldCharType="end"/>
    </w:r>
    <w:r w:rsidR="005D315B">
      <w:t xml:space="preserve"> (462180)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2EE2" w14:textId="32EEA22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A439B">
      <w:rPr>
        <w:lang w:val="en-US"/>
      </w:rPr>
      <w:t>P:\ENG\ITU-R\CONF-R\CMR19\000\085ADD07E.docx</w:t>
    </w:r>
    <w:r>
      <w:fldChar w:fldCharType="end"/>
    </w:r>
    <w:r w:rsidR="005D315B">
      <w:t xml:space="preserve"> (462180)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70567" w14:textId="77777777" w:rsidR="009E6262" w:rsidRDefault="009E6262">
      <w:r>
        <w:rPr>
          <w:b/>
        </w:rPr>
        <w:t>_______________</w:t>
      </w:r>
    </w:p>
  </w:footnote>
  <w:footnote w:type="continuationSeparator" w:id="0">
    <w:p w14:paraId="3DF40D9D" w14:textId="77777777" w:rsidR="009E6262" w:rsidRDefault="009E6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59D54" w14:textId="77777777" w:rsidR="00E45D05" w:rsidRDefault="00A066F1" w:rsidP="00187BD9">
    <w:pPr>
      <w:pStyle w:val="Header"/>
    </w:pPr>
    <w:r>
      <w:fldChar w:fldCharType="begin"/>
    </w:r>
    <w:r>
      <w:instrText xml:space="preserve"> PAGE  \* MERGEFORMAT </w:instrText>
    </w:r>
    <w:r>
      <w:fldChar w:fldCharType="separate"/>
    </w:r>
    <w:r w:rsidR="004670BD">
      <w:rPr>
        <w:noProof/>
      </w:rPr>
      <w:t>2</w:t>
    </w:r>
    <w:r>
      <w:fldChar w:fldCharType="end"/>
    </w:r>
  </w:p>
  <w:p w14:paraId="14518FC3" w14:textId="77777777" w:rsidR="00A066F1" w:rsidRPr="00A066F1" w:rsidRDefault="00187BD9" w:rsidP="00241FA2">
    <w:pPr>
      <w:pStyle w:val="Header"/>
    </w:pPr>
    <w:r>
      <w:t>CMR1</w:t>
    </w:r>
    <w:r w:rsidR="00202756">
      <w:t>9</w:t>
    </w:r>
    <w:r w:rsidR="00A066F1">
      <w:t>/</w:t>
    </w:r>
    <w:bookmarkStart w:id="21" w:name="OLE_LINK1"/>
    <w:bookmarkStart w:id="22" w:name="OLE_LINK2"/>
    <w:bookmarkStart w:id="23" w:name="OLE_LINK3"/>
    <w:r w:rsidR="00EB55C6">
      <w:t>85(Add.7)</w:t>
    </w:r>
    <w:bookmarkEnd w:id="21"/>
    <w:bookmarkEnd w:id="22"/>
    <w:bookmarkEnd w:id="2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70AB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70F5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184A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1CD8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B827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223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DA51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EC6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5CA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5A4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5F74CBD"/>
    <w:multiLevelType w:val="hybridMultilevel"/>
    <w:tmpl w:val="B5A0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B7B98"/>
    <w:multiLevelType w:val="hybridMultilevel"/>
    <w:tmpl w:val="5704A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B46DC"/>
    <w:multiLevelType w:val="hybridMultilevel"/>
    <w:tmpl w:val="7C86A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A3541"/>
    <w:multiLevelType w:val="multilevel"/>
    <w:tmpl w:val="6A942486"/>
    <w:lvl w:ilvl="0">
      <w:start w:val="1"/>
      <w:numFmt w:val="lowerLetter"/>
      <w:lvlText w:val="%1)"/>
      <w:lvlJc w:val="left"/>
      <w:pPr>
        <w:ind w:left="720" w:hanging="360"/>
      </w:pPr>
      <w:rPr>
        <w:rFonts w:hint="default"/>
      </w:rPr>
    </w:lvl>
    <w:lvl w:ilvl="1">
      <w:start w:val="204"/>
      <w:numFmt w:val="decimal"/>
      <w:isLgl/>
      <w:lvlText w:val="%1.%2"/>
      <w:lvlJc w:val="left"/>
      <w:pPr>
        <w:ind w:left="1155" w:hanging="795"/>
      </w:pPr>
      <w:rPr>
        <w:rFonts w:ascii="Times New Roman" w:hAnsi="Times New Roman" w:hint="default"/>
        <w:b/>
        <w:sz w:val="22"/>
      </w:rPr>
    </w:lvl>
    <w:lvl w:ilvl="2">
      <w:start w:val="1"/>
      <w:numFmt w:val="decimal"/>
      <w:isLgl/>
      <w:lvlText w:val="%1.%2.%3"/>
      <w:lvlJc w:val="left"/>
      <w:pPr>
        <w:ind w:left="1155" w:hanging="795"/>
      </w:pPr>
      <w:rPr>
        <w:rFonts w:ascii="Times New Roman" w:hAnsi="Times New Roman" w:hint="default"/>
        <w:b/>
        <w:sz w:val="22"/>
      </w:rPr>
    </w:lvl>
    <w:lvl w:ilvl="3">
      <w:start w:val="1"/>
      <w:numFmt w:val="decimal"/>
      <w:isLgl/>
      <w:lvlText w:val="%1.%2.%3.%4"/>
      <w:lvlJc w:val="left"/>
      <w:pPr>
        <w:ind w:left="1155" w:hanging="795"/>
      </w:pPr>
      <w:rPr>
        <w:rFonts w:ascii="Times New Roman" w:hAnsi="Times New Roman" w:hint="default"/>
        <w:b/>
        <w:sz w:val="22"/>
      </w:rPr>
    </w:lvl>
    <w:lvl w:ilvl="4">
      <w:start w:val="1"/>
      <w:numFmt w:val="decimal"/>
      <w:isLgl/>
      <w:lvlText w:val="%1.%2.%3.%4.%5"/>
      <w:lvlJc w:val="left"/>
      <w:pPr>
        <w:ind w:left="1440" w:hanging="1080"/>
      </w:pPr>
      <w:rPr>
        <w:rFonts w:ascii="Times New Roman" w:hAnsi="Times New Roman" w:hint="default"/>
        <w:b/>
        <w:sz w:val="22"/>
      </w:rPr>
    </w:lvl>
    <w:lvl w:ilvl="5">
      <w:start w:val="1"/>
      <w:numFmt w:val="decimal"/>
      <w:isLgl/>
      <w:lvlText w:val="%1.%2.%3.%4.%5.%6"/>
      <w:lvlJc w:val="left"/>
      <w:pPr>
        <w:ind w:left="1440" w:hanging="1080"/>
      </w:pPr>
      <w:rPr>
        <w:rFonts w:ascii="Times New Roman" w:hAnsi="Times New Roman" w:hint="default"/>
        <w:b/>
        <w:sz w:val="22"/>
      </w:rPr>
    </w:lvl>
    <w:lvl w:ilvl="6">
      <w:start w:val="1"/>
      <w:numFmt w:val="decimal"/>
      <w:isLgl/>
      <w:lvlText w:val="%1.%2.%3.%4.%5.%6.%7"/>
      <w:lvlJc w:val="left"/>
      <w:pPr>
        <w:ind w:left="1800" w:hanging="1440"/>
      </w:pPr>
      <w:rPr>
        <w:rFonts w:ascii="Times New Roman" w:hAnsi="Times New Roman" w:hint="default"/>
        <w:b/>
        <w:sz w:val="22"/>
      </w:rPr>
    </w:lvl>
    <w:lvl w:ilvl="7">
      <w:start w:val="1"/>
      <w:numFmt w:val="decimal"/>
      <w:isLgl/>
      <w:lvlText w:val="%1.%2.%3.%4.%5.%6.%7.%8"/>
      <w:lvlJc w:val="left"/>
      <w:pPr>
        <w:ind w:left="1800" w:hanging="1440"/>
      </w:pPr>
      <w:rPr>
        <w:rFonts w:ascii="Times New Roman" w:hAnsi="Times New Roman" w:hint="default"/>
        <w:b/>
        <w:sz w:val="22"/>
      </w:rPr>
    </w:lvl>
    <w:lvl w:ilvl="8">
      <w:start w:val="1"/>
      <w:numFmt w:val="decimal"/>
      <w:isLgl/>
      <w:lvlText w:val="%1.%2.%3.%4.%5.%6.%7.%8.%9"/>
      <w:lvlJc w:val="left"/>
      <w:pPr>
        <w:ind w:left="1800" w:hanging="1440"/>
      </w:pPr>
      <w:rPr>
        <w:rFonts w:ascii="Times New Roman" w:hAnsi="Times New Roman" w:hint="default"/>
        <w:b/>
        <w:sz w:val="22"/>
      </w:rPr>
    </w:lvl>
  </w:abstractNum>
  <w:abstractNum w:abstractNumId="15" w15:restartNumberingAfterBreak="0">
    <w:nsid w:val="79FC0BC1"/>
    <w:multiLevelType w:val="multilevel"/>
    <w:tmpl w:val="C0B0DBA2"/>
    <w:lvl w:ilvl="0">
      <w:start w:val="1"/>
      <w:numFmt w:val="lowerLetter"/>
      <w:lvlText w:val="%1)"/>
      <w:lvlJc w:val="left"/>
      <w:pPr>
        <w:ind w:left="720" w:hanging="360"/>
      </w:pPr>
      <w:rPr>
        <w:rFonts w:hint="default"/>
      </w:rPr>
    </w:lvl>
    <w:lvl w:ilvl="1">
      <w:start w:val="204"/>
      <w:numFmt w:val="decimal"/>
      <w:isLgl/>
      <w:lvlText w:val="%1.%2"/>
      <w:lvlJc w:val="left"/>
      <w:pPr>
        <w:ind w:left="1155" w:hanging="795"/>
      </w:pPr>
      <w:rPr>
        <w:rFonts w:ascii="Times New Roman" w:hAnsi="Times New Roman" w:hint="default"/>
        <w:b/>
        <w:sz w:val="22"/>
      </w:rPr>
    </w:lvl>
    <w:lvl w:ilvl="2">
      <w:start w:val="1"/>
      <w:numFmt w:val="decimal"/>
      <w:isLgl/>
      <w:lvlText w:val="%1.%2.%3"/>
      <w:lvlJc w:val="left"/>
      <w:pPr>
        <w:ind w:left="1155" w:hanging="795"/>
      </w:pPr>
      <w:rPr>
        <w:rFonts w:ascii="Times New Roman" w:hAnsi="Times New Roman" w:hint="default"/>
        <w:b/>
        <w:sz w:val="22"/>
      </w:rPr>
    </w:lvl>
    <w:lvl w:ilvl="3">
      <w:start w:val="1"/>
      <w:numFmt w:val="decimal"/>
      <w:isLgl/>
      <w:lvlText w:val="%1.%2.%3.%4"/>
      <w:lvlJc w:val="left"/>
      <w:pPr>
        <w:ind w:left="1155" w:hanging="795"/>
      </w:pPr>
      <w:rPr>
        <w:rFonts w:ascii="Times New Roman" w:hAnsi="Times New Roman" w:hint="default"/>
        <w:b/>
        <w:sz w:val="22"/>
      </w:rPr>
    </w:lvl>
    <w:lvl w:ilvl="4">
      <w:start w:val="1"/>
      <w:numFmt w:val="decimal"/>
      <w:isLgl/>
      <w:lvlText w:val="%1.%2.%3.%4.%5"/>
      <w:lvlJc w:val="left"/>
      <w:pPr>
        <w:ind w:left="1440" w:hanging="1080"/>
      </w:pPr>
      <w:rPr>
        <w:rFonts w:ascii="Times New Roman" w:hAnsi="Times New Roman" w:hint="default"/>
        <w:b/>
        <w:sz w:val="22"/>
      </w:rPr>
    </w:lvl>
    <w:lvl w:ilvl="5">
      <w:start w:val="1"/>
      <w:numFmt w:val="decimal"/>
      <w:isLgl/>
      <w:lvlText w:val="%1.%2.%3.%4.%5.%6"/>
      <w:lvlJc w:val="left"/>
      <w:pPr>
        <w:ind w:left="1440" w:hanging="1080"/>
      </w:pPr>
      <w:rPr>
        <w:rFonts w:ascii="Times New Roman" w:hAnsi="Times New Roman" w:hint="default"/>
        <w:b/>
        <w:sz w:val="22"/>
      </w:rPr>
    </w:lvl>
    <w:lvl w:ilvl="6">
      <w:start w:val="1"/>
      <w:numFmt w:val="decimal"/>
      <w:isLgl/>
      <w:lvlText w:val="%1.%2.%3.%4.%5.%6.%7"/>
      <w:lvlJc w:val="left"/>
      <w:pPr>
        <w:ind w:left="1800" w:hanging="1440"/>
      </w:pPr>
      <w:rPr>
        <w:rFonts w:ascii="Times New Roman" w:hAnsi="Times New Roman" w:hint="default"/>
        <w:b/>
        <w:sz w:val="22"/>
      </w:rPr>
    </w:lvl>
    <w:lvl w:ilvl="7">
      <w:start w:val="1"/>
      <w:numFmt w:val="decimal"/>
      <w:isLgl/>
      <w:lvlText w:val="%1.%2.%3.%4.%5.%6.%7.%8"/>
      <w:lvlJc w:val="left"/>
      <w:pPr>
        <w:ind w:left="1800" w:hanging="1440"/>
      </w:pPr>
      <w:rPr>
        <w:rFonts w:ascii="Times New Roman" w:hAnsi="Times New Roman" w:hint="default"/>
        <w:b/>
        <w:sz w:val="22"/>
      </w:rPr>
    </w:lvl>
    <w:lvl w:ilvl="8">
      <w:start w:val="1"/>
      <w:numFmt w:val="decimal"/>
      <w:isLgl/>
      <w:lvlText w:val="%1.%2.%3.%4.%5.%6.%7.%8.%9"/>
      <w:lvlJc w:val="left"/>
      <w:pPr>
        <w:ind w:left="1800" w:hanging="1440"/>
      </w:pPr>
      <w:rPr>
        <w:rFonts w:ascii="Times New Roman" w:hAnsi="Times New Roman" w:hint="default"/>
        <w:b/>
        <w:sz w:val="22"/>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13"/>
  </w:num>
  <w:num w:numId="5">
    <w:abstractNumId w:val="15"/>
  </w:num>
  <w:num w:numId="6">
    <w:abstractNumId w:val="14"/>
  </w:num>
  <w:num w:numId="7">
    <w:abstractNumId w:val="12"/>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2E4E"/>
    <w:rsid w:val="00051E39"/>
    <w:rsid w:val="000705F2"/>
    <w:rsid w:val="00077239"/>
    <w:rsid w:val="0007795D"/>
    <w:rsid w:val="00086491"/>
    <w:rsid w:val="00091346"/>
    <w:rsid w:val="0009706C"/>
    <w:rsid w:val="000C7A32"/>
    <w:rsid w:val="000D154B"/>
    <w:rsid w:val="000D2DAF"/>
    <w:rsid w:val="000E463E"/>
    <w:rsid w:val="000F73FF"/>
    <w:rsid w:val="00114CF7"/>
    <w:rsid w:val="00116C7A"/>
    <w:rsid w:val="00123B68"/>
    <w:rsid w:val="00126F2E"/>
    <w:rsid w:val="00146F6F"/>
    <w:rsid w:val="00187BD9"/>
    <w:rsid w:val="00190B55"/>
    <w:rsid w:val="001C3B5F"/>
    <w:rsid w:val="001D058F"/>
    <w:rsid w:val="001D7F08"/>
    <w:rsid w:val="002009EA"/>
    <w:rsid w:val="00200A1E"/>
    <w:rsid w:val="00202756"/>
    <w:rsid w:val="00202CA0"/>
    <w:rsid w:val="00216B6D"/>
    <w:rsid w:val="00220C4F"/>
    <w:rsid w:val="00241FA2"/>
    <w:rsid w:val="00247F6C"/>
    <w:rsid w:val="00271316"/>
    <w:rsid w:val="002B349C"/>
    <w:rsid w:val="002D58BE"/>
    <w:rsid w:val="002F4747"/>
    <w:rsid w:val="00302605"/>
    <w:rsid w:val="00323BB5"/>
    <w:rsid w:val="00361B37"/>
    <w:rsid w:val="00377BD3"/>
    <w:rsid w:val="00384088"/>
    <w:rsid w:val="003852CE"/>
    <w:rsid w:val="0039169B"/>
    <w:rsid w:val="003A439B"/>
    <w:rsid w:val="003A7F8C"/>
    <w:rsid w:val="003B2284"/>
    <w:rsid w:val="003B532E"/>
    <w:rsid w:val="003D0F8B"/>
    <w:rsid w:val="003E0DB6"/>
    <w:rsid w:val="0041348E"/>
    <w:rsid w:val="00415BFA"/>
    <w:rsid w:val="00420873"/>
    <w:rsid w:val="004670BD"/>
    <w:rsid w:val="00492075"/>
    <w:rsid w:val="004969AD"/>
    <w:rsid w:val="004A26C4"/>
    <w:rsid w:val="004B13CB"/>
    <w:rsid w:val="004D26EA"/>
    <w:rsid w:val="004D2BFB"/>
    <w:rsid w:val="004D5D5C"/>
    <w:rsid w:val="004F3DC0"/>
    <w:rsid w:val="0050139F"/>
    <w:rsid w:val="0055140B"/>
    <w:rsid w:val="005838B2"/>
    <w:rsid w:val="005964AB"/>
    <w:rsid w:val="005C099A"/>
    <w:rsid w:val="005C31A5"/>
    <w:rsid w:val="005D315B"/>
    <w:rsid w:val="005E10C9"/>
    <w:rsid w:val="005E290B"/>
    <w:rsid w:val="005E61DD"/>
    <w:rsid w:val="005F04D8"/>
    <w:rsid w:val="006023DF"/>
    <w:rsid w:val="00615426"/>
    <w:rsid w:val="00616219"/>
    <w:rsid w:val="00645B7D"/>
    <w:rsid w:val="00657DE0"/>
    <w:rsid w:val="00675667"/>
    <w:rsid w:val="00685313"/>
    <w:rsid w:val="00692833"/>
    <w:rsid w:val="006A6E9B"/>
    <w:rsid w:val="006B7C2A"/>
    <w:rsid w:val="006C23DA"/>
    <w:rsid w:val="006E3D45"/>
    <w:rsid w:val="0070607A"/>
    <w:rsid w:val="007149F9"/>
    <w:rsid w:val="00733A30"/>
    <w:rsid w:val="00745AEE"/>
    <w:rsid w:val="00750F10"/>
    <w:rsid w:val="007742CA"/>
    <w:rsid w:val="00790D70"/>
    <w:rsid w:val="007A307E"/>
    <w:rsid w:val="007A6F1F"/>
    <w:rsid w:val="007D5320"/>
    <w:rsid w:val="00800972"/>
    <w:rsid w:val="00804475"/>
    <w:rsid w:val="00811633"/>
    <w:rsid w:val="00814037"/>
    <w:rsid w:val="00815B7B"/>
    <w:rsid w:val="00841216"/>
    <w:rsid w:val="00842AF0"/>
    <w:rsid w:val="0086171E"/>
    <w:rsid w:val="00872FC8"/>
    <w:rsid w:val="008845D0"/>
    <w:rsid w:val="00884D60"/>
    <w:rsid w:val="008B43F2"/>
    <w:rsid w:val="008B6CFF"/>
    <w:rsid w:val="00914BE8"/>
    <w:rsid w:val="009274B4"/>
    <w:rsid w:val="00934EA2"/>
    <w:rsid w:val="00944A5C"/>
    <w:rsid w:val="00952A66"/>
    <w:rsid w:val="009A2D9E"/>
    <w:rsid w:val="009A6CD8"/>
    <w:rsid w:val="009B1EA1"/>
    <w:rsid w:val="009B7C9A"/>
    <w:rsid w:val="009C56E5"/>
    <w:rsid w:val="009C7716"/>
    <w:rsid w:val="009E5FC8"/>
    <w:rsid w:val="009E6262"/>
    <w:rsid w:val="009E687A"/>
    <w:rsid w:val="009E7DC1"/>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46294"/>
    <w:rsid w:val="00B639E9"/>
    <w:rsid w:val="00B817CD"/>
    <w:rsid w:val="00B81A7D"/>
    <w:rsid w:val="00B94AD0"/>
    <w:rsid w:val="00BB3A95"/>
    <w:rsid w:val="00BD6CCE"/>
    <w:rsid w:val="00BE60AC"/>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1F13"/>
    <w:rsid w:val="00D52FD6"/>
    <w:rsid w:val="00D54009"/>
    <w:rsid w:val="00D5651D"/>
    <w:rsid w:val="00D57A34"/>
    <w:rsid w:val="00D63EFE"/>
    <w:rsid w:val="00D74898"/>
    <w:rsid w:val="00D801ED"/>
    <w:rsid w:val="00D936BC"/>
    <w:rsid w:val="00D96530"/>
    <w:rsid w:val="00DA1CB1"/>
    <w:rsid w:val="00DD44AF"/>
    <w:rsid w:val="00DE2AC3"/>
    <w:rsid w:val="00DE5692"/>
    <w:rsid w:val="00DE6300"/>
    <w:rsid w:val="00DF4BC6"/>
    <w:rsid w:val="00E03C94"/>
    <w:rsid w:val="00E03EB7"/>
    <w:rsid w:val="00E205BC"/>
    <w:rsid w:val="00E26226"/>
    <w:rsid w:val="00E45D05"/>
    <w:rsid w:val="00E55816"/>
    <w:rsid w:val="00E55AEF"/>
    <w:rsid w:val="00E747F1"/>
    <w:rsid w:val="00E976C1"/>
    <w:rsid w:val="00EA12E5"/>
    <w:rsid w:val="00EB55C6"/>
    <w:rsid w:val="00EF1932"/>
    <w:rsid w:val="00EF71B6"/>
    <w:rsid w:val="00F02766"/>
    <w:rsid w:val="00F05BD4"/>
    <w:rsid w:val="00F06473"/>
    <w:rsid w:val="00F13D25"/>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BC285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ListParagraph">
    <w:name w:val="List Paragraph"/>
    <w:basedOn w:val="Normal"/>
    <w:uiPriority w:val="34"/>
    <w:qFormat/>
    <w:rsid w:val="00914BE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R16-WRC19-C-0085!A7!MSW-E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ADE3-3DEC-4A48-B5E7-2C8E2ACC197F}">
  <ds:schemaRefs>
    <ds:schemaRef ds:uri="32a1a8c5-2265-4ebc-b7a0-2071e2c5c9bb"/>
    <ds:schemaRef ds:uri="http://schemas.microsoft.com/office/2006/metadata/properties"/>
    <ds:schemaRef ds:uri="996b2e75-67fd-4955-a3b0-5ab9934cb50b"/>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9AEA9-6C64-4954-8250-5ED7BB99C2C3}">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AC97F30-2779-4F18-8A4F-4AC47E53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930</Words>
  <Characters>4898</Characters>
  <Application>Microsoft Office Word</Application>
  <DocSecurity>0</DocSecurity>
  <Lines>102</Lines>
  <Paragraphs>41</Paragraphs>
  <ScaleCrop>false</ScaleCrop>
  <HeadingPairs>
    <vt:vector size="2" baseType="variant">
      <vt:variant>
        <vt:lpstr>Title</vt:lpstr>
      </vt:variant>
      <vt:variant>
        <vt:i4>1</vt:i4>
      </vt:variant>
    </vt:vector>
  </HeadingPairs>
  <TitlesOfParts>
    <vt:vector size="1" baseType="lpstr">
      <vt:lpstr>R16-WRC19-C-0085!A7!MSW-E</vt:lpstr>
    </vt:vector>
  </TitlesOfParts>
  <Manager>General Secretariat - Pool</Manager>
  <Company>International Telecommunication Union (ITU)</Company>
  <LinksUpToDate>false</LinksUpToDate>
  <CharactersWithSpaces>5803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R16-WRC19-C-0085!A7!MSW-E</dc:title>
  <dc:subject>World Radiocommunication Conference - 2019</dc:subject>
  <dc:creator>Documents Proposals Manager (DPM)</dc:creator>
  <cp:keywords>DPM_v2019.10.8.1_prod</cp:keywords>
  <dc:description>Uploaded on 2015.07.06</dc:description>
  <cp:lastModifiedBy>English</cp:lastModifiedBy>
  <cp:revision>15</cp:revision>
  <cp:lastPrinted>2019-10-18T13:21:00Z</cp:lastPrinted>
  <dcterms:created xsi:type="dcterms:W3CDTF">2019-10-14T12:31:00Z</dcterms:created>
  <dcterms:modified xsi:type="dcterms:W3CDTF">2019-10-18T13:21:00Z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