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DF6607" w14:paraId="51A84EB6" w14:textId="77777777" w:rsidTr="0050008E">
        <w:trPr>
          <w:cantSplit/>
        </w:trPr>
        <w:tc>
          <w:tcPr>
            <w:tcW w:w="6911" w:type="dxa"/>
          </w:tcPr>
          <w:p w14:paraId="66CAB5CB" w14:textId="77777777" w:rsidR="0090121B" w:rsidRPr="00DF6607" w:rsidRDefault="005D46FB" w:rsidP="00C53B48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C53B48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C53B48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C53B48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C53B48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C53B4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el-Sheikh (Egipto)</w:t>
            </w:r>
            <w:r w:rsidRPr="00C53B4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C53B4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C53B4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C53B4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C53B4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C53B4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C53B4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C53B48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120" w:type="dxa"/>
          </w:tcPr>
          <w:p w14:paraId="09AD1FC4" w14:textId="77777777" w:rsidR="0090121B" w:rsidRPr="00C53B48" w:rsidRDefault="00DA71A3" w:rsidP="00C53B48">
            <w:pPr>
              <w:spacing w:before="0"/>
              <w:jc w:val="right"/>
              <w:rPr>
                <w:lang w:val="es-ES"/>
              </w:rPr>
            </w:pPr>
            <w:r w:rsidRPr="00C53B48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32383B1C" wp14:editId="324063EF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F6607" w14:paraId="0517B52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E071E9" w14:textId="77777777" w:rsidR="0090121B" w:rsidRPr="00C53B48" w:rsidRDefault="0090121B" w:rsidP="00C53B48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D7ED0A8" w14:textId="77777777" w:rsidR="0090121B" w:rsidRPr="00C53B48" w:rsidRDefault="0090121B" w:rsidP="00C53B48">
            <w:pPr>
              <w:spacing w:before="0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DF6607" w14:paraId="4E0361EA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98D0682" w14:textId="77777777" w:rsidR="0090121B" w:rsidRPr="00C53B48" w:rsidRDefault="0090121B" w:rsidP="00C53B4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23FA0AA" w14:textId="77777777" w:rsidR="0090121B" w:rsidRPr="00C53B48" w:rsidRDefault="0090121B" w:rsidP="00C53B48">
            <w:pPr>
              <w:spacing w:before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DF6607" w14:paraId="774F15CF" w14:textId="77777777" w:rsidTr="0090121B">
        <w:trPr>
          <w:cantSplit/>
        </w:trPr>
        <w:tc>
          <w:tcPr>
            <w:tcW w:w="6911" w:type="dxa"/>
          </w:tcPr>
          <w:p w14:paraId="72D024C6" w14:textId="77777777" w:rsidR="0090121B" w:rsidRPr="00C53B48" w:rsidRDefault="001E7D42" w:rsidP="00C53B48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"/>
              </w:rPr>
            </w:pPr>
            <w:r w:rsidRPr="00C53B48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</w:tcPr>
          <w:p w14:paraId="361FA6CF" w14:textId="77777777" w:rsidR="0090121B" w:rsidRPr="00C53B48" w:rsidRDefault="00AE658F" w:rsidP="00C53B48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C53B48">
              <w:rPr>
                <w:rFonts w:ascii="Verdana" w:hAnsi="Verdana"/>
                <w:b/>
                <w:sz w:val="18"/>
                <w:szCs w:val="18"/>
                <w:lang w:val="es-ES"/>
              </w:rPr>
              <w:t>Addéndum 7 al</w:t>
            </w:r>
            <w:r w:rsidRPr="00C53B48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80</w:t>
            </w:r>
            <w:r w:rsidR="0090121B" w:rsidRPr="00C53B48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C53B48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DF6607" w14:paraId="1EBDCDF1" w14:textId="77777777" w:rsidTr="0090121B">
        <w:trPr>
          <w:cantSplit/>
        </w:trPr>
        <w:tc>
          <w:tcPr>
            <w:tcW w:w="6911" w:type="dxa"/>
          </w:tcPr>
          <w:p w14:paraId="30049266" w14:textId="77777777" w:rsidR="000A5B9A" w:rsidRPr="00C53B48" w:rsidRDefault="000A5B9A" w:rsidP="00C53B48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3A71119F" w14:textId="77777777" w:rsidR="000A5B9A" w:rsidRPr="00C53B48" w:rsidRDefault="000A5B9A" w:rsidP="00C53B48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C53B48">
              <w:rPr>
                <w:rFonts w:ascii="Verdana" w:hAnsi="Verdana"/>
                <w:b/>
                <w:sz w:val="18"/>
                <w:szCs w:val="18"/>
                <w:lang w:val="es-ES"/>
              </w:rPr>
              <w:t>7 de octubre de 2019</w:t>
            </w:r>
          </w:p>
        </w:tc>
      </w:tr>
      <w:tr w:rsidR="000A5B9A" w:rsidRPr="00DF6607" w14:paraId="7A37DE56" w14:textId="77777777" w:rsidTr="0090121B">
        <w:trPr>
          <w:cantSplit/>
        </w:trPr>
        <w:tc>
          <w:tcPr>
            <w:tcW w:w="6911" w:type="dxa"/>
          </w:tcPr>
          <w:p w14:paraId="72924D78" w14:textId="77777777" w:rsidR="000A5B9A" w:rsidRPr="00C53B48" w:rsidRDefault="000A5B9A" w:rsidP="00C53B48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71B2FA43" w14:textId="77777777" w:rsidR="000A5B9A" w:rsidRPr="00C53B48" w:rsidRDefault="000A5B9A" w:rsidP="00C53B48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C53B48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DF6607" w14:paraId="22D52256" w14:textId="77777777" w:rsidTr="006744FC">
        <w:trPr>
          <w:cantSplit/>
        </w:trPr>
        <w:tc>
          <w:tcPr>
            <w:tcW w:w="10031" w:type="dxa"/>
            <w:gridSpan w:val="2"/>
          </w:tcPr>
          <w:p w14:paraId="4C598F23" w14:textId="77777777" w:rsidR="000A5B9A" w:rsidRPr="00C53B48" w:rsidRDefault="000A5B9A" w:rsidP="00C53B48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DF6607" w14:paraId="51323420" w14:textId="77777777" w:rsidTr="0050008E">
        <w:trPr>
          <w:cantSplit/>
        </w:trPr>
        <w:tc>
          <w:tcPr>
            <w:tcW w:w="10031" w:type="dxa"/>
            <w:gridSpan w:val="2"/>
          </w:tcPr>
          <w:p w14:paraId="6592F0F1" w14:textId="77777777" w:rsidR="000A5B9A" w:rsidRPr="00C53B48" w:rsidRDefault="000A5B9A" w:rsidP="00C53B48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C53B48">
              <w:rPr>
                <w:lang w:val="es-ES"/>
              </w:rPr>
              <w:t>Japón</w:t>
            </w:r>
          </w:p>
        </w:tc>
      </w:tr>
      <w:tr w:rsidR="000A5B9A" w:rsidRPr="00DF6607" w14:paraId="2FA89FCE" w14:textId="77777777" w:rsidTr="0050008E">
        <w:trPr>
          <w:cantSplit/>
        </w:trPr>
        <w:tc>
          <w:tcPr>
            <w:tcW w:w="10031" w:type="dxa"/>
            <w:gridSpan w:val="2"/>
          </w:tcPr>
          <w:p w14:paraId="0E06A305" w14:textId="31D9D629" w:rsidR="000A5B9A" w:rsidRPr="00DF6607" w:rsidRDefault="00E92D91" w:rsidP="00C53B48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DF6607">
              <w:rPr>
                <w:lang w:val="es-ES"/>
              </w:rPr>
              <w:t>Propuestas para los trabajos de la Conferencia</w:t>
            </w:r>
          </w:p>
        </w:tc>
      </w:tr>
      <w:tr w:rsidR="000A5B9A" w:rsidRPr="00DF6607" w14:paraId="7D6EB810" w14:textId="77777777" w:rsidTr="0050008E">
        <w:trPr>
          <w:cantSplit/>
        </w:trPr>
        <w:tc>
          <w:tcPr>
            <w:tcW w:w="10031" w:type="dxa"/>
            <w:gridSpan w:val="2"/>
          </w:tcPr>
          <w:p w14:paraId="73076305" w14:textId="77777777" w:rsidR="000A5B9A" w:rsidRPr="00DF6607" w:rsidRDefault="000A5B9A" w:rsidP="00C53B48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RPr="00DF6607" w14:paraId="3C789B37" w14:textId="77777777" w:rsidTr="0050008E">
        <w:trPr>
          <w:cantSplit/>
        </w:trPr>
        <w:tc>
          <w:tcPr>
            <w:tcW w:w="10031" w:type="dxa"/>
            <w:gridSpan w:val="2"/>
          </w:tcPr>
          <w:p w14:paraId="1B984AC1" w14:textId="77777777" w:rsidR="000A5B9A" w:rsidRPr="00C53B48" w:rsidRDefault="000A5B9A" w:rsidP="00C53B48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  <w:r w:rsidRPr="00C53B48">
              <w:rPr>
                <w:lang w:val="es-ES"/>
              </w:rPr>
              <w:t>Punto 1.7 del orden del día</w:t>
            </w:r>
          </w:p>
        </w:tc>
      </w:tr>
    </w:tbl>
    <w:bookmarkEnd w:id="4"/>
    <w:p w14:paraId="79E7634B" w14:textId="77777777" w:rsidR="001C0E40" w:rsidRPr="00C53B48" w:rsidRDefault="002A7FE2">
      <w:pPr>
        <w:rPr>
          <w:lang w:val="es-ES"/>
        </w:rPr>
      </w:pPr>
      <w:r w:rsidRPr="00C53B48">
        <w:rPr>
          <w:lang w:val="es-ES"/>
        </w:rPr>
        <w:t>1.7</w:t>
      </w:r>
      <w:r w:rsidRPr="00C53B48">
        <w:rPr>
          <w:lang w:val="es-ES"/>
        </w:rPr>
        <w:tab/>
        <w:t xml:space="preserve">estudiar las necesidades de espectro para seguimiento, telemedida y telemando del servicio de operaciones espaciales para satélites no OSG con misiones de corta duración, a fin de evaluar la adecuación de las atribuciones existentes al servicio de operaciones espaciales y, si es necesario, considerar nuevas atribuciones, de conformidad con la Resolución </w:t>
      </w:r>
      <w:r w:rsidRPr="00C53B48">
        <w:rPr>
          <w:b/>
          <w:bCs/>
          <w:lang w:val="es-ES"/>
        </w:rPr>
        <w:t>659 (CMR</w:t>
      </w:r>
      <w:r w:rsidRPr="00C53B48">
        <w:rPr>
          <w:b/>
          <w:bCs/>
          <w:lang w:val="es-ES"/>
        </w:rPr>
        <w:noBreakHyphen/>
        <w:t>15)</w:t>
      </w:r>
      <w:r w:rsidRPr="00C53B48">
        <w:rPr>
          <w:lang w:val="es-ES"/>
        </w:rPr>
        <w:t>;</w:t>
      </w:r>
    </w:p>
    <w:p w14:paraId="0F3DA005" w14:textId="5B085284" w:rsidR="00D75962" w:rsidRPr="00C25481" w:rsidRDefault="00D949FD" w:rsidP="00C25481">
      <w:pPr>
        <w:pStyle w:val="Headingb"/>
        <w:rPr>
          <w:lang w:val="es-ES"/>
        </w:rPr>
      </w:pPr>
      <w:r w:rsidRPr="00C25481">
        <w:rPr>
          <w:lang w:val="es-ES"/>
        </w:rPr>
        <w:t>Antecedentes</w:t>
      </w:r>
    </w:p>
    <w:p w14:paraId="4A30AB7E" w14:textId="1BAE868B" w:rsidR="00D75962" w:rsidRPr="00C25481" w:rsidRDefault="00D949FD" w:rsidP="00C25481">
      <w:pPr>
        <w:rPr>
          <w:lang w:val="es-ES" w:eastAsia="zh-CN"/>
        </w:rPr>
      </w:pPr>
      <w:r w:rsidRPr="00C25481">
        <w:rPr>
          <w:lang w:val="es-ES" w:eastAsia="zh-CN"/>
        </w:rPr>
        <w:t>Este punto del orden del día tiene por objeto examinar los resultados de los estudios del UI</w:t>
      </w:r>
      <w:r w:rsidRPr="00DF6607">
        <w:rPr>
          <w:lang w:val="es-ES" w:eastAsia="zh-CN"/>
        </w:rPr>
        <w:t>T-</w:t>
      </w:r>
      <w:r w:rsidRPr="00C25481">
        <w:rPr>
          <w:lang w:val="es-ES" w:eastAsia="zh-CN"/>
        </w:rPr>
        <w:t xml:space="preserve">R y </w:t>
      </w:r>
      <w:r w:rsidRPr="00DF6607">
        <w:rPr>
          <w:lang w:val="es-ES" w:eastAsia="zh-CN"/>
        </w:rPr>
        <w:t>adoptar las medidas necesarias, según proceda. En</w:t>
      </w:r>
      <w:r w:rsidRPr="00C25481">
        <w:rPr>
          <w:lang w:val="es-ES" w:eastAsia="zh-CN"/>
        </w:rPr>
        <w:t xml:space="preserve"> la Resolución </w:t>
      </w:r>
      <w:r w:rsidR="00D75962" w:rsidRPr="00C25481">
        <w:rPr>
          <w:b/>
          <w:bCs/>
          <w:lang w:val="es-ES" w:eastAsia="zh-CN"/>
        </w:rPr>
        <w:t>659 (</w:t>
      </w:r>
      <w:r w:rsidRPr="00C25481">
        <w:rPr>
          <w:b/>
          <w:bCs/>
          <w:lang w:val="es-ES" w:eastAsia="zh-CN"/>
        </w:rPr>
        <w:t>CMR</w:t>
      </w:r>
      <w:r w:rsidR="00D75962" w:rsidRPr="00C25481">
        <w:rPr>
          <w:b/>
          <w:bCs/>
          <w:lang w:val="es-ES" w:eastAsia="zh-CN"/>
        </w:rPr>
        <w:t>-15)</w:t>
      </w:r>
      <w:r w:rsidR="00D75962" w:rsidRPr="00C25481">
        <w:rPr>
          <w:lang w:val="es-ES" w:eastAsia="zh-CN"/>
        </w:rPr>
        <w:t xml:space="preserve"> </w:t>
      </w:r>
      <w:r w:rsidRPr="00C25481">
        <w:rPr>
          <w:lang w:val="es-ES" w:eastAsia="zh-CN"/>
        </w:rPr>
        <w:t xml:space="preserve">se indican </w:t>
      </w:r>
      <w:r w:rsidR="001133E0" w:rsidRPr="00DF6607">
        <w:rPr>
          <w:lang w:val="es-ES" w:eastAsia="zh-CN"/>
        </w:rPr>
        <w:t>cuáles</w:t>
      </w:r>
      <w:r w:rsidRPr="00C25481">
        <w:rPr>
          <w:lang w:val="es-ES" w:eastAsia="zh-CN"/>
        </w:rPr>
        <w:t xml:space="preserve"> son es</w:t>
      </w:r>
      <w:r w:rsidRPr="00DF6607">
        <w:rPr>
          <w:lang w:val="es-ES" w:eastAsia="zh-CN"/>
        </w:rPr>
        <w:t>os</w:t>
      </w:r>
      <w:r w:rsidRPr="00C25481">
        <w:rPr>
          <w:lang w:val="es-ES" w:eastAsia="zh-CN"/>
        </w:rPr>
        <w:t xml:space="preserve"> es</w:t>
      </w:r>
      <w:r w:rsidRPr="00DF6607">
        <w:rPr>
          <w:lang w:val="es-ES" w:eastAsia="zh-CN"/>
        </w:rPr>
        <w:t xml:space="preserve">tudios del UIT-R y </w:t>
      </w:r>
      <w:r w:rsidR="001133E0" w:rsidRPr="00DF6607">
        <w:rPr>
          <w:lang w:val="es-ES" w:eastAsia="zh-CN"/>
        </w:rPr>
        <w:t>las medidas que han de adoptarse, como sigue</w:t>
      </w:r>
      <w:r w:rsidR="00D75962" w:rsidRPr="00C25481">
        <w:rPr>
          <w:lang w:val="es-ES" w:eastAsia="zh-CN"/>
        </w:rPr>
        <w:t>:</w:t>
      </w:r>
    </w:p>
    <w:p w14:paraId="4E2EC287" w14:textId="7F2D9F6A" w:rsidR="00D75962" w:rsidRPr="00C25481" w:rsidRDefault="00D75962" w:rsidP="00C25481">
      <w:pPr>
        <w:pStyle w:val="enumlev1"/>
        <w:rPr>
          <w:lang w:val="es-ES" w:eastAsia="zh-CN"/>
        </w:rPr>
      </w:pPr>
      <w:r w:rsidRPr="00C25481">
        <w:rPr>
          <w:lang w:val="es-ES" w:eastAsia="zh-CN"/>
        </w:rPr>
        <w:t>–</w:t>
      </w:r>
      <w:r w:rsidRPr="00C25481">
        <w:rPr>
          <w:lang w:val="es-ES" w:eastAsia="zh-CN"/>
        </w:rPr>
        <w:tab/>
        <w:t>estudiar los requisitos de espectro para seguimiento, telemedida y telemando del servicio de operaciones espaciales para el creciente número de satélites no OSG con misiones de duración corta, teniendo en cuenta el número </w:t>
      </w:r>
      <w:r w:rsidRPr="00C25481">
        <w:rPr>
          <w:b/>
          <w:bCs/>
          <w:lang w:val="es-ES" w:eastAsia="zh-CN"/>
        </w:rPr>
        <w:t>1.23</w:t>
      </w:r>
      <w:r w:rsidRPr="00C25481">
        <w:rPr>
          <w:lang w:val="es-ES" w:eastAsia="zh-CN"/>
        </w:rPr>
        <w:t>;</w:t>
      </w:r>
    </w:p>
    <w:p w14:paraId="72E9824B" w14:textId="3321846B" w:rsidR="00D75962" w:rsidRPr="00C25481" w:rsidRDefault="00D75962" w:rsidP="00C25481">
      <w:pPr>
        <w:pStyle w:val="enumlev1"/>
        <w:rPr>
          <w:lang w:val="es-ES" w:eastAsia="zh-CN"/>
        </w:rPr>
      </w:pPr>
      <w:r w:rsidRPr="00C25481">
        <w:rPr>
          <w:lang w:val="es-ES" w:eastAsia="zh-CN"/>
        </w:rPr>
        <w:t>–</w:t>
      </w:r>
      <w:r w:rsidRPr="00C25481">
        <w:rPr>
          <w:lang w:val="es-ES" w:eastAsia="zh-CN"/>
        </w:rPr>
        <w:tab/>
        <w:t>evaluar la idoneidad de las atribuciones existentes al servicio de operaciones espaciales en los rangos de frecuencia por debajo de 1 GHz</w:t>
      </w:r>
      <w:r w:rsidR="001133E0" w:rsidRPr="00C25481">
        <w:rPr>
          <w:lang w:val="es-ES" w:eastAsia="zh-CN"/>
        </w:rPr>
        <w:t>,</w:t>
      </w:r>
      <w:r w:rsidRPr="00C25481">
        <w:rPr>
          <w:lang w:val="es-ES" w:eastAsia="zh-CN"/>
        </w:rPr>
        <w:t xml:space="preserve"> teniendo en cuenta el uso actual</w:t>
      </w:r>
      <w:r w:rsidR="001133E0" w:rsidRPr="00C25481">
        <w:rPr>
          <w:lang w:val="es-ES" w:eastAsia="zh-CN"/>
        </w:rPr>
        <w:t xml:space="preserve"> y que las atribuciones existentes al servicio de operaciones espaciales por debajo de 1 GHz, a las que se aplica el número </w:t>
      </w:r>
      <w:r w:rsidR="001133E0" w:rsidRPr="00C25481">
        <w:rPr>
          <w:b/>
          <w:bCs/>
          <w:lang w:val="es-ES" w:eastAsia="zh-CN"/>
        </w:rPr>
        <w:t>9.21</w:t>
      </w:r>
      <w:r w:rsidR="001133E0" w:rsidRPr="00C25481">
        <w:rPr>
          <w:lang w:val="es-ES" w:eastAsia="zh-CN"/>
        </w:rPr>
        <w:t>, no son idóneas para los satélites no OSG con misiones de corta duración</w:t>
      </w:r>
      <w:r w:rsidRPr="00C25481">
        <w:rPr>
          <w:lang w:val="es-ES" w:eastAsia="zh-CN"/>
        </w:rPr>
        <w:t>;</w:t>
      </w:r>
    </w:p>
    <w:p w14:paraId="504CE58F" w14:textId="3EC3C2AA" w:rsidR="00D75962" w:rsidRPr="00C53B48" w:rsidRDefault="00D75962" w:rsidP="00C25481">
      <w:pPr>
        <w:pStyle w:val="enumlev1"/>
      </w:pPr>
      <w:r w:rsidRPr="00C25481">
        <w:rPr>
          <w:lang w:val="es-ES" w:eastAsia="zh-CN"/>
        </w:rPr>
        <w:t>–</w:t>
      </w:r>
      <w:r w:rsidRPr="00C25481">
        <w:rPr>
          <w:lang w:val="es-ES" w:eastAsia="zh-CN"/>
        </w:rPr>
        <w:tab/>
        <w:t>realizar, si los estudios de las atribuciones actuales al servicio de operaciones espaciales indican que no pueden satisfacerse los requisitos al amparo de los</w:t>
      </w:r>
      <w:r w:rsidR="00750E4D" w:rsidRPr="00C25481">
        <w:rPr>
          <w:lang w:val="es-ES" w:eastAsia="zh-CN"/>
        </w:rPr>
        <w:t xml:space="preserve"> párrafos </w:t>
      </w:r>
      <w:r w:rsidR="00750E4D" w:rsidRPr="00C25481">
        <w:rPr>
          <w:i/>
          <w:iCs/>
          <w:lang w:val="es-ES" w:eastAsia="zh-CN"/>
        </w:rPr>
        <w:t>supra</w:t>
      </w:r>
      <w:r w:rsidRPr="00C25481">
        <w:rPr>
          <w:lang w:val="es-ES" w:eastAsia="zh-CN"/>
        </w:rPr>
        <w:t>, estudios de compartición y compatibilidad</w:t>
      </w:r>
      <w:r w:rsidR="00750E4D" w:rsidRPr="00C25481">
        <w:rPr>
          <w:lang w:val="es-ES" w:eastAsia="zh-CN"/>
        </w:rPr>
        <w:t>,</w:t>
      </w:r>
      <w:r w:rsidRPr="00C25481">
        <w:rPr>
          <w:lang w:val="es-ES" w:eastAsia="zh-CN"/>
        </w:rPr>
        <w:t xml:space="preserve"> y estudios sobre técnicas de mitigación para proteger los servicios existentes, dentro de banda </w:t>
      </w:r>
      <w:r w:rsidRPr="00C25481">
        <w:rPr>
          <w:iCs/>
          <w:lang w:val="es-ES" w:eastAsia="zh-CN"/>
        </w:rPr>
        <w:t xml:space="preserve">de frecuencias </w:t>
      </w:r>
      <w:r w:rsidRPr="00C25481">
        <w:rPr>
          <w:lang w:val="es-ES" w:eastAsia="zh-CN"/>
        </w:rPr>
        <w:t xml:space="preserve">y en bandas </w:t>
      </w:r>
      <w:r w:rsidRPr="00C25481">
        <w:rPr>
          <w:iCs/>
          <w:lang w:val="es-ES" w:eastAsia="zh-CN"/>
        </w:rPr>
        <w:t xml:space="preserve">de frecuencias </w:t>
      </w:r>
      <w:r w:rsidRPr="00C25481">
        <w:rPr>
          <w:lang w:val="es-ES" w:eastAsia="zh-CN"/>
        </w:rPr>
        <w:t>adyacentes, a fin de considerar posibles atribuciones nuevas o actualizadas al servicio de operaciones espaciales en las gamas de frecuencias 150,05</w:t>
      </w:r>
      <w:r w:rsidRPr="00C25481">
        <w:rPr>
          <w:lang w:val="es-ES" w:eastAsia="zh-CN"/>
        </w:rPr>
        <w:noBreakHyphen/>
        <w:t>174 MHz y 400,15</w:t>
      </w:r>
      <w:r w:rsidRPr="00C25481">
        <w:rPr>
          <w:lang w:val="es-ES" w:eastAsia="zh-CN"/>
        </w:rPr>
        <w:noBreakHyphen/>
        <w:t>420 MHz</w:t>
      </w:r>
      <w:r w:rsidR="00750E4D" w:rsidRPr="00C25481">
        <w:rPr>
          <w:lang w:val="es-ES" w:eastAsia="zh-CN"/>
        </w:rPr>
        <w:t>.</w:t>
      </w:r>
    </w:p>
    <w:p w14:paraId="310F7831" w14:textId="29EA379C" w:rsidR="00D75962" w:rsidRPr="00C25481" w:rsidRDefault="00183276" w:rsidP="00C25481">
      <w:pPr>
        <w:rPr>
          <w:lang w:val="es-ES" w:eastAsia="ja-JP"/>
        </w:rPr>
      </w:pPr>
      <w:r w:rsidRPr="00C25481">
        <w:rPr>
          <w:lang w:val="es-ES" w:eastAsia="ja-JP"/>
        </w:rPr>
        <w:t>E</w:t>
      </w:r>
      <w:r w:rsidR="00A3524C" w:rsidRPr="00C25481">
        <w:rPr>
          <w:lang w:val="es-ES" w:eastAsia="ja-JP"/>
        </w:rPr>
        <w:t>n la reunión del Grupo Preparatorio de la Conferencia de la APT para la CMR-19 (</w:t>
      </w:r>
      <w:r w:rsidR="00D75962" w:rsidRPr="00C25481">
        <w:rPr>
          <w:lang w:val="es-ES" w:eastAsia="ja-JP"/>
        </w:rPr>
        <w:t>APG19-5</w:t>
      </w:r>
      <w:r w:rsidR="00A3524C" w:rsidRPr="00C25481">
        <w:rPr>
          <w:lang w:val="es-ES" w:eastAsia="ja-JP"/>
        </w:rPr>
        <w:t>)</w:t>
      </w:r>
      <w:r w:rsidR="00D75962" w:rsidRPr="00C25481">
        <w:rPr>
          <w:lang w:val="es-ES" w:eastAsia="ja-JP"/>
        </w:rPr>
        <w:t xml:space="preserve"> </w:t>
      </w:r>
      <w:r w:rsidR="00A3524C" w:rsidRPr="00DF6607">
        <w:rPr>
          <w:lang w:val="es-ES" w:eastAsia="ja-JP"/>
        </w:rPr>
        <w:t>c</w:t>
      </w:r>
      <w:r w:rsidR="00A3524C" w:rsidRPr="00C25481">
        <w:rPr>
          <w:lang w:val="es-ES" w:eastAsia="ja-JP"/>
        </w:rPr>
        <w:t>el</w:t>
      </w:r>
      <w:r w:rsidR="00A3524C" w:rsidRPr="00DF6607">
        <w:rPr>
          <w:lang w:val="es-ES" w:eastAsia="ja-JP"/>
        </w:rPr>
        <w:t xml:space="preserve">ebrada en julio y agosto de </w:t>
      </w:r>
      <w:r w:rsidR="00D75962" w:rsidRPr="00C25481">
        <w:rPr>
          <w:lang w:val="es-ES" w:eastAsia="ja-JP"/>
        </w:rPr>
        <w:t xml:space="preserve">2019, </w:t>
      </w:r>
      <w:r w:rsidR="00A3524C" w:rsidRPr="00DF6607">
        <w:rPr>
          <w:lang w:val="es-ES" w:eastAsia="ja-JP"/>
        </w:rPr>
        <w:t xml:space="preserve">los miembros de la </w:t>
      </w:r>
      <w:r w:rsidR="00D75962" w:rsidRPr="00C25481">
        <w:rPr>
          <w:lang w:val="es-ES" w:eastAsia="ja-JP"/>
        </w:rPr>
        <w:t xml:space="preserve">APT </w:t>
      </w:r>
      <w:r w:rsidR="00A3524C" w:rsidRPr="00DF6607">
        <w:rPr>
          <w:lang w:val="es-ES" w:eastAsia="ja-JP"/>
        </w:rPr>
        <w:t>no llegaron a un acuerdo sobre la elaboración de un proyecto de texto reglamentario específico para el punto 1.7 del orden del día</w:t>
      </w:r>
      <w:r w:rsidR="00D75962" w:rsidRPr="00C25481">
        <w:rPr>
          <w:lang w:val="es-ES" w:eastAsia="ja-JP"/>
        </w:rPr>
        <w:t xml:space="preserve">. </w:t>
      </w:r>
      <w:r w:rsidR="00A3524C" w:rsidRPr="00DF6607">
        <w:rPr>
          <w:lang w:val="es-ES" w:eastAsia="ja-JP"/>
        </w:rPr>
        <w:t>En</w:t>
      </w:r>
      <w:r w:rsidR="00A3524C" w:rsidRPr="00C25481">
        <w:rPr>
          <w:lang w:val="es-ES" w:eastAsia="ja-JP"/>
        </w:rPr>
        <w:t xml:space="preserve"> la Propuesta Común de la </w:t>
      </w:r>
      <w:r w:rsidR="00D75962" w:rsidRPr="00C25481">
        <w:rPr>
          <w:lang w:val="es-ES" w:eastAsia="ja-JP"/>
        </w:rPr>
        <w:t xml:space="preserve">APT (ACP) </w:t>
      </w:r>
      <w:r w:rsidR="00A3524C" w:rsidRPr="00C25481">
        <w:rPr>
          <w:lang w:val="es-ES" w:eastAsia="ja-JP"/>
        </w:rPr>
        <w:t xml:space="preserve">se describen únicamente las opiniones de </w:t>
      </w:r>
      <w:r w:rsidR="00A3524C" w:rsidRPr="00DF6607">
        <w:rPr>
          <w:lang w:val="es-ES" w:eastAsia="ja-JP"/>
        </w:rPr>
        <w:t>los</w:t>
      </w:r>
      <w:r w:rsidR="00A3524C" w:rsidRPr="00C25481">
        <w:rPr>
          <w:lang w:val="es-ES" w:eastAsia="ja-JP"/>
        </w:rPr>
        <w:t xml:space="preserve"> miembro</w:t>
      </w:r>
      <w:r w:rsidR="00A3524C" w:rsidRPr="00DF6607">
        <w:rPr>
          <w:lang w:val="es-ES" w:eastAsia="ja-JP"/>
        </w:rPr>
        <w:t>s</w:t>
      </w:r>
      <w:r w:rsidR="00A3524C" w:rsidRPr="00C25481">
        <w:rPr>
          <w:lang w:val="es-ES" w:eastAsia="ja-JP"/>
        </w:rPr>
        <w:t xml:space="preserve"> de </w:t>
      </w:r>
      <w:r w:rsidR="00A3524C" w:rsidRPr="00C25481">
        <w:rPr>
          <w:lang w:val="es-ES" w:eastAsia="ja-JP"/>
        </w:rPr>
        <w:lastRenderedPageBreak/>
        <w:t>la</w:t>
      </w:r>
      <w:r w:rsidR="00C53B48">
        <w:rPr>
          <w:lang w:val="es-ES" w:eastAsia="ja-JP"/>
        </w:rPr>
        <w:t> </w:t>
      </w:r>
      <w:r w:rsidR="00A3524C" w:rsidRPr="00C25481">
        <w:rPr>
          <w:lang w:val="es-ES" w:eastAsia="ja-JP"/>
        </w:rPr>
        <w:t xml:space="preserve">APT, </w:t>
      </w:r>
      <w:r w:rsidR="00A3524C" w:rsidRPr="00DF6607">
        <w:rPr>
          <w:lang w:val="es-ES" w:eastAsia="ja-JP"/>
        </w:rPr>
        <w:t>a saber, la mayoría apoya</w:t>
      </w:r>
      <w:r w:rsidR="00A3524C" w:rsidRPr="00C25481">
        <w:rPr>
          <w:lang w:val="es-ES" w:eastAsia="ja-JP"/>
        </w:rPr>
        <w:t xml:space="preserve"> principal</w:t>
      </w:r>
      <w:r w:rsidR="00A3524C" w:rsidRPr="00DF6607">
        <w:rPr>
          <w:lang w:val="es-ES" w:eastAsia="ja-JP"/>
        </w:rPr>
        <w:t xml:space="preserve">mente </w:t>
      </w:r>
      <w:r w:rsidR="00A3524C" w:rsidRPr="00C25481">
        <w:rPr>
          <w:lang w:val="es-ES" w:eastAsia="ja-JP"/>
        </w:rPr>
        <w:t xml:space="preserve">los Métodos </w:t>
      </w:r>
      <w:r w:rsidR="00D75962" w:rsidRPr="00C25481">
        <w:rPr>
          <w:lang w:val="es-ES" w:eastAsia="ja-JP"/>
        </w:rPr>
        <w:t xml:space="preserve">A </w:t>
      </w:r>
      <w:r w:rsidR="00A3524C" w:rsidRPr="00C25481">
        <w:rPr>
          <w:lang w:val="es-ES" w:eastAsia="ja-JP"/>
        </w:rPr>
        <w:t xml:space="preserve">y </w:t>
      </w:r>
      <w:r w:rsidR="00D75962" w:rsidRPr="00C25481">
        <w:rPr>
          <w:lang w:val="es-ES" w:eastAsia="ja-JP"/>
        </w:rPr>
        <w:t xml:space="preserve">C, </w:t>
      </w:r>
      <w:r w:rsidR="00A3524C" w:rsidRPr="00DF6607">
        <w:rPr>
          <w:lang w:val="es-ES" w:eastAsia="ja-JP"/>
        </w:rPr>
        <w:t xml:space="preserve">con una preferencia por el Método C con condiciones, y algunos miembros no respaldan el Método </w:t>
      </w:r>
      <w:r w:rsidR="00D75962" w:rsidRPr="00C25481">
        <w:rPr>
          <w:lang w:val="es-ES" w:eastAsia="ja-JP"/>
        </w:rPr>
        <w:t>C.</w:t>
      </w:r>
    </w:p>
    <w:p w14:paraId="3982B017" w14:textId="71F149B6" w:rsidR="00D75962" w:rsidRPr="00C25481" w:rsidRDefault="00D75962" w:rsidP="00C25481">
      <w:pPr>
        <w:pStyle w:val="Headingb"/>
        <w:keepLines/>
        <w:rPr>
          <w:lang w:val="es-ES"/>
        </w:rPr>
      </w:pPr>
      <w:r w:rsidRPr="00C25481">
        <w:rPr>
          <w:lang w:val="es-ES"/>
        </w:rPr>
        <w:t>Prop</w:t>
      </w:r>
      <w:r w:rsidR="00A3524C" w:rsidRPr="00C25481">
        <w:rPr>
          <w:lang w:val="es-ES"/>
        </w:rPr>
        <w:t>uesta</w:t>
      </w:r>
    </w:p>
    <w:p w14:paraId="60B7D37F" w14:textId="46C5F746" w:rsidR="00A3524C" w:rsidRPr="00DF6607" w:rsidRDefault="00A3524C" w:rsidP="00C25481">
      <w:pPr>
        <w:keepNext/>
        <w:keepLines/>
        <w:widowControl w:val="0"/>
        <w:spacing w:beforeLines="50" w:afterLines="50" w:after="120"/>
        <w:rPr>
          <w:rFonts w:eastAsiaTheme="minorEastAsia"/>
          <w:lang w:val="es-ES" w:eastAsia="ja-JP"/>
        </w:rPr>
      </w:pPr>
      <w:r w:rsidRPr="00C53B48">
        <w:rPr>
          <w:rFonts w:eastAsiaTheme="minorEastAsia"/>
        </w:rPr>
        <w:t>El Japón no apoya los Métodos B1 ni B2, ya que los estudios del Informe UIT-R SA.2427-0 indican</w:t>
      </w:r>
      <w:r w:rsidR="00C25481" w:rsidRPr="00C53B48">
        <w:rPr>
          <w:rFonts w:eastAsiaTheme="minorEastAsia"/>
        </w:rPr>
        <w:t> </w:t>
      </w:r>
      <w:r w:rsidRPr="00C53B48">
        <w:rPr>
          <w:rFonts w:eastAsiaTheme="minorEastAsia"/>
        </w:rPr>
        <w:t>que la telemetría, el seguimiento y el telemando en el servicio de operaciones espaciales para los satélites no OSG con misiones de corta duración pueden compartirse con el servicio de</w:t>
      </w:r>
      <w:r w:rsidRPr="00C25481">
        <w:rPr>
          <w:rFonts w:eastAsiaTheme="minorEastAsia"/>
          <w:lang w:val="es-ES" w:eastAsia="ja-JP"/>
        </w:rPr>
        <w:t xml:space="preserve"> ayudas meteorológicas existente, sólo </w:t>
      </w:r>
      <w:r w:rsidRPr="00DF6607">
        <w:rPr>
          <w:rFonts w:eastAsiaTheme="minorEastAsia"/>
          <w:lang w:val="es-ES" w:eastAsia="ja-JP"/>
        </w:rPr>
        <w:t>con</w:t>
      </w:r>
      <w:r w:rsidRPr="00C25481">
        <w:rPr>
          <w:rFonts w:eastAsiaTheme="minorEastAsia"/>
          <w:lang w:val="es-ES" w:eastAsia="ja-JP"/>
        </w:rPr>
        <w:t xml:space="preserve"> condiciones limitadas. </w:t>
      </w:r>
    </w:p>
    <w:p w14:paraId="4DF3E5EC" w14:textId="5D726EE7" w:rsidR="00D75962" w:rsidRPr="00C25481" w:rsidRDefault="00A3524C" w:rsidP="00C25481">
      <w:pPr>
        <w:widowControl w:val="0"/>
        <w:spacing w:beforeLines="50" w:afterLines="50" w:after="120"/>
        <w:rPr>
          <w:rFonts w:eastAsiaTheme="minorEastAsia"/>
          <w:lang w:val="es-ES" w:eastAsia="ja-JP"/>
        </w:rPr>
      </w:pPr>
      <w:r w:rsidRPr="00C25481">
        <w:rPr>
          <w:lang w:val="es-ES"/>
        </w:rPr>
        <w:t>Con respecto al Método</w:t>
      </w:r>
      <w:r w:rsidR="00D75962" w:rsidRPr="00C25481">
        <w:rPr>
          <w:rFonts w:eastAsiaTheme="minorEastAsia"/>
          <w:lang w:val="es-ES" w:eastAsia="ja-JP"/>
        </w:rPr>
        <w:t xml:space="preserve"> C, </w:t>
      </w:r>
      <w:r w:rsidRPr="00C25481">
        <w:rPr>
          <w:rFonts w:eastAsiaTheme="minorEastAsia"/>
          <w:lang w:val="es-ES" w:eastAsia="ja-JP"/>
        </w:rPr>
        <w:t>no se han completado los estudios de compartición y compatibilidad en</w:t>
      </w:r>
      <w:r w:rsidR="00DF6607">
        <w:rPr>
          <w:rFonts w:eastAsiaTheme="minorEastAsia"/>
          <w:lang w:val="es-ES" w:eastAsia="ja-JP"/>
        </w:rPr>
        <w:t xml:space="preserve"> materia de</w:t>
      </w:r>
      <w:r w:rsidR="00942A7A" w:rsidRPr="00DF6607">
        <w:rPr>
          <w:rFonts w:eastAsiaTheme="minorEastAsia"/>
          <w:lang w:val="es-ES" w:eastAsia="ja-JP"/>
        </w:rPr>
        <w:t xml:space="preserve"> </w:t>
      </w:r>
      <w:r w:rsidRPr="00C25481">
        <w:rPr>
          <w:rFonts w:eastAsiaTheme="minorEastAsia"/>
          <w:lang w:val="es-ES" w:eastAsia="ja-JP"/>
        </w:rPr>
        <w:t xml:space="preserve">telemedida, seguimiento y telemando en el </w:t>
      </w:r>
      <w:r w:rsidRPr="00DF6607">
        <w:rPr>
          <w:rFonts w:eastAsiaTheme="minorEastAsia"/>
          <w:lang w:val="es-ES" w:eastAsia="ja-JP"/>
        </w:rPr>
        <w:t>servicio de operaciones espaciales para satélites no OSG con misiones de corta duración</w:t>
      </w:r>
      <w:r w:rsidR="00942A7A" w:rsidRPr="00DF6607">
        <w:rPr>
          <w:rFonts w:eastAsiaTheme="minorEastAsia"/>
          <w:lang w:val="es-ES" w:eastAsia="ja-JP"/>
        </w:rPr>
        <w:t>, y los servicios establecidos</w:t>
      </w:r>
      <w:r w:rsidR="00D75962" w:rsidRPr="00C25481">
        <w:rPr>
          <w:rFonts w:eastAsiaTheme="minorEastAsia"/>
          <w:lang w:val="es-ES" w:eastAsia="ja-JP"/>
        </w:rPr>
        <w:t xml:space="preserve">. </w:t>
      </w:r>
      <w:r w:rsidR="00942A7A" w:rsidRPr="00DF6607">
        <w:rPr>
          <w:rFonts w:eastAsiaTheme="minorEastAsia"/>
          <w:lang w:val="es-ES" w:eastAsia="ja-JP"/>
        </w:rPr>
        <w:t>Además, se está elaborando un documento de trabajo para elaborar un anteproyecto de nuevo Informe</w:t>
      </w:r>
      <w:r w:rsidR="00C25481">
        <w:rPr>
          <w:rFonts w:eastAsiaTheme="minorEastAsia"/>
          <w:lang w:val="es-ES" w:eastAsia="ja-JP"/>
        </w:rPr>
        <w:t> </w:t>
      </w:r>
      <w:r w:rsidR="00942A7A" w:rsidRPr="00DF6607">
        <w:rPr>
          <w:rFonts w:eastAsiaTheme="minorEastAsia"/>
          <w:lang w:val="es-ES" w:eastAsia="ja-JP"/>
        </w:rPr>
        <w:t>UIT</w:t>
      </w:r>
      <w:r w:rsidR="00C25481">
        <w:rPr>
          <w:rFonts w:eastAsiaTheme="minorEastAsia"/>
          <w:lang w:val="es-ES" w:eastAsia="ja-JP"/>
        </w:rPr>
        <w:noBreakHyphen/>
      </w:r>
      <w:r w:rsidR="00942A7A" w:rsidRPr="00DF6607">
        <w:rPr>
          <w:rFonts w:eastAsiaTheme="minorEastAsia"/>
          <w:lang w:val="es-ES" w:eastAsia="ja-JP"/>
        </w:rPr>
        <w:t>R</w:t>
      </w:r>
      <w:r w:rsidR="00C25481">
        <w:rPr>
          <w:rFonts w:eastAsiaTheme="minorEastAsia"/>
          <w:lang w:val="es-ES" w:eastAsia="ja-JP"/>
        </w:rPr>
        <w:t> </w:t>
      </w:r>
      <w:proofErr w:type="gramStart"/>
      <w:r w:rsidR="00942A7A" w:rsidRPr="00DF6607">
        <w:rPr>
          <w:rFonts w:eastAsiaTheme="minorEastAsia"/>
          <w:lang w:val="es-ES" w:eastAsia="ja-JP"/>
        </w:rPr>
        <w:t>SA</w:t>
      </w:r>
      <w:r w:rsidR="00B403E7">
        <w:rPr>
          <w:rFonts w:eastAsiaTheme="minorEastAsia"/>
          <w:lang w:val="es-ES" w:eastAsia="ja-JP"/>
        </w:rPr>
        <w:t>.</w:t>
      </w:r>
      <w:bookmarkStart w:id="5" w:name="_GoBack"/>
      <w:bookmarkEnd w:id="5"/>
      <w:r w:rsidR="00942A7A" w:rsidRPr="00DF6607">
        <w:rPr>
          <w:rFonts w:eastAsiaTheme="minorEastAsia"/>
          <w:lang w:val="es-ES" w:eastAsia="ja-JP"/>
        </w:rPr>
        <w:t>[</w:t>
      </w:r>
      <w:proofErr w:type="gramEnd"/>
      <w:r w:rsidR="00942A7A" w:rsidRPr="00DF6607">
        <w:rPr>
          <w:rFonts w:eastAsiaTheme="minorEastAsia"/>
          <w:lang w:val="es-ES" w:eastAsia="ja-JP"/>
        </w:rPr>
        <w:t>NGSO SD VHF COMPATIBILITY] sobre compatibilidad con el servicio móvil aeronáutico (ruta) en la banda de frecuencias 137-138 MHz, incluido el sistema VDL (enlace</w:t>
      </w:r>
      <w:r w:rsidR="00C25481">
        <w:rPr>
          <w:rFonts w:eastAsiaTheme="minorEastAsia"/>
          <w:lang w:val="es-ES" w:eastAsia="ja-JP"/>
        </w:rPr>
        <w:t> </w:t>
      </w:r>
      <w:r w:rsidR="00942A7A" w:rsidRPr="00DF6607">
        <w:rPr>
          <w:rFonts w:eastAsiaTheme="minorEastAsia"/>
          <w:lang w:val="es-ES" w:eastAsia="ja-JP"/>
        </w:rPr>
        <w:t>digital VHF) que utiliza la banda adyacente</w:t>
      </w:r>
      <w:r w:rsidR="00D75962" w:rsidRPr="00C25481">
        <w:rPr>
          <w:rFonts w:eastAsiaTheme="minorEastAsia"/>
          <w:lang w:val="es-ES" w:eastAsia="ja-JP"/>
        </w:rPr>
        <w:t xml:space="preserve">. </w:t>
      </w:r>
      <w:r w:rsidR="00942A7A" w:rsidRPr="00DF6607">
        <w:rPr>
          <w:rFonts w:eastAsiaTheme="minorEastAsia"/>
          <w:lang w:val="es-ES" w:eastAsia="ja-JP"/>
        </w:rPr>
        <w:t>Por otra parte, muchas estaciones de radiocomunicaciones del servicio móvil terrestre funcionan en la banda de frecuencias 148</w:t>
      </w:r>
      <w:r w:rsidR="00C25481">
        <w:rPr>
          <w:rFonts w:eastAsiaTheme="minorEastAsia"/>
          <w:lang w:val="es-ES" w:eastAsia="ja-JP"/>
        </w:rPr>
        <w:noBreakHyphen/>
      </w:r>
      <w:r w:rsidR="00942A7A" w:rsidRPr="00DF6607">
        <w:rPr>
          <w:rFonts w:eastAsiaTheme="minorEastAsia"/>
          <w:lang w:val="es-ES" w:eastAsia="ja-JP"/>
        </w:rPr>
        <w:t>149,9</w:t>
      </w:r>
      <w:r w:rsidR="00C25481">
        <w:rPr>
          <w:rFonts w:eastAsiaTheme="minorEastAsia"/>
          <w:lang w:val="es-ES" w:eastAsia="ja-JP"/>
        </w:rPr>
        <w:t> </w:t>
      </w:r>
      <w:r w:rsidR="00942A7A" w:rsidRPr="00DF6607">
        <w:rPr>
          <w:rFonts w:eastAsiaTheme="minorEastAsia"/>
          <w:lang w:val="es-ES" w:eastAsia="ja-JP"/>
        </w:rPr>
        <w:t>MHz en el Japón</w:t>
      </w:r>
      <w:r w:rsidR="00D75962" w:rsidRPr="00C25481">
        <w:rPr>
          <w:rFonts w:eastAsiaTheme="minorEastAsia"/>
          <w:lang w:val="es-ES" w:eastAsia="ja-JP"/>
        </w:rPr>
        <w:t>.</w:t>
      </w:r>
    </w:p>
    <w:p w14:paraId="20C876AA" w14:textId="4CC62C69" w:rsidR="00D75962" w:rsidRPr="00C25481" w:rsidRDefault="00942A7A" w:rsidP="00C25481">
      <w:pPr>
        <w:widowControl w:val="0"/>
        <w:spacing w:beforeLines="50" w:afterLines="50" w:after="120"/>
        <w:rPr>
          <w:rFonts w:eastAsiaTheme="minorEastAsia"/>
          <w:lang w:val="es-ES" w:eastAsia="ja-JP"/>
        </w:rPr>
      </w:pPr>
      <w:r w:rsidRPr="00DF6607">
        <w:rPr>
          <w:rFonts w:eastAsiaTheme="minorEastAsia"/>
          <w:lang w:val="es-ES" w:eastAsia="ja-JP"/>
        </w:rPr>
        <w:t>Po</w:t>
      </w:r>
      <w:r w:rsidRPr="00C25481">
        <w:rPr>
          <w:rFonts w:eastAsiaTheme="minorEastAsia"/>
          <w:lang w:val="es-ES" w:eastAsia="ja-JP"/>
        </w:rPr>
        <w:t xml:space="preserve">r consiguiente, ante las inquietudes que suscita la compartición </w:t>
      </w:r>
      <w:r w:rsidRPr="00DF6607">
        <w:rPr>
          <w:rFonts w:eastAsiaTheme="minorEastAsia"/>
          <w:lang w:val="es-ES" w:eastAsia="ja-JP"/>
        </w:rPr>
        <w:t>en materia de</w:t>
      </w:r>
      <w:r w:rsidRPr="00C25481">
        <w:rPr>
          <w:rFonts w:eastAsiaTheme="minorEastAsia"/>
          <w:lang w:val="es-ES" w:eastAsia="ja-JP"/>
        </w:rPr>
        <w:t xml:space="preserve"> seguimiento y telemando en el servicio </w:t>
      </w:r>
      <w:r w:rsidRPr="00DF6607">
        <w:rPr>
          <w:rFonts w:eastAsiaTheme="minorEastAsia"/>
          <w:lang w:val="es-ES" w:eastAsia="ja-JP"/>
        </w:rPr>
        <w:t>de operaciones espaciales para satélites no OSG con misiones de corta duración, el Japón propone el Método A</w:t>
      </w:r>
      <w:r w:rsidR="00D75962" w:rsidRPr="00C25481">
        <w:rPr>
          <w:rFonts w:eastAsiaTheme="minorEastAsia"/>
          <w:lang w:val="es-ES" w:eastAsia="ja-JP"/>
        </w:rPr>
        <w:t>.</w:t>
      </w:r>
    </w:p>
    <w:p w14:paraId="3CD93E0A" w14:textId="77777777" w:rsidR="00363A65" w:rsidRPr="00C25481" w:rsidRDefault="00363A65" w:rsidP="00C25481">
      <w:pPr>
        <w:rPr>
          <w:lang w:val="es-ES"/>
        </w:rPr>
      </w:pPr>
    </w:p>
    <w:p w14:paraId="752DE0F8" w14:textId="77777777" w:rsidR="008750A8" w:rsidRPr="00C53B48" w:rsidRDefault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C53B48">
        <w:rPr>
          <w:lang w:val="es-ES"/>
        </w:rPr>
        <w:br w:type="page"/>
      </w:r>
    </w:p>
    <w:p w14:paraId="7C1C740A" w14:textId="77777777" w:rsidR="006537F1" w:rsidRPr="00C53B48" w:rsidRDefault="002A7FE2" w:rsidP="00C53B48">
      <w:pPr>
        <w:pStyle w:val="ArtNo"/>
      </w:pPr>
      <w:r w:rsidRPr="00C53B48">
        <w:lastRenderedPageBreak/>
        <w:t xml:space="preserve">ARTÍCULO </w:t>
      </w:r>
      <w:r w:rsidRPr="00C53B48">
        <w:rPr>
          <w:rStyle w:val="href"/>
        </w:rPr>
        <w:t>5</w:t>
      </w:r>
    </w:p>
    <w:p w14:paraId="6A9C9DD7" w14:textId="77777777" w:rsidR="006537F1" w:rsidRPr="00C53B48" w:rsidRDefault="002A7FE2">
      <w:pPr>
        <w:pStyle w:val="Arttitle"/>
        <w:rPr>
          <w:lang w:val="es-ES"/>
        </w:rPr>
      </w:pPr>
      <w:r w:rsidRPr="00C53B48">
        <w:rPr>
          <w:lang w:val="es-ES"/>
        </w:rPr>
        <w:t>Atribuciones de frecuencia</w:t>
      </w:r>
    </w:p>
    <w:p w14:paraId="156024D7" w14:textId="77777777" w:rsidR="00576DBF" w:rsidRPr="00C53B48" w:rsidRDefault="002A7FE2">
      <w:pPr>
        <w:pStyle w:val="Proposal"/>
        <w:rPr>
          <w:lang w:val="es-ES"/>
        </w:rPr>
      </w:pPr>
      <w:r w:rsidRPr="00C53B48">
        <w:rPr>
          <w:u w:val="single"/>
          <w:lang w:val="es-ES"/>
        </w:rPr>
        <w:t>NOC</w:t>
      </w:r>
      <w:r w:rsidRPr="00C53B48">
        <w:rPr>
          <w:lang w:val="es-ES"/>
        </w:rPr>
        <w:tab/>
        <w:t>J/80A7/1</w:t>
      </w:r>
      <w:r w:rsidRPr="00C53B48">
        <w:rPr>
          <w:vanish/>
          <w:color w:val="7F7F7F" w:themeColor="text1" w:themeTint="80"/>
          <w:vertAlign w:val="superscript"/>
          <w:lang w:val="es-ES"/>
        </w:rPr>
        <w:t>#50210</w:t>
      </w:r>
    </w:p>
    <w:p w14:paraId="2471F684" w14:textId="77777777" w:rsidR="00B571EC" w:rsidRPr="00C53B48" w:rsidRDefault="002A7FE2">
      <w:pPr>
        <w:pStyle w:val="Section1"/>
        <w:rPr>
          <w:lang w:val="es-ES"/>
        </w:rPr>
      </w:pPr>
      <w:r w:rsidRPr="00C53B48">
        <w:rPr>
          <w:lang w:val="es-ES"/>
        </w:rPr>
        <w:t>Sección IV – Cuadro de atribución de bandas de frecuencias</w:t>
      </w:r>
      <w:r w:rsidRPr="00C53B48">
        <w:rPr>
          <w:lang w:val="es-ES"/>
        </w:rPr>
        <w:br/>
      </w:r>
      <w:r w:rsidRPr="00C53B48">
        <w:rPr>
          <w:b w:val="0"/>
          <w:bCs/>
          <w:lang w:val="es-ES"/>
        </w:rPr>
        <w:t>(Véase el número</w:t>
      </w:r>
      <w:r w:rsidRPr="00C53B48">
        <w:rPr>
          <w:lang w:val="es-ES"/>
        </w:rPr>
        <w:t xml:space="preserve"> </w:t>
      </w:r>
      <w:r w:rsidRPr="00C53B48">
        <w:rPr>
          <w:rStyle w:val="Artref"/>
          <w:lang w:val="es-ES"/>
        </w:rPr>
        <w:t>2.1</w:t>
      </w:r>
      <w:r w:rsidRPr="00C53B48">
        <w:rPr>
          <w:b w:val="0"/>
          <w:bCs/>
          <w:lang w:val="es-ES"/>
        </w:rPr>
        <w:t>)</w:t>
      </w:r>
      <w:r w:rsidRPr="00C53B48">
        <w:rPr>
          <w:b w:val="0"/>
          <w:bCs/>
          <w:lang w:val="es-ES"/>
        </w:rPr>
        <w:br/>
      </w:r>
    </w:p>
    <w:p w14:paraId="430AF873" w14:textId="77777777" w:rsidR="00576DBF" w:rsidRPr="00C53B48" w:rsidRDefault="00576DBF">
      <w:pPr>
        <w:pStyle w:val="Reasons"/>
        <w:rPr>
          <w:lang w:val="es-ES"/>
        </w:rPr>
      </w:pPr>
    </w:p>
    <w:p w14:paraId="16EA2D18" w14:textId="77777777" w:rsidR="00576DBF" w:rsidRPr="00C53B48" w:rsidRDefault="002A7FE2">
      <w:pPr>
        <w:pStyle w:val="Proposal"/>
        <w:rPr>
          <w:lang w:val="es-ES"/>
        </w:rPr>
      </w:pPr>
      <w:r w:rsidRPr="00C53B48">
        <w:rPr>
          <w:lang w:val="es-ES"/>
        </w:rPr>
        <w:t>SUP</w:t>
      </w:r>
      <w:r w:rsidRPr="00C53B48">
        <w:rPr>
          <w:lang w:val="es-ES"/>
        </w:rPr>
        <w:tab/>
        <w:t>J/80A7/2</w:t>
      </w:r>
      <w:r w:rsidRPr="00C53B48">
        <w:rPr>
          <w:vanish/>
          <w:color w:val="7F7F7F" w:themeColor="text1" w:themeTint="80"/>
          <w:vertAlign w:val="superscript"/>
          <w:lang w:val="es-ES"/>
        </w:rPr>
        <w:t>#50211</w:t>
      </w:r>
    </w:p>
    <w:p w14:paraId="30D0B8FA" w14:textId="77777777" w:rsidR="00B571EC" w:rsidRPr="00C53B48" w:rsidRDefault="002A7FE2">
      <w:pPr>
        <w:pStyle w:val="ResNo"/>
        <w:rPr>
          <w:lang w:val="es-ES"/>
        </w:rPr>
      </w:pPr>
      <w:r w:rsidRPr="00C53B48">
        <w:rPr>
          <w:lang w:val="es-ES"/>
        </w:rPr>
        <w:t xml:space="preserve">RESOLUCIÓN </w:t>
      </w:r>
      <w:r w:rsidRPr="00C53B48">
        <w:rPr>
          <w:rStyle w:val="href"/>
          <w:lang w:val="es-ES"/>
        </w:rPr>
        <w:t>659</w:t>
      </w:r>
      <w:r w:rsidRPr="00C53B48">
        <w:rPr>
          <w:lang w:val="es-ES"/>
        </w:rPr>
        <w:t xml:space="preserve"> (CMR-15)</w:t>
      </w:r>
    </w:p>
    <w:p w14:paraId="52551EB1" w14:textId="77777777" w:rsidR="00B571EC" w:rsidRPr="00C53B48" w:rsidRDefault="002A7FE2">
      <w:pPr>
        <w:pStyle w:val="Restitle"/>
        <w:rPr>
          <w:lang w:val="es-ES"/>
        </w:rPr>
      </w:pPr>
      <w:r w:rsidRPr="00C53B48">
        <w:rPr>
          <w:lang w:val="es-ES"/>
        </w:rPr>
        <w:t>Estudios para atender las necesidades del servicio de operaciones espaciales</w:t>
      </w:r>
      <w:r w:rsidRPr="00C53B48">
        <w:rPr>
          <w:lang w:val="es-ES"/>
        </w:rPr>
        <w:br/>
        <w:t xml:space="preserve">de satélites de la órbita de los satélites no geoestacionarios </w:t>
      </w:r>
      <w:r w:rsidRPr="00C53B48">
        <w:rPr>
          <w:lang w:val="es-ES"/>
        </w:rPr>
        <w:br/>
        <w:t>con misiones de corta duración</w:t>
      </w:r>
    </w:p>
    <w:p w14:paraId="596C506B" w14:textId="77777777" w:rsidR="002A7FE2" w:rsidRPr="00C53B48" w:rsidRDefault="002A7FE2">
      <w:pPr>
        <w:pStyle w:val="Reasons"/>
        <w:rPr>
          <w:lang w:val="es-ES"/>
        </w:rPr>
      </w:pPr>
    </w:p>
    <w:p w14:paraId="2B55F5B5" w14:textId="77777777" w:rsidR="002A7FE2" w:rsidRPr="00C53B48" w:rsidRDefault="002A7FE2">
      <w:pPr>
        <w:jc w:val="center"/>
        <w:rPr>
          <w:lang w:val="es-ES"/>
        </w:rPr>
      </w:pPr>
      <w:r w:rsidRPr="00C53B48">
        <w:rPr>
          <w:lang w:val="es-ES"/>
        </w:rPr>
        <w:t>______________</w:t>
      </w:r>
    </w:p>
    <w:sectPr w:rsidR="002A7FE2" w:rsidRPr="00C53B4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59C2B" w14:textId="77777777" w:rsidR="003C0613" w:rsidRDefault="003C0613">
      <w:r>
        <w:separator/>
      </w:r>
    </w:p>
  </w:endnote>
  <w:endnote w:type="continuationSeparator" w:id="0">
    <w:p w14:paraId="0A15323B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31DE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4E868C" w14:textId="43D85645" w:rsidR="0077084A" w:rsidRPr="00445D51" w:rsidRDefault="0077084A">
    <w:pPr>
      <w:ind w:right="360"/>
    </w:pPr>
    <w:r>
      <w:fldChar w:fldCharType="begin"/>
    </w:r>
    <w:r w:rsidRPr="00445D51">
      <w:instrText xml:space="preserve"> FILENAME \p  \* MERGEFORMAT </w:instrText>
    </w:r>
    <w:r>
      <w:fldChar w:fldCharType="separate"/>
    </w:r>
    <w:r w:rsidR="00445D51">
      <w:rPr>
        <w:noProof/>
      </w:rPr>
      <w:t>P:\ESP\ITU-R\CONF-R\CMR19\000\080ADD07S.docx</w:t>
    </w:r>
    <w:r>
      <w:fldChar w:fldCharType="end"/>
    </w:r>
    <w:r w:rsidRPr="00445D51">
      <w:tab/>
    </w:r>
    <w:r>
      <w:fldChar w:fldCharType="begin"/>
    </w:r>
    <w:r>
      <w:instrText xml:space="preserve"> SAVEDATE \@ DD.MM.YY </w:instrText>
    </w:r>
    <w:r>
      <w:fldChar w:fldCharType="separate"/>
    </w:r>
    <w:r w:rsidR="00B403E7">
      <w:rPr>
        <w:noProof/>
      </w:rPr>
      <w:t>24.10.19</w:t>
    </w:r>
    <w:r>
      <w:fldChar w:fldCharType="end"/>
    </w:r>
    <w:r w:rsidRPr="00445D51">
      <w:tab/>
    </w:r>
    <w:r>
      <w:fldChar w:fldCharType="begin"/>
    </w:r>
    <w:r>
      <w:instrText xml:space="preserve"> PRINTDATE \@ DD.MM.YY </w:instrText>
    </w:r>
    <w:r>
      <w:fldChar w:fldCharType="separate"/>
    </w:r>
    <w:r w:rsidR="00445D51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6DD97" w14:textId="2A888E15" w:rsidR="00EF61B7" w:rsidRPr="00EF61B7" w:rsidRDefault="00023AF2" w:rsidP="00EF61B7">
    <w:pPr>
      <w:pStyle w:val="Footer"/>
      <w:rPr>
        <w:lang w:val="en-US"/>
      </w:rPr>
    </w:pPr>
    <w:r w:rsidRPr="00023AF2">
      <w:rPr>
        <w:lang w:val="en-US"/>
      </w:rPr>
      <w:t>P:\ESP\ITU-R\CONF-R\CMR19\000\080ADD07S.docx (462245)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5D83F" w14:textId="78432959" w:rsidR="0077084A" w:rsidRPr="00EF61B7" w:rsidRDefault="00023AF2" w:rsidP="00B47331">
    <w:pPr>
      <w:pStyle w:val="Footer"/>
      <w:rPr>
        <w:lang w:val="en-US"/>
      </w:rPr>
    </w:pPr>
    <w:r w:rsidRPr="00023AF2">
      <w:rPr>
        <w:lang w:val="en-US"/>
      </w:rPr>
      <w:t>P:\ESP\ITU-R\CONF-R\CMR19\000\080ADD07S.docx (462245)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BF2E9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48D6B35E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CF82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5F629A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80(Add.7)-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3AF2"/>
    <w:rsid w:val="0002785D"/>
    <w:rsid w:val="00087AE8"/>
    <w:rsid w:val="000A5B9A"/>
    <w:rsid w:val="000C7643"/>
    <w:rsid w:val="000E5BF9"/>
    <w:rsid w:val="000F0E6D"/>
    <w:rsid w:val="001133E0"/>
    <w:rsid w:val="00121170"/>
    <w:rsid w:val="00123CC5"/>
    <w:rsid w:val="0015142D"/>
    <w:rsid w:val="001616DC"/>
    <w:rsid w:val="00163962"/>
    <w:rsid w:val="00183276"/>
    <w:rsid w:val="00184584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A7FE2"/>
    <w:rsid w:val="002C1A52"/>
    <w:rsid w:val="002C1B26"/>
    <w:rsid w:val="002C5D6C"/>
    <w:rsid w:val="002E701F"/>
    <w:rsid w:val="003248A9"/>
    <w:rsid w:val="00324FFA"/>
    <w:rsid w:val="0032680B"/>
    <w:rsid w:val="00363A65"/>
    <w:rsid w:val="00393A1B"/>
    <w:rsid w:val="003B1E8C"/>
    <w:rsid w:val="003C0613"/>
    <w:rsid w:val="003C2508"/>
    <w:rsid w:val="003D0AA3"/>
    <w:rsid w:val="003E2086"/>
    <w:rsid w:val="003F7F66"/>
    <w:rsid w:val="00423E99"/>
    <w:rsid w:val="00440B3A"/>
    <w:rsid w:val="0044375A"/>
    <w:rsid w:val="00445D51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535CF"/>
    <w:rsid w:val="00576DBF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50E4D"/>
    <w:rsid w:val="00765578"/>
    <w:rsid w:val="00766333"/>
    <w:rsid w:val="0077084A"/>
    <w:rsid w:val="007952C7"/>
    <w:rsid w:val="007C0B95"/>
    <w:rsid w:val="007C2317"/>
    <w:rsid w:val="007D330A"/>
    <w:rsid w:val="007D3CEA"/>
    <w:rsid w:val="00866AE6"/>
    <w:rsid w:val="008750A8"/>
    <w:rsid w:val="008D3316"/>
    <w:rsid w:val="008E5AF2"/>
    <w:rsid w:val="0090121B"/>
    <w:rsid w:val="009018E8"/>
    <w:rsid w:val="009144C9"/>
    <w:rsid w:val="0094091F"/>
    <w:rsid w:val="00942A7A"/>
    <w:rsid w:val="00962171"/>
    <w:rsid w:val="00973754"/>
    <w:rsid w:val="009C0BED"/>
    <w:rsid w:val="009E11EC"/>
    <w:rsid w:val="00A021CC"/>
    <w:rsid w:val="00A118DB"/>
    <w:rsid w:val="00A3524C"/>
    <w:rsid w:val="00A4450C"/>
    <w:rsid w:val="00AA5E6C"/>
    <w:rsid w:val="00AE5677"/>
    <w:rsid w:val="00AE658F"/>
    <w:rsid w:val="00AF2F78"/>
    <w:rsid w:val="00B239FA"/>
    <w:rsid w:val="00B372AB"/>
    <w:rsid w:val="00B403E7"/>
    <w:rsid w:val="00B47331"/>
    <w:rsid w:val="00B52D55"/>
    <w:rsid w:val="00B8288C"/>
    <w:rsid w:val="00B86034"/>
    <w:rsid w:val="00B868AE"/>
    <w:rsid w:val="00BE2E80"/>
    <w:rsid w:val="00BE5EDD"/>
    <w:rsid w:val="00BE6A1F"/>
    <w:rsid w:val="00C126C4"/>
    <w:rsid w:val="00C25481"/>
    <w:rsid w:val="00C44E9E"/>
    <w:rsid w:val="00C53B48"/>
    <w:rsid w:val="00C63EB5"/>
    <w:rsid w:val="00C87DA7"/>
    <w:rsid w:val="00CC01E0"/>
    <w:rsid w:val="00CD5FEE"/>
    <w:rsid w:val="00CE60D2"/>
    <w:rsid w:val="00CE7223"/>
    <w:rsid w:val="00CE7431"/>
    <w:rsid w:val="00D00CA8"/>
    <w:rsid w:val="00D0288A"/>
    <w:rsid w:val="00D17B08"/>
    <w:rsid w:val="00D72A5D"/>
    <w:rsid w:val="00D75962"/>
    <w:rsid w:val="00D949FD"/>
    <w:rsid w:val="00DA71A3"/>
    <w:rsid w:val="00DC629B"/>
    <w:rsid w:val="00DE1C31"/>
    <w:rsid w:val="00DF6607"/>
    <w:rsid w:val="00E05BFF"/>
    <w:rsid w:val="00E262F1"/>
    <w:rsid w:val="00E3176A"/>
    <w:rsid w:val="00E36CE4"/>
    <w:rsid w:val="00E54754"/>
    <w:rsid w:val="00E56BD3"/>
    <w:rsid w:val="00E71D14"/>
    <w:rsid w:val="00E92D91"/>
    <w:rsid w:val="00EA77F0"/>
    <w:rsid w:val="00EF61B7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9F3DE2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D949F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49FD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R16-WRC19-C-0080!A7!MSW-S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DD9FA-CDCE-45EB-A22E-50CAA95B2B15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E5FCFD-49A4-4A5A-9357-51910DE3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R16-WRC19-C-0080!A7!MSW-S</vt:lpstr>
    </vt:vector>
  </TitlesOfParts>
  <Manager>Secretaría General - Pool</Manager>
  <Company>Unión Internacional de Telecomunicaciones (UIT)</Company>
  <LinksUpToDate>false</LinksUpToDate>
  <CharactersWithSpaces>4327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R16-WRC19-C-0080!A7!MSW-S</dc:title>
  <dc:subject>Conferencia Mundial de Radiocomunicaciones - 2019</dc:subject>
  <dc:creator>Documents Proposals Manager (DPM)</dc:creator>
  <cp:keywords>DPM_v2019.10.14.1_prod</cp:keywords>
  <dc:description/>
  <cp:lastModifiedBy>Spanish</cp:lastModifiedBy>
  <cp:revision>8</cp:revision>
  <cp:lastPrinted>2019-10-24T06:16:00Z</cp:lastPrinted>
  <dcterms:created xsi:type="dcterms:W3CDTF">2019-10-24T05:29:00Z</dcterms:created>
  <dcterms:modified xsi:type="dcterms:W3CDTF">2019-10-24T06:22:00Z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