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DD54261" w14:textId="77777777" w:rsidTr="00F55E63">
        <w:trPr>
          <w:cantSplit/>
          <w:trHeight w:val="20"/>
        </w:trPr>
        <w:tc>
          <w:tcPr>
            <w:tcW w:w="6619" w:type="dxa"/>
          </w:tcPr>
          <w:p w14:paraId="6DB4C33D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AB2F106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822C8D9" wp14:editId="498018C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24E27E7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9605CD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0D6FA5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E5207CD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B5DBC6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610D1E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916BB6" w:rsidRPr="00F545E4" w14:paraId="210B7C9C" w14:textId="77777777" w:rsidTr="00F55E63">
        <w:trPr>
          <w:cantSplit/>
        </w:trPr>
        <w:tc>
          <w:tcPr>
            <w:tcW w:w="6619" w:type="dxa"/>
          </w:tcPr>
          <w:p w14:paraId="3C021EBC" w14:textId="77777777" w:rsidR="00916BB6" w:rsidRPr="00F545E4" w:rsidRDefault="00916BB6" w:rsidP="00916BB6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861F547" w14:textId="7E5FCB38" w:rsidR="00916BB6" w:rsidRPr="00F545E4" w:rsidRDefault="00916BB6" w:rsidP="00916BB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7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80</w:t>
            </w:r>
            <w:r w:rsidRPr="004A28F2">
              <w:rPr>
                <w:rFonts w:eastAsia="SimSun"/>
              </w:rPr>
              <w:t>-A</w:t>
            </w:r>
          </w:p>
        </w:tc>
      </w:tr>
      <w:tr w:rsidR="00916BB6" w:rsidRPr="00F545E4" w14:paraId="14CECF4B" w14:textId="77777777" w:rsidTr="00F55E63">
        <w:trPr>
          <w:cantSplit/>
        </w:trPr>
        <w:tc>
          <w:tcPr>
            <w:tcW w:w="6619" w:type="dxa"/>
          </w:tcPr>
          <w:p w14:paraId="50B84204" w14:textId="77777777" w:rsidR="00916BB6" w:rsidRPr="00F545E4" w:rsidRDefault="00916BB6" w:rsidP="00916BB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7C96905" w14:textId="05AF255E" w:rsidR="00916BB6" w:rsidRPr="00F545E4" w:rsidRDefault="00916BB6" w:rsidP="00916BB6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7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916BB6" w:rsidRPr="00F545E4" w14:paraId="23CFC1E6" w14:textId="77777777" w:rsidTr="00F55E63">
        <w:trPr>
          <w:cantSplit/>
        </w:trPr>
        <w:tc>
          <w:tcPr>
            <w:tcW w:w="6619" w:type="dxa"/>
          </w:tcPr>
          <w:p w14:paraId="5CF327FE" w14:textId="77777777" w:rsidR="00916BB6" w:rsidRPr="00F545E4" w:rsidRDefault="00916BB6" w:rsidP="00916BB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7521A81" w14:textId="16A752DC" w:rsidR="00916BB6" w:rsidRPr="00F545E4" w:rsidRDefault="00916BB6" w:rsidP="00916BB6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BA99B81" w14:textId="77777777" w:rsidTr="00F55E63">
        <w:trPr>
          <w:cantSplit/>
        </w:trPr>
        <w:tc>
          <w:tcPr>
            <w:tcW w:w="9672" w:type="dxa"/>
            <w:gridSpan w:val="2"/>
          </w:tcPr>
          <w:p w14:paraId="744E51EB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5F1FE57" w14:textId="77777777" w:rsidTr="00F55E63">
        <w:trPr>
          <w:cantSplit/>
        </w:trPr>
        <w:tc>
          <w:tcPr>
            <w:tcW w:w="9672" w:type="dxa"/>
            <w:gridSpan w:val="2"/>
          </w:tcPr>
          <w:p w14:paraId="34BF9CE0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اليابان</w:t>
            </w:r>
          </w:p>
        </w:tc>
      </w:tr>
      <w:tr w:rsidR="00764079" w14:paraId="4DC40E5B" w14:textId="77777777" w:rsidTr="005D4BF4">
        <w:trPr>
          <w:cantSplit/>
        </w:trPr>
        <w:tc>
          <w:tcPr>
            <w:tcW w:w="9672" w:type="dxa"/>
            <w:gridSpan w:val="2"/>
            <w:shd w:val="clear" w:color="auto" w:fill="auto"/>
          </w:tcPr>
          <w:p w14:paraId="1FB71597" w14:textId="358B2458" w:rsidR="00764079" w:rsidRPr="00BD6EF3" w:rsidRDefault="00916BB6" w:rsidP="00F55E63">
            <w:pPr>
              <w:pStyle w:val="Title1"/>
              <w:spacing w:before="240"/>
              <w:rPr>
                <w:rtl/>
              </w:rPr>
            </w:pPr>
            <w:r w:rsidRPr="005D4BF4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24191518" w14:textId="77777777" w:rsidTr="00F55E63">
        <w:trPr>
          <w:cantSplit/>
        </w:trPr>
        <w:tc>
          <w:tcPr>
            <w:tcW w:w="9672" w:type="dxa"/>
            <w:gridSpan w:val="2"/>
          </w:tcPr>
          <w:p w14:paraId="7567A45A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800A935" w14:textId="77777777" w:rsidTr="00F55E63">
        <w:trPr>
          <w:cantSplit/>
        </w:trPr>
        <w:tc>
          <w:tcPr>
            <w:tcW w:w="9672" w:type="dxa"/>
            <w:gridSpan w:val="2"/>
          </w:tcPr>
          <w:p w14:paraId="714B120E" w14:textId="20DCC6D8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916BB6">
              <w:rPr>
                <w:rFonts w:hint="cs"/>
                <w:rtl/>
                <w:lang w:val="en-US"/>
              </w:rPr>
              <w:t xml:space="preserve"> </w:t>
            </w:r>
            <w:r w:rsidR="007423D6">
              <w:rPr>
                <w:lang w:val="en-US"/>
              </w:rPr>
              <w:t>1.7</w:t>
            </w:r>
          </w:p>
        </w:tc>
      </w:tr>
    </w:tbl>
    <w:p w14:paraId="7C68357C" w14:textId="21672A34" w:rsidR="001D597A" w:rsidRPr="00431196" w:rsidRDefault="007423D6" w:rsidP="001D597A">
      <w:pPr>
        <w:rPr>
          <w:rFonts w:eastAsia="SimSun"/>
          <w:rtl/>
        </w:rPr>
      </w:pPr>
      <w:r>
        <w:rPr>
          <w:rFonts w:eastAsia="SimSun"/>
          <w:lang w:eastAsia="zh-CN" w:bidi="ar-SY"/>
        </w:rPr>
        <w:t>1.7</w:t>
      </w:r>
      <w:r w:rsidR="00916BB6" w:rsidRPr="00723691">
        <w:rPr>
          <w:rFonts w:eastAsia="SimSun"/>
          <w:lang w:eastAsia="zh-CN" w:bidi="ar-SY"/>
        </w:rPr>
        <w:tab/>
      </w:r>
      <w:r w:rsidR="00916BB6" w:rsidRPr="00723691">
        <w:rPr>
          <w:rFonts w:eastAsia="SimSun" w:hint="cs"/>
          <w:rtl/>
          <w:lang w:eastAsia="zh-CN"/>
        </w:rPr>
        <w:t xml:space="preserve">دراسة الاحتياجات من الطيف فيما يتعلق بالتتبع والتحكم والقياس عن بُعد في خدمة العمليات الفضائية من أجل </w:t>
      </w:r>
      <w:proofErr w:type="spellStart"/>
      <w:r w:rsidR="00916BB6" w:rsidRPr="00723691">
        <w:rPr>
          <w:rFonts w:eastAsia="SimSun" w:hint="cs"/>
          <w:rtl/>
          <w:lang w:eastAsia="zh-CN"/>
        </w:rPr>
        <w:t>السواتل</w:t>
      </w:r>
      <w:proofErr w:type="spellEnd"/>
      <w:r w:rsidR="00916BB6" w:rsidRPr="00723691">
        <w:rPr>
          <w:rFonts w:eastAsia="SimSun" w:hint="cs"/>
          <w:rtl/>
          <w:lang w:eastAsia="zh-CN"/>
        </w:rPr>
        <w:t xml:space="preserve"> غير المستقرة بالنسبة إلى الأرض ذات المهمات القصيرة المدة، بغية تقييم ملاءَمة التوزيعات الحالية لخدمة العمليات الفضائية، وإن استدعى الأمر، النظر في توزيعات جديدة، وفقاً </w:t>
      </w:r>
      <w:r w:rsidR="00916BB6" w:rsidRPr="00793FEB">
        <w:rPr>
          <w:rFonts w:eastAsia="SimSun" w:hint="cs"/>
          <w:rtl/>
          <w:lang w:eastAsia="zh-CN"/>
        </w:rPr>
        <w:t xml:space="preserve">للقرار </w:t>
      </w:r>
      <w:r w:rsidR="00916BB6" w:rsidRPr="00793FEB">
        <w:rPr>
          <w:rFonts w:eastAsia="SimSun"/>
          <w:b/>
          <w:bCs/>
          <w:lang w:eastAsia="zh-CN" w:bidi="ar-SY"/>
        </w:rPr>
        <w:t>659 (WRC</w:t>
      </w:r>
      <w:r w:rsidR="00916BB6" w:rsidRPr="00793FEB">
        <w:rPr>
          <w:rFonts w:eastAsia="SimSun"/>
          <w:b/>
          <w:bCs/>
          <w:lang w:eastAsia="zh-CN" w:bidi="ar-SY"/>
        </w:rPr>
        <w:noBreakHyphen/>
      </w:r>
      <w:proofErr w:type="gramStart"/>
      <w:r w:rsidR="00916BB6" w:rsidRPr="00793FEB">
        <w:rPr>
          <w:rFonts w:eastAsia="SimSun"/>
          <w:b/>
          <w:bCs/>
          <w:lang w:eastAsia="zh-CN" w:bidi="ar-SY"/>
        </w:rPr>
        <w:t>15)</w:t>
      </w:r>
      <w:r w:rsidR="00916BB6" w:rsidRPr="00723691">
        <w:rPr>
          <w:rFonts w:eastAsia="SimSun" w:hint="cs"/>
          <w:rtl/>
          <w:lang w:eastAsia="zh-CN" w:bidi="ar-SY"/>
        </w:rPr>
        <w:t>؛</w:t>
      </w:r>
      <w:proofErr w:type="gramEnd"/>
    </w:p>
    <w:p w14:paraId="44D8D114" w14:textId="0B912328" w:rsidR="002F3E46" w:rsidRDefault="005D4BF4" w:rsidP="00916BB6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خلفية</w:t>
      </w:r>
    </w:p>
    <w:p w14:paraId="3E4D280C" w14:textId="694485C4" w:rsidR="00916BB6" w:rsidRDefault="005D4BF4" w:rsidP="008614B8">
      <w:pPr>
        <w:rPr>
          <w:rtl/>
          <w:lang w:bidi="ar-EG"/>
        </w:rPr>
      </w:pPr>
      <w:r w:rsidRPr="005D4BF4">
        <w:rPr>
          <w:rtl/>
          <w:lang w:bidi="ar-EG"/>
        </w:rPr>
        <w:t xml:space="preserve">يهدف هذا البند من جدول الأعمال إلى النظر في نتائج دراسات قطاع الاتصالات الراديوية واتخاذ الإجراءات اللازمة، حسب الاقتضاء. </w:t>
      </w:r>
      <w:r>
        <w:rPr>
          <w:rFonts w:hint="cs"/>
          <w:rtl/>
          <w:lang w:bidi="ar-EG"/>
        </w:rPr>
        <w:t>ويقدم</w:t>
      </w:r>
      <w:r w:rsidRPr="005D4BF4">
        <w:rPr>
          <w:rtl/>
          <w:lang w:bidi="ar-EG"/>
        </w:rPr>
        <w:t xml:space="preserve"> القرار </w:t>
      </w:r>
      <w:r w:rsidR="00F269D2">
        <w:rPr>
          <w:b/>
          <w:bCs/>
          <w:lang w:bidi="ar-EG"/>
        </w:rPr>
        <w:t>(</w:t>
      </w:r>
      <w:r w:rsidRPr="005D4BF4">
        <w:rPr>
          <w:b/>
          <w:bCs/>
          <w:lang w:bidi="ar-EG"/>
        </w:rPr>
        <w:t>WRC-15</w:t>
      </w:r>
      <w:r w:rsidR="00F269D2">
        <w:rPr>
          <w:b/>
          <w:bCs/>
          <w:lang w:bidi="ar-EG"/>
        </w:rPr>
        <w:t>)</w:t>
      </w:r>
      <w:r w:rsidRPr="005D4BF4">
        <w:rPr>
          <w:b/>
          <w:bCs/>
          <w:rtl/>
          <w:lang w:bidi="ar-EG"/>
        </w:rPr>
        <w:t xml:space="preserve"> </w:t>
      </w:r>
      <w:r w:rsidRPr="005D4BF4">
        <w:rPr>
          <w:b/>
          <w:bCs/>
          <w:lang w:bidi="ar-EG"/>
        </w:rPr>
        <w:t>659</w:t>
      </w:r>
      <w:r w:rsidRPr="005D4BF4">
        <w:rPr>
          <w:rFonts w:hint="cs"/>
          <w:b/>
          <w:bCs/>
          <w:rtl/>
          <w:lang w:bidi="ar-EG"/>
        </w:rPr>
        <w:t xml:space="preserve"> </w:t>
      </w:r>
      <w:r w:rsidRPr="005D4BF4">
        <w:rPr>
          <w:rtl/>
          <w:lang w:bidi="ar-EG"/>
        </w:rPr>
        <w:t>دراسات قطاع الاتصالات الراديوية هذه ومسار العمل على النحو التالي</w:t>
      </w:r>
      <w:r w:rsidR="00916BB6">
        <w:rPr>
          <w:rFonts w:hint="cs"/>
          <w:rtl/>
          <w:lang w:bidi="ar-EG"/>
        </w:rPr>
        <w:t>:</w:t>
      </w:r>
    </w:p>
    <w:p w14:paraId="52BF753C" w14:textId="76D0BCE6" w:rsidR="00916BB6" w:rsidRDefault="00916BB6" w:rsidP="00916BB6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5D4BF4">
        <w:rPr>
          <w:rFonts w:hint="cs"/>
          <w:rtl/>
        </w:rPr>
        <w:t xml:space="preserve">دراسة الاحتياجات من الطيف فيما يتعلق بالتتبع والتحكم والقياس عن بُعد في خدمة العمليات الفضائية من أجل العدد المتزايد من </w:t>
      </w:r>
      <w:proofErr w:type="spellStart"/>
      <w:r w:rsidRPr="005D4BF4">
        <w:rPr>
          <w:rFonts w:hint="cs"/>
          <w:rtl/>
        </w:rPr>
        <w:t>السواتل</w:t>
      </w:r>
      <w:proofErr w:type="spellEnd"/>
      <w:r w:rsidRPr="005D4BF4">
        <w:rPr>
          <w:rFonts w:hint="cs"/>
          <w:rtl/>
        </w:rPr>
        <w:t xml:space="preserve"> غير المستقرة بالنسبة إلى الأرض ذات المهمات قصيرة المدة، مع مراعاة الرقم</w:t>
      </w:r>
      <w:r w:rsidRPr="005D4BF4">
        <w:rPr>
          <w:rFonts w:hint="eastAsia"/>
          <w:rtl/>
        </w:rPr>
        <w:t> </w:t>
      </w:r>
      <w:r w:rsidRPr="005D4BF4">
        <w:rPr>
          <w:b/>
          <w:bCs/>
          <w:lang w:bidi="ar-EG"/>
        </w:rPr>
        <w:t>23.1</w:t>
      </w:r>
      <w:r w:rsidRPr="005D4BF4">
        <w:rPr>
          <w:rFonts w:hint="cs"/>
          <w:b/>
          <w:bCs/>
          <w:rtl/>
        </w:rPr>
        <w:t xml:space="preserve"> </w:t>
      </w:r>
      <w:r w:rsidRPr="005D4BF4">
        <w:rPr>
          <w:rFonts w:hint="cs"/>
          <w:rtl/>
        </w:rPr>
        <w:t>من لوائح الراديو؛</w:t>
      </w:r>
    </w:p>
    <w:p w14:paraId="4BB82223" w14:textId="5BCB536D" w:rsidR="00916BB6" w:rsidRDefault="00916BB6" w:rsidP="00916BB6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5D4BF4" w:rsidRPr="005D4BF4">
        <w:rPr>
          <w:rFonts w:hint="cs"/>
          <w:rtl/>
          <w:lang w:bidi="ar-EG"/>
        </w:rPr>
        <w:t>و</w:t>
      </w:r>
      <w:r w:rsidRPr="005D4BF4">
        <w:rPr>
          <w:rFonts w:hint="cs"/>
          <w:rtl/>
        </w:rPr>
        <w:t xml:space="preserve">تقييم مدى ملاءَمة التوزيعات الحالية لخدمة العمليات الفضائية في مدى التردد </w:t>
      </w:r>
      <w:r w:rsidR="00A76501">
        <w:rPr>
          <w:rFonts w:hint="cs"/>
          <w:rtl/>
        </w:rPr>
        <w:t>الذي يقل</w:t>
      </w:r>
      <w:r w:rsidRPr="005D4BF4">
        <w:rPr>
          <w:rFonts w:hint="cs"/>
          <w:rtl/>
        </w:rPr>
        <w:t xml:space="preserve"> </w:t>
      </w:r>
      <w:r w:rsidR="00A76501">
        <w:rPr>
          <w:rFonts w:hint="cs"/>
          <w:rtl/>
        </w:rPr>
        <w:t xml:space="preserve">عن </w:t>
      </w:r>
      <w:r w:rsidRPr="005D4BF4">
        <w:rPr>
          <w:lang w:bidi="ar-EG"/>
        </w:rPr>
        <w:t>GHz 1</w:t>
      </w:r>
      <w:r w:rsidRPr="005D4BF4">
        <w:rPr>
          <w:rFonts w:hint="cs"/>
          <w:rtl/>
        </w:rPr>
        <w:t>، مع مراعاة الاستعمال الحال</w:t>
      </w:r>
      <w:r w:rsidR="005D4BF4" w:rsidRPr="005D4BF4">
        <w:rPr>
          <w:rFonts w:hint="cs"/>
          <w:rtl/>
        </w:rPr>
        <w:t xml:space="preserve">ي </w:t>
      </w:r>
      <w:r w:rsidR="005D4BF4" w:rsidRPr="005D4BF4">
        <w:rPr>
          <w:rtl/>
        </w:rPr>
        <w:t xml:space="preserve">وأن التوزيعات الحالية لخدمة العمليات الفضائية التي تقل عن </w:t>
      </w:r>
      <w:r w:rsidR="005D4BF4" w:rsidRPr="005D4BF4">
        <w:t>GHz 1</w:t>
      </w:r>
      <w:r w:rsidR="005D4BF4" w:rsidRPr="005D4BF4">
        <w:rPr>
          <w:rtl/>
        </w:rPr>
        <w:t xml:space="preserve">، حيث ينطبق الرقم </w:t>
      </w:r>
      <w:r w:rsidR="005D4BF4" w:rsidRPr="00A76501">
        <w:rPr>
          <w:b/>
          <w:bCs/>
        </w:rPr>
        <w:t>21.9</w:t>
      </w:r>
      <w:r w:rsidR="005D4BF4" w:rsidRPr="005D4BF4">
        <w:rPr>
          <w:rFonts w:hint="cs"/>
          <w:rtl/>
          <w:lang w:val="fr-CH" w:bidi="ar-SY"/>
        </w:rPr>
        <w:t xml:space="preserve"> </w:t>
      </w:r>
      <w:r w:rsidR="005D4BF4" w:rsidRPr="005D4BF4">
        <w:rPr>
          <w:rtl/>
        </w:rPr>
        <w:t xml:space="preserve">من لوائح الراديو، غير </w:t>
      </w:r>
      <w:r w:rsidR="005D4BF4" w:rsidRPr="005D4BF4">
        <w:rPr>
          <w:rFonts w:hint="cs"/>
          <w:rtl/>
        </w:rPr>
        <w:t>ملائمة</w:t>
      </w:r>
      <w:r w:rsidR="005D4BF4" w:rsidRPr="005D4BF4">
        <w:rPr>
          <w:rtl/>
        </w:rPr>
        <w:t xml:space="preserve"> </w:t>
      </w:r>
      <w:proofErr w:type="spellStart"/>
      <w:r w:rsidR="005D4BF4" w:rsidRPr="005D4BF4">
        <w:rPr>
          <w:rFonts w:hint="cs"/>
          <w:rtl/>
        </w:rPr>
        <w:t>لل</w:t>
      </w:r>
      <w:r w:rsidR="005D4BF4" w:rsidRPr="005D4BF4">
        <w:rPr>
          <w:rtl/>
        </w:rPr>
        <w:t>سواتل</w:t>
      </w:r>
      <w:proofErr w:type="spellEnd"/>
      <w:r w:rsidR="005D4BF4" w:rsidRPr="005D4BF4">
        <w:rPr>
          <w:rtl/>
        </w:rPr>
        <w:t xml:space="preserve"> غير </w:t>
      </w:r>
      <w:r w:rsidR="00A76501">
        <w:rPr>
          <w:rFonts w:hint="cs"/>
          <w:rtl/>
        </w:rPr>
        <w:t>ال</w:t>
      </w:r>
      <w:r w:rsidR="005D4BF4" w:rsidRPr="005D4BF4">
        <w:rPr>
          <w:rtl/>
        </w:rPr>
        <w:t xml:space="preserve">مستقرة بالنسبة إلى الأرض ذات </w:t>
      </w:r>
      <w:r w:rsidR="00A76501">
        <w:rPr>
          <w:rFonts w:hint="cs"/>
          <w:rtl/>
        </w:rPr>
        <w:t>ال</w:t>
      </w:r>
      <w:r w:rsidR="005D4BF4" w:rsidRPr="005D4BF4">
        <w:rPr>
          <w:rtl/>
        </w:rPr>
        <w:t>مه</w:t>
      </w:r>
      <w:r w:rsidR="00A76501">
        <w:rPr>
          <w:rFonts w:hint="cs"/>
          <w:rtl/>
        </w:rPr>
        <w:t>مات</w:t>
      </w:r>
      <w:r w:rsidR="005D4BF4" w:rsidRPr="005D4BF4">
        <w:rPr>
          <w:rtl/>
        </w:rPr>
        <w:t xml:space="preserve"> قصيرة </w:t>
      </w:r>
      <w:r w:rsidR="00A76501">
        <w:rPr>
          <w:rFonts w:hint="cs"/>
          <w:rtl/>
        </w:rPr>
        <w:t>ال</w:t>
      </w:r>
      <w:r w:rsidR="005D4BF4" w:rsidRPr="005D4BF4">
        <w:rPr>
          <w:rtl/>
        </w:rPr>
        <w:t>مدة</w:t>
      </w:r>
      <w:r w:rsidRPr="005D4BF4">
        <w:rPr>
          <w:rFonts w:hint="cs"/>
          <w:rtl/>
        </w:rPr>
        <w:t>؛</w:t>
      </w:r>
    </w:p>
    <w:p w14:paraId="64DD0D24" w14:textId="05D5487B" w:rsidR="00916BB6" w:rsidRDefault="00916BB6" w:rsidP="00916BB6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5D4BF4">
        <w:rPr>
          <w:rFonts w:hint="cs"/>
          <w:rtl/>
        </w:rPr>
        <w:t>وفي حال بي</w:t>
      </w:r>
      <w:r w:rsidR="00A76501">
        <w:rPr>
          <w:rFonts w:hint="cs"/>
          <w:rtl/>
        </w:rPr>
        <w:t>ّ</w:t>
      </w:r>
      <w:r w:rsidRPr="005D4BF4">
        <w:rPr>
          <w:rFonts w:hint="cs"/>
          <w:rtl/>
        </w:rPr>
        <w:t>نت دراسات التوزيعات الحالية لخدمة العمليات الفضائية أن المتطلبات لا يمكن تلبيتها بموجب الفقرتين</w:t>
      </w:r>
      <w:r w:rsidRPr="005D4BF4">
        <w:rPr>
          <w:rFonts w:hint="eastAsia"/>
          <w:rtl/>
        </w:rPr>
        <w:t> </w:t>
      </w:r>
      <w:r w:rsidR="005D4BF4" w:rsidRPr="005D4BF4">
        <w:rPr>
          <w:rFonts w:hint="cs"/>
          <w:rtl/>
          <w:lang w:bidi="ar-EG"/>
        </w:rPr>
        <w:t>السابقتين</w:t>
      </w:r>
      <w:r w:rsidRPr="005D4BF4">
        <w:rPr>
          <w:rFonts w:hint="cs"/>
          <w:rtl/>
        </w:rPr>
        <w:t xml:space="preserve">، إجراء دراسات بشأن التقاسم والتوافق ودراسة </w:t>
      </w:r>
      <w:r w:rsidR="00A76501">
        <w:rPr>
          <w:rFonts w:hint="cs"/>
          <w:rtl/>
        </w:rPr>
        <w:t xml:space="preserve">بشأن </w:t>
      </w:r>
      <w:r w:rsidRPr="005D4BF4">
        <w:rPr>
          <w:rFonts w:hint="cs"/>
          <w:rtl/>
        </w:rPr>
        <w:t>تقنيات التخفيف لحماية الخدمات القائمة، في النطاق و</w:t>
      </w:r>
      <w:r w:rsidR="00A76501">
        <w:rPr>
          <w:rFonts w:hint="cs"/>
          <w:rtl/>
        </w:rPr>
        <w:t>ا</w:t>
      </w:r>
      <w:r w:rsidRPr="005D4BF4">
        <w:rPr>
          <w:rFonts w:hint="cs"/>
          <w:rtl/>
        </w:rPr>
        <w:t>لنطاقات المتجاورة على السواء، بغية النظر في التوزيعات الجديدة الممكنة أو رفع التوزيعات</w:t>
      </w:r>
      <w:r w:rsidR="00A76501">
        <w:rPr>
          <w:rFonts w:hint="cs"/>
          <w:rtl/>
        </w:rPr>
        <w:t xml:space="preserve"> القائمة</w:t>
      </w:r>
      <w:r w:rsidRPr="005D4BF4">
        <w:rPr>
          <w:rFonts w:hint="cs"/>
          <w:rtl/>
        </w:rPr>
        <w:t xml:space="preserve"> لخدمة العمليات الفضائية في مديي التردد</w:t>
      </w:r>
      <w:r w:rsidRPr="005D4BF4">
        <w:rPr>
          <w:rFonts w:hint="eastAsia"/>
          <w:rtl/>
        </w:rPr>
        <w:t> </w:t>
      </w:r>
      <w:r w:rsidRPr="005D4BF4">
        <w:rPr>
          <w:lang w:bidi="ar-EG"/>
        </w:rPr>
        <w:t>MHz 174</w:t>
      </w:r>
      <w:r w:rsidRPr="005D4BF4">
        <w:rPr>
          <w:lang w:bidi="ar-EG"/>
        </w:rPr>
        <w:noBreakHyphen/>
        <w:t>150</w:t>
      </w:r>
      <w:r w:rsidR="00824DA4">
        <w:rPr>
          <w:lang w:bidi="ar-EG"/>
        </w:rPr>
        <w:t>,</w:t>
      </w:r>
      <w:r w:rsidRPr="005D4BF4">
        <w:rPr>
          <w:lang w:bidi="ar-EG"/>
        </w:rPr>
        <w:t>05</w:t>
      </w:r>
      <w:r w:rsidRPr="005D4BF4">
        <w:rPr>
          <w:rFonts w:hint="cs"/>
          <w:rtl/>
        </w:rPr>
        <w:t xml:space="preserve"> و</w:t>
      </w:r>
      <w:r w:rsidRPr="005D4BF4">
        <w:rPr>
          <w:lang w:bidi="ar-EG"/>
        </w:rPr>
        <w:t>MHz 420</w:t>
      </w:r>
      <w:r w:rsidRPr="005D4BF4">
        <w:rPr>
          <w:lang w:bidi="ar-EG"/>
        </w:rPr>
        <w:noBreakHyphen/>
        <w:t>400</w:t>
      </w:r>
      <w:r w:rsidR="00824DA4">
        <w:rPr>
          <w:lang w:bidi="ar-EG"/>
        </w:rPr>
        <w:t>,</w:t>
      </w:r>
      <w:r w:rsidRPr="005D4BF4">
        <w:rPr>
          <w:lang w:bidi="ar-EG"/>
        </w:rPr>
        <w:t>15</w:t>
      </w:r>
      <w:r w:rsidRPr="005D4BF4">
        <w:rPr>
          <w:rFonts w:hint="cs"/>
          <w:rtl/>
        </w:rPr>
        <w:t>،</w:t>
      </w:r>
    </w:p>
    <w:p w14:paraId="12ECE7BB" w14:textId="39BB2CEC" w:rsidR="00916BB6" w:rsidRPr="00D31BED" w:rsidRDefault="005D4BF4" w:rsidP="00D31BED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Pr="005D4BF4">
        <w:rPr>
          <w:rtl/>
          <w:lang w:bidi="ar-EG"/>
        </w:rPr>
        <w:t xml:space="preserve">في الاجتماع الخامس لفريق التحضير للمؤتمر العالمي للاتصالات الراديوية </w:t>
      </w:r>
      <w:r w:rsidR="00824DA4">
        <w:rPr>
          <w:lang w:bidi="ar-EG"/>
        </w:rPr>
        <w:t>(</w:t>
      </w:r>
      <w:r w:rsidR="00824DA4" w:rsidRPr="005D4BF4">
        <w:rPr>
          <w:lang w:bidi="ar-EG"/>
        </w:rPr>
        <w:t>APG19-5</w:t>
      </w:r>
      <w:r w:rsidR="00824DA4">
        <w:rPr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5D4BF4">
        <w:rPr>
          <w:rtl/>
          <w:lang w:bidi="ar-EG"/>
        </w:rPr>
        <w:t xml:space="preserve">الذي </w:t>
      </w:r>
      <w:r w:rsidR="00A76501">
        <w:rPr>
          <w:rFonts w:hint="cs"/>
          <w:rtl/>
          <w:lang w:bidi="ar-EG"/>
        </w:rPr>
        <w:t>عُ</w:t>
      </w:r>
      <w:r w:rsidRPr="005D4BF4">
        <w:rPr>
          <w:rtl/>
          <w:lang w:bidi="ar-EG"/>
        </w:rPr>
        <w:t>قد في يوليو</w:t>
      </w:r>
      <w:r>
        <w:rPr>
          <w:rFonts w:hint="cs"/>
          <w:rtl/>
          <w:lang w:bidi="ar-EG"/>
        </w:rPr>
        <w:t>-</w:t>
      </w:r>
      <w:r w:rsidRPr="005D4BF4">
        <w:rPr>
          <w:rtl/>
          <w:lang w:bidi="ar-EG"/>
        </w:rPr>
        <w:t xml:space="preserve">أغسطس </w:t>
      </w:r>
      <w:r>
        <w:rPr>
          <w:lang w:bidi="ar-EG"/>
        </w:rPr>
        <w:t>2019</w:t>
      </w:r>
      <w:r w:rsidRPr="005D4BF4">
        <w:rPr>
          <w:rtl/>
          <w:lang w:bidi="ar-EG"/>
        </w:rPr>
        <w:t>، لم</w:t>
      </w:r>
      <w:r w:rsidR="00F269D2">
        <w:rPr>
          <w:rFonts w:hint="cs"/>
          <w:rtl/>
          <w:lang w:bidi="ar-EG"/>
        </w:rPr>
        <w:t> </w:t>
      </w:r>
      <w:r w:rsidRPr="005D4BF4">
        <w:rPr>
          <w:rtl/>
          <w:lang w:bidi="ar-EG"/>
        </w:rPr>
        <w:t xml:space="preserve">يتوصل أعضاء </w:t>
      </w:r>
      <w:r>
        <w:rPr>
          <w:rFonts w:hint="cs"/>
          <w:rtl/>
          <w:lang w:bidi="ar-EG"/>
        </w:rPr>
        <w:t>الفريق</w:t>
      </w:r>
      <w:r w:rsidRPr="005D4BF4">
        <w:rPr>
          <w:rtl/>
          <w:lang w:bidi="ar-EG"/>
        </w:rPr>
        <w:t xml:space="preserve"> إلى اتفاق </w:t>
      </w:r>
      <w:r>
        <w:rPr>
          <w:rFonts w:hint="cs"/>
          <w:rtl/>
          <w:lang w:bidi="ar-EG"/>
        </w:rPr>
        <w:t>لوضع</w:t>
      </w:r>
      <w:r w:rsidRPr="005D4BF4">
        <w:rPr>
          <w:rtl/>
          <w:lang w:bidi="ar-EG"/>
        </w:rPr>
        <w:t xml:space="preserve"> نص تنظيمي محدد </w:t>
      </w:r>
      <w:r>
        <w:rPr>
          <w:rFonts w:hint="cs"/>
          <w:rtl/>
          <w:lang w:bidi="ar-EG"/>
        </w:rPr>
        <w:t>مقترح</w:t>
      </w:r>
      <w:r w:rsidRPr="005D4BF4">
        <w:rPr>
          <w:rtl/>
          <w:lang w:bidi="ar-EG"/>
        </w:rPr>
        <w:t xml:space="preserve"> للبند </w:t>
      </w:r>
      <w:r>
        <w:rPr>
          <w:lang w:bidi="ar-EG"/>
        </w:rPr>
        <w:t>7.1</w:t>
      </w:r>
      <w:r w:rsidRPr="005D4BF4">
        <w:rPr>
          <w:rtl/>
          <w:lang w:bidi="ar-EG"/>
        </w:rPr>
        <w:t xml:space="preserve"> من جدول الأعمال. </w:t>
      </w:r>
      <w:r>
        <w:rPr>
          <w:rFonts w:hint="cs"/>
          <w:rtl/>
          <w:lang w:bidi="ar-EG"/>
        </w:rPr>
        <w:t>و</w:t>
      </w:r>
      <w:r w:rsidRPr="005D4BF4">
        <w:rPr>
          <w:rtl/>
          <w:lang w:bidi="ar-EG"/>
        </w:rPr>
        <w:t>يصف ال</w:t>
      </w:r>
      <w:r w:rsidR="00A76501">
        <w:rPr>
          <w:rFonts w:hint="cs"/>
          <w:rtl/>
          <w:lang w:bidi="ar-EG"/>
        </w:rPr>
        <w:t>مق</w:t>
      </w:r>
      <w:r w:rsidRPr="005D4BF4">
        <w:rPr>
          <w:rtl/>
          <w:lang w:bidi="ar-EG"/>
        </w:rPr>
        <w:t>ترح المشترك</w:t>
      </w:r>
      <w:r>
        <w:rPr>
          <w:rFonts w:hint="cs"/>
          <w:rtl/>
          <w:lang w:bidi="ar-EG"/>
        </w:rPr>
        <w:t xml:space="preserve"> لجماعة </w:t>
      </w:r>
      <w:r>
        <w:rPr>
          <w:rFonts w:hint="cs"/>
          <w:rtl/>
          <w:lang w:bidi="ar-EG"/>
        </w:rPr>
        <w:lastRenderedPageBreak/>
        <w:t xml:space="preserve">آسيا والمحيط الهادئ للاتصالات </w:t>
      </w:r>
      <w:r>
        <w:rPr>
          <w:lang w:bidi="ar-EG"/>
        </w:rPr>
        <w:t>(APT)</w:t>
      </w:r>
      <w:r w:rsidRPr="005D4BF4">
        <w:rPr>
          <w:rtl/>
          <w:lang w:bidi="ar-EG"/>
        </w:rPr>
        <w:t xml:space="preserve"> فقط آراء كل عضو من أعضاء </w:t>
      </w:r>
      <w:r>
        <w:rPr>
          <w:rFonts w:hint="cs"/>
          <w:rtl/>
          <w:lang w:bidi="ar-EG"/>
        </w:rPr>
        <w:t>الجماعة</w:t>
      </w:r>
      <w:r w:rsidRPr="005D4BF4">
        <w:rPr>
          <w:rtl/>
          <w:lang w:bidi="ar-EG"/>
        </w:rPr>
        <w:t xml:space="preserve"> </w:t>
      </w:r>
      <w:r w:rsidR="00D31BED">
        <w:rPr>
          <w:rFonts w:hint="cs"/>
          <w:rtl/>
          <w:lang w:bidi="ar-EG"/>
        </w:rPr>
        <w:t>والتي تؤيد أساساً</w:t>
      </w:r>
      <w:r w:rsidRPr="005D4B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الأسلوب </w:t>
      </w:r>
      <w:r>
        <w:rPr>
          <w:lang w:bidi="ar-EG"/>
        </w:rPr>
        <w:t>A</w:t>
      </w:r>
      <w:r>
        <w:rPr>
          <w:rFonts w:hint="cs"/>
          <w:rtl/>
          <w:lang w:val="fr-CH" w:bidi="ar-SY"/>
        </w:rPr>
        <w:t xml:space="preserve"> والأسلوب </w:t>
      </w:r>
      <w:r>
        <w:rPr>
          <w:lang w:bidi="ar-SY"/>
        </w:rPr>
        <w:t>C</w:t>
      </w:r>
      <w:r w:rsidR="00D31BED">
        <w:rPr>
          <w:rFonts w:hint="cs"/>
          <w:rtl/>
          <w:lang w:bidi="ar-SY"/>
        </w:rPr>
        <w:t xml:space="preserve">، </w:t>
      </w:r>
      <w:r w:rsidRPr="005D4BF4">
        <w:rPr>
          <w:rtl/>
          <w:lang w:bidi="ar-EG"/>
        </w:rPr>
        <w:t xml:space="preserve">مع تفضيل </w:t>
      </w:r>
      <w:r w:rsidR="00D31BED">
        <w:rPr>
          <w:rFonts w:hint="cs"/>
          <w:rtl/>
          <w:lang w:bidi="ar-EG"/>
        </w:rPr>
        <w:t>الأسلوب</w:t>
      </w:r>
      <w:r w:rsidRPr="005D4BF4">
        <w:rPr>
          <w:rtl/>
          <w:lang w:bidi="ar-EG"/>
        </w:rPr>
        <w:t xml:space="preserve"> </w:t>
      </w:r>
      <w:r w:rsidRPr="005D4BF4">
        <w:rPr>
          <w:lang w:bidi="ar-EG"/>
        </w:rPr>
        <w:t>C</w:t>
      </w:r>
      <w:r w:rsidRPr="005D4BF4">
        <w:rPr>
          <w:rtl/>
          <w:lang w:bidi="ar-EG"/>
        </w:rPr>
        <w:t xml:space="preserve"> بشروط، و</w:t>
      </w:r>
      <w:r w:rsidR="00A76501">
        <w:rPr>
          <w:rFonts w:hint="cs"/>
          <w:rtl/>
          <w:lang w:bidi="ar-EG"/>
        </w:rPr>
        <w:t xml:space="preserve">لا يؤيد </w:t>
      </w:r>
      <w:r w:rsidRPr="005D4BF4">
        <w:rPr>
          <w:rtl/>
          <w:lang w:bidi="ar-EG"/>
        </w:rPr>
        <w:t xml:space="preserve">بعض أعضاء </w:t>
      </w:r>
      <w:r w:rsidR="00D31BED">
        <w:rPr>
          <w:rFonts w:hint="cs"/>
          <w:rtl/>
          <w:lang w:bidi="ar-EG"/>
        </w:rPr>
        <w:t>الجماعة الأسلوب</w:t>
      </w:r>
      <w:r w:rsidRPr="005D4BF4">
        <w:rPr>
          <w:rtl/>
          <w:lang w:bidi="ar-EG"/>
        </w:rPr>
        <w:t xml:space="preserve"> </w:t>
      </w:r>
      <w:r w:rsidRPr="005D4BF4">
        <w:rPr>
          <w:lang w:bidi="ar-EG"/>
        </w:rPr>
        <w:t>C</w:t>
      </w:r>
      <w:r w:rsidRPr="005D4BF4">
        <w:rPr>
          <w:rtl/>
          <w:lang w:bidi="ar-EG"/>
        </w:rPr>
        <w:t>.</w:t>
      </w:r>
    </w:p>
    <w:p w14:paraId="64E78ABA" w14:textId="058C6CC0" w:rsidR="00916BB6" w:rsidRPr="005D4BF4" w:rsidRDefault="005D4BF4" w:rsidP="00916BB6">
      <w:pPr>
        <w:pStyle w:val="Headingb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المقترحات</w:t>
      </w:r>
    </w:p>
    <w:p w14:paraId="7FDF4BAB" w14:textId="7E2DFAA2" w:rsidR="00916BB6" w:rsidRDefault="00D31BED" w:rsidP="008614B8">
      <w:pPr>
        <w:rPr>
          <w:rtl/>
          <w:lang w:bidi="ar-EG"/>
        </w:rPr>
      </w:pPr>
      <w:r w:rsidRPr="00D31BED">
        <w:rPr>
          <w:rtl/>
          <w:lang w:bidi="ar-EG"/>
        </w:rPr>
        <w:t xml:space="preserve">لا </w:t>
      </w:r>
      <w:r>
        <w:rPr>
          <w:rFonts w:hint="cs"/>
          <w:rtl/>
          <w:lang w:bidi="ar-EG"/>
        </w:rPr>
        <w:t>تؤيد</w:t>
      </w:r>
      <w:r w:rsidRPr="00D31BED">
        <w:rPr>
          <w:rtl/>
          <w:lang w:bidi="ar-EG"/>
        </w:rPr>
        <w:t xml:space="preserve"> اليابان </w:t>
      </w:r>
      <w:r>
        <w:rPr>
          <w:rFonts w:hint="cs"/>
          <w:rtl/>
          <w:lang w:bidi="ar-EG"/>
        </w:rPr>
        <w:t xml:space="preserve">الأسلوب </w:t>
      </w:r>
      <w:r>
        <w:rPr>
          <w:lang w:bidi="ar-EG"/>
        </w:rPr>
        <w:t>B1</w:t>
      </w:r>
      <w:r>
        <w:rPr>
          <w:rFonts w:hint="cs"/>
          <w:rtl/>
          <w:lang w:val="fr-CH" w:bidi="ar-SY"/>
        </w:rPr>
        <w:t xml:space="preserve"> والأسلوب </w:t>
      </w:r>
      <w:r>
        <w:rPr>
          <w:lang w:bidi="ar-SY"/>
        </w:rPr>
        <w:t>B2</w:t>
      </w:r>
      <w:r w:rsidRPr="00D31BED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نظراً لأن</w:t>
      </w:r>
      <w:r w:rsidRPr="00D31BED">
        <w:rPr>
          <w:rtl/>
          <w:lang w:bidi="ar-EG"/>
        </w:rPr>
        <w:t xml:space="preserve"> الدراسات الواردة في التقرير </w:t>
      </w:r>
      <w:r w:rsidRPr="00D31BED">
        <w:rPr>
          <w:lang w:bidi="ar-EG"/>
        </w:rPr>
        <w:t>ITU-R SA.2427-0</w:t>
      </w:r>
      <w:r w:rsidRPr="00D31BED">
        <w:rPr>
          <w:rtl/>
          <w:lang w:bidi="ar-EG"/>
        </w:rPr>
        <w:t xml:space="preserve"> تشير إلى </w:t>
      </w:r>
      <w:r w:rsidR="00A76501">
        <w:rPr>
          <w:rFonts w:hint="cs"/>
          <w:rtl/>
          <w:lang w:bidi="ar-EG"/>
        </w:rPr>
        <w:t xml:space="preserve">إمكانية تقاسم </w:t>
      </w:r>
      <w:r w:rsidRPr="00D31BED">
        <w:rPr>
          <w:rtl/>
          <w:lang w:bidi="ar-EG"/>
        </w:rPr>
        <w:t>التتبع والقياس عن بُعد والتحكم عن بُعد</w:t>
      </w:r>
      <w:r>
        <w:rPr>
          <w:rFonts w:hint="cs"/>
          <w:rtl/>
          <w:lang w:bidi="ar-EG"/>
        </w:rPr>
        <w:t xml:space="preserve"> </w:t>
      </w:r>
      <w:r w:rsidRPr="00D31BED">
        <w:rPr>
          <w:rtl/>
          <w:lang w:bidi="ar-EG"/>
        </w:rPr>
        <w:t xml:space="preserve">في خدمة العمليات الفضائية </w:t>
      </w:r>
      <w:proofErr w:type="spellStart"/>
      <w:r w:rsidRPr="00D31BED">
        <w:rPr>
          <w:rtl/>
          <w:lang w:bidi="ar-EG"/>
        </w:rPr>
        <w:t>للسواتل</w:t>
      </w:r>
      <w:proofErr w:type="spellEnd"/>
      <w:r w:rsidRPr="00D31BED">
        <w:rPr>
          <w:rtl/>
          <w:lang w:bidi="ar-EG"/>
        </w:rPr>
        <w:t xml:space="preserve"> غير المستقرة بالنسبة إلى الأرض </w:t>
      </w:r>
      <w:r w:rsidR="00A76501">
        <w:rPr>
          <w:rFonts w:hint="cs"/>
          <w:rtl/>
          <w:lang w:bidi="ar-EG"/>
        </w:rPr>
        <w:t>ذات المهمات</w:t>
      </w:r>
      <w:r w:rsidRPr="00D31BED">
        <w:rPr>
          <w:rtl/>
          <w:lang w:bidi="ar-EG"/>
        </w:rPr>
        <w:t xml:space="preserve"> قصيرة المدة</w:t>
      </w:r>
      <w:r w:rsidR="00A76501">
        <w:rPr>
          <w:rFonts w:hint="cs"/>
          <w:rtl/>
          <w:lang w:bidi="ar-EG"/>
        </w:rPr>
        <w:t xml:space="preserve">، </w:t>
      </w:r>
      <w:r w:rsidR="007423D6">
        <w:rPr>
          <w:rFonts w:hint="cs"/>
          <w:rtl/>
          <w:lang w:bidi="ar-EG"/>
        </w:rPr>
        <w:t xml:space="preserve">مع </w:t>
      </w:r>
      <w:r w:rsidRPr="00D31BED">
        <w:rPr>
          <w:rtl/>
          <w:lang w:bidi="ar-EG"/>
        </w:rPr>
        <w:t xml:space="preserve">خدمة مساعدات الأرصاد الجوية </w:t>
      </w:r>
      <w:r>
        <w:rPr>
          <w:rFonts w:hint="cs"/>
          <w:rtl/>
          <w:lang w:bidi="ar-EG"/>
        </w:rPr>
        <w:t>القائمة</w:t>
      </w:r>
      <w:r w:rsidRPr="00D31BED">
        <w:rPr>
          <w:rtl/>
          <w:lang w:bidi="ar-EG"/>
        </w:rPr>
        <w:t>، فقط في ظل ظروف محدودة.</w:t>
      </w:r>
    </w:p>
    <w:p w14:paraId="2569F88D" w14:textId="0E490AEE" w:rsidR="00916BB6" w:rsidRPr="00D31BED" w:rsidRDefault="00D31BED" w:rsidP="008614B8">
      <w:pPr>
        <w:rPr>
          <w:rtl/>
          <w:lang w:val="fr-CH" w:bidi="ar-SY"/>
        </w:rPr>
      </w:pPr>
      <w:r>
        <w:rPr>
          <w:rFonts w:hint="cs"/>
          <w:rtl/>
          <w:lang w:bidi="ar-EG"/>
        </w:rPr>
        <w:t xml:space="preserve">وفيما يتعلق بالأسلوب </w:t>
      </w:r>
      <w:r>
        <w:rPr>
          <w:lang w:bidi="ar-EG"/>
        </w:rPr>
        <w:t>C</w:t>
      </w:r>
      <w:r>
        <w:rPr>
          <w:rFonts w:hint="cs"/>
          <w:rtl/>
          <w:lang w:val="fr-CH" w:bidi="ar-SY"/>
        </w:rPr>
        <w:t>، لم تُستكمل</w:t>
      </w:r>
      <w:r w:rsidRPr="00D31BED">
        <w:rPr>
          <w:rtl/>
          <w:lang w:val="fr-CH" w:bidi="ar-SY"/>
        </w:rPr>
        <w:t xml:space="preserve"> دراسات التقاسم والتوافق بين </w:t>
      </w:r>
      <w:r w:rsidRPr="00D31BED">
        <w:rPr>
          <w:rtl/>
          <w:lang w:bidi="ar-EG"/>
        </w:rPr>
        <w:t xml:space="preserve">التتبع والقياس عن بُعد والتحكم </w:t>
      </w:r>
      <w:r w:rsidR="00A76501">
        <w:rPr>
          <w:rFonts w:hint="cs"/>
          <w:rtl/>
          <w:lang w:bidi="ar-EG"/>
        </w:rPr>
        <w:t xml:space="preserve">عن بعد </w:t>
      </w:r>
      <w:r w:rsidRPr="00D31BED">
        <w:rPr>
          <w:rtl/>
          <w:lang w:val="fr-CH" w:bidi="ar-SY"/>
        </w:rPr>
        <w:t xml:space="preserve">في خدمة العمليات الفضائية </w:t>
      </w:r>
      <w:proofErr w:type="spellStart"/>
      <w:r w:rsidRPr="00D31BED">
        <w:rPr>
          <w:rtl/>
          <w:lang w:val="fr-CH" w:bidi="ar-SY"/>
        </w:rPr>
        <w:t>للسواتل</w:t>
      </w:r>
      <w:proofErr w:type="spellEnd"/>
      <w:r w:rsidRPr="00D31BED">
        <w:rPr>
          <w:rtl/>
          <w:lang w:val="fr-CH" w:bidi="ar-SY"/>
        </w:rPr>
        <w:t xml:space="preserve"> غير المستقرة بالنسبة إلى الأرض ذات المهمات قصيرة </w:t>
      </w:r>
      <w:r>
        <w:rPr>
          <w:rFonts w:hint="cs"/>
          <w:rtl/>
          <w:lang w:val="fr-CH" w:bidi="ar-SY"/>
        </w:rPr>
        <w:t>المدة</w:t>
      </w:r>
      <w:r w:rsidRPr="00D31BED">
        <w:rPr>
          <w:rtl/>
          <w:lang w:val="fr-CH" w:bidi="ar-SY"/>
        </w:rPr>
        <w:t xml:space="preserve"> والخدمات الحالية. </w:t>
      </w:r>
      <w:r w:rsidR="00A76501">
        <w:rPr>
          <w:rFonts w:hint="cs"/>
          <w:rtl/>
          <w:lang w:val="fr-CH" w:bidi="ar-SY"/>
        </w:rPr>
        <w:t>و</w:t>
      </w:r>
      <w:r w:rsidRPr="00D31BED">
        <w:rPr>
          <w:rtl/>
          <w:lang w:val="fr-CH" w:bidi="ar-SY"/>
        </w:rPr>
        <w:t xml:space="preserve">بالإضافة إلى ذلك، يجري </w:t>
      </w:r>
      <w:r w:rsidR="00A76501">
        <w:rPr>
          <w:rFonts w:hint="cs"/>
          <w:rtl/>
          <w:lang w:val="fr-CH" w:bidi="ar-SY"/>
        </w:rPr>
        <w:t xml:space="preserve">حالياً </w:t>
      </w:r>
      <w:r>
        <w:rPr>
          <w:rFonts w:hint="cs"/>
          <w:rtl/>
          <w:lang w:val="fr-CH" w:bidi="ar-SY"/>
        </w:rPr>
        <w:t>إعداد</w:t>
      </w:r>
      <w:r w:rsidRPr="00D31BED">
        <w:rPr>
          <w:rtl/>
          <w:lang w:val="fr-CH" w:bidi="ar-SY"/>
        </w:rPr>
        <w:t xml:space="preserve"> وثيقة عمل صوب مشروع أولي للتقرير الجديد </w:t>
      </w:r>
      <w:r w:rsidR="00A76501" w:rsidRPr="00D31BED">
        <w:rPr>
          <w:rtl/>
          <w:lang w:val="fr-CH" w:bidi="ar-SY"/>
        </w:rPr>
        <w:t>[</w:t>
      </w:r>
      <w:r w:rsidR="00A76501" w:rsidRPr="00D31BED">
        <w:rPr>
          <w:lang w:val="fr-CH" w:bidi="ar-SY"/>
        </w:rPr>
        <w:t>NGSO SD VHF</w:t>
      </w:r>
      <w:r w:rsidR="00A76501" w:rsidRPr="00985E40">
        <w:rPr>
          <w:lang w:val="fr-CH" w:bidi="ar-SY"/>
        </w:rPr>
        <w:t xml:space="preserve"> </w:t>
      </w:r>
      <w:proofErr w:type="gramStart"/>
      <w:r w:rsidR="00A76501" w:rsidRPr="00985E40">
        <w:rPr>
          <w:lang w:val="fr-CH" w:bidi="ar-SY"/>
        </w:rPr>
        <w:t>COMPATIBILITY</w:t>
      </w:r>
      <w:r w:rsidR="00A76501" w:rsidRPr="00D31BED">
        <w:rPr>
          <w:rtl/>
          <w:lang w:val="fr-CH" w:bidi="ar-SY"/>
        </w:rPr>
        <w:t>]</w:t>
      </w:r>
      <w:r w:rsidR="00824DA4" w:rsidRPr="00D31BED">
        <w:rPr>
          <w:lang w:val="fr-CH" w:bidi="ar-SY"/>
        </w:rPr>
        <w:t>ITU</w:t>
      </w:r>
      <w:proofErr w:type="gramEnd"/>
      <w:r w:rsidR="00824DA4" w:rsidRPr="00D31BED">
        <w:rPr>
          <w:lang w:val="fr-CH" w:bidi="ar-SY"/>
        </w:rPr>
        <w:t>-R SA</w:t>
      </w:r>
      <w:r w:rsidR="003F5C7A">
        <w:rPr>
          <w:lang w:val="fr-CH" w:bidi="ar-SY"/>
        </w:rPr>
        <w:t>.</w:t>
      </w:r>
      <w:r w:rsidR="00824DA4">
        <w:rPr>
          <w:rFonts w:hint="cs"/>
          <w:rtl/>
          <w:lang w:val="fr-CH" w:bidi="ar-SY"/>
        </w:rPr>
        <w:t xml:space="preserve"> </w:t>
      </w:r>
      <w:r w:rsidR="00985E40">
        <w:rPr>
          <w:rFonts w:hint="cs"/>
          <w:rtl/>
          <w:lang w:val="fr-CH" w:bidi="ar-SY"/>
        </w:rPr>
        <w:t>بشأن</w:t>
      </w:r>
      <w:r w:rsidRPr="00D31BED">
        <w:rPr>
          <w:rtl/>
          <w:lang w:val="fr-CH" w:bidi="ar-SY"/>
        </w:rPr>
        <w:t xml:space="preserve"> التوافق مع الخدمة المتنقلة للطيران (المسار) بما في ذلك نظام </w:t>
      </w:r>
      <w:r w:rsidR="00985E40">
        <w:rPr>
          <w:rFonts w:hint="cs"/>
          <w:rtl/>
          <w:lang w:val="fr-CH" w:bidi="ar-SY"/>
        </w:rPr>
        <w:t xml:space="preserve">الوصلة الرقمية لترددات الموجات المترية </w:t>
      </w:r>
      <w:r w:rsidR="00A76501">
        <w:rPr>
          <w:lang w:bidi="ar-SY"/>
        </w:rPr>
        <w:t>(VDL)</w:t>
      </w:r>
      <w:r w:rsidR="00A76501">
        <w:rPr>
          <w:rFonts w:hint="cs"/>
          <w:rtl/>
          <w:lang w:bidi="ar-SY"/>
        </w:rPr>
        <w:t xml:space="preserve"> </w:t>
      </w:r>
      <w:r w:rsidRPr="00D31BED">
        <w:rPr>
          <w:rtl/>
          <w:lang w:val="fr-CH" w:bidi="ar-SY"/>
        </w:rPr>
        <w:t>باستخدام النطاق المجاور</w:t>
      </w:r>
      <w:r w:rsidR="00A76501">
        <w:rPr>
          <w:rFonts w:hint="cs"/>
          <w:rtl/>
          <w:lang w:val="fr-CH" w:bidi="ar-SY"/>
        </w:rPr>
        <w:t xml:space="preserve">، </w:t>
      </w:r>
      <w:r w:rsidRPr="00D31BED">
        <w:rPr>
          <w:rtl/>
          <w:lang w:val="fr-CH" w:bidi="ar-SY"/>
        </w:rPr>
        <w:t>في</w:t>
      </w:r>
      <w:r w:rsidR="000E0698">
        <w:rPr>
          <w:rFonts w:hint="cs"/>
          <w:rtl/>
          <w:lang w:val="fr-CH" w:bidi="ar-SY"/>
        </w:rPr>
        <w:t> </w:t>
      </w:r>
      <w:r w:rsidRPr="00D31BED">
        <w:rPr>
          <w:rtl/>
          <w:lang w:val="fr-CH" w:bidi="ar-SY"/>
        </w:rPr>
        <w:t>نطاق التردد</w:t>
      </w:r>
      <w:r w:rsidR="00985E40">
        <w:rPr>
          <w:rFonts w:hint="cs"/>
          <w:rtl/>
          <w:lang w:val="fr-CH" w:bidi="ar-SY"/>
        </w:rPr>
        <w:t xml:space="preserve"> </w:t>
      </w:r>
      <w:r w:rsidR="00985E40">
        <w:rPr>
          <w:lang w:bidi="ar-SY"/>
        </w:rPr>
        <w:t>MHz</w:t>
      </w:r>
      <w:r w:rsidR="00EA0832">
        <w:rPr>
          <w:lang w:bidi="ar-SY"/>
        </w:rPr>
        <w:t> </w:t>
      </w:r>
      <w:r w:rsidR="00985E40">
        <w:rPr>
          <w:lang w:bidi="ar-SY"/>
        </w:rPr>
        <w:t>138-137</w:t>
      </w:r>
      <w:r w:rsidRPr="00D31BED">
        <w:rPr>
          <w:rtl/>
          <w:lang w:val="fr-CH" w:bidi="ar-SY"/>
        </w:rPr>
        <w:t xml:space="preserve">. وعلاوة على ذلك، </w:t>
      </w:r>
      <w:r w:rsidR="00985E40">
        <w:rPr>
          <w:rFonts w:hint="cs"/>
          <w:rtl/>
          <w:lang w:val="fr-CH" w:bidi="ar-SY"/>
        </w:rPr>
        <w:t>تُشغل</w:t>
      </w:r>
      <w:r w:rsidR="00A76501">
        <w:rPr>
          <w:rFonts w:hint="cs"/>
          <w:rtl/>
          <w:lang w:val="fr-CH" w:bidi="ar-SY"/>
        </w:rPr>
        <w:t xml:space="preserve"> في اليابان</w:t>
      </w:r>
      <w:r w:rsidRPr="00D31BED">
        <w:rPr>
          <w:rtl/>
          <w:lang w:val="fr-CH" w:bidi="ar-SY"/>
        </w:rPr>
        <w:t xml:space="preserve"> </w:t>
      </w:r>
      <w:r w:rsidR="007423D6">
        <w:rPr>
          <w:rFonts w:hint="cs"/>
          <w:rtl/>
          <w:lang w:val="fr-CH" w:bidi="ar-SY"/>
        </w:rPr>
        <w:t>العديد من</w:t>
      </w:r>
      <w:r w:rsidRPr="00D31BED">
        <w:rPr>
          <w:rtl/>
          <w:lang w:val="fr-CH" w:bidi="ar-SY"/>
        </w:rPr>
        <w:t xml:space="preserve"> محطات الإذاعة </w:t>
      </w:r>
      <w:r w:rsidR="00A76501">
        <w:rPr>
          <w:rFonts w:hint="cs"/>
          <w:rtl/>
          <w:lang w:val="fr-CH" w:bidi="ar-SY"/>
        </w:rPr>
        <w:t>ل</w:t>
      </w:r>
      <w:r w:rsidRPr="00D31BED">
        <w:rPr>
          <w:rtl/>
          <w:lang w:val="fr-CH" w:bidi="ar-SY"/>
        </w:rPr>
        <w:t>لخدمة المتنقلة البرية في</w:t>
      </w:r>
      <w:r w:rsidR="00985E40">
        <w:rPr>
          <w:rFonts w:hint="cs"/>
          <w:rtl/>
          <w:lang w:val="fr-CH" w:bidi="ar-SY"/>
        </w:rPr>
        <w:t xml:space="preserve"> نطاق التردد</w:t>
      </w:r>
      <w:r w:rsidR="00824DA4">
        <w:rPr>
          <w:rFonts w:hint="eastAsia"/>
          <w:rtl/>
          <w:lang w:val="fr-CH" w:bidi="ar-SY"/>
        </w:rPr>
        <w:t> </w:t>
      </w:r>
      <w:r w:rsidR="00985E40">
        <w:rPr>
          <w:lang w:bidi="ar-SY"/>
        </w:rPr>
        <w:t>MHz</w:t>
      </w:r>
      <w:r w:rsidR="00824DA4">
        <w:rPr>
          <w:lang w:bidi="ar-SY"/>
        </w:rPr>
        <w:t> </w:t>
      </w:r>
      <w:r w:rsidR="00985E40">
        <w:rPr>
          <w:lang w:bidi="ar-SY"/>
        </w:rPr>
        <w:t>149</w:t>
      </w:r>
      <w:r w:rsidR="00824DA4">
        <w:rPr>
          <w:lang w:bidi="ar-SY"/>
        </w:rPr>
        <w:t>,</w:t>
      </w:r>
      <w:r w:rsidR="00985E40">
        <w:rPr>
          <w:lang w:bidi="ar-SY"/>
        </w:rPr>
        <w:t>9</w:t>
      </w:r>
      <w:r w:rsidR="00824DA4">
        <w:rPr>
          <w:lang w:bidi="ar-SY"/>
        </w:rPr>
        <w:noBreakHyphen/>
      </w:r>
      <w:r w:rsidR="00985E40">
        <w:rPr>
          <w:lang w:bidi="ar-SY"/>
        </w:rPr>
        <w:t>148</w:t>
      </w:r>
      <w:r w:rsidRPr="00D31BED">
        <w:rPr>
          <w:rtl/>
          <w:lang w:val="fr-CH" w:bidi="ar-SY"/>
        </w:rPr>
        <w:t>.</w:t>
      </w:r>
    </w:p>
    <w:p w14:paraId="22C1E358" w14:textId="29F338DF" w:rsidR="00916BB6" w:rsidRPr="00985E40" w:rsidRDefault="00985E40" w:rsidP="008614B8">
      <w:pPr>
        <w:rPr>
          <w:rtl/>
          <w:lang w:val="fr-CH" w:bidi="ar-SY"/>
        </w:rPr>
      </w:pPr>
      <w:r w:rsidRPr="00985E40">
        <w:rPr>
          <w:rtl/>
          <w:lang w:bidi="ar-EG"/>
        </w:rPr>
        <w:t>وبالتالي، نظر</w:t>
      </w:r>
      <w:r>
        <w:rPr>
          <w:rFonts w:hint="cs"/>
          <w:rtl/>
          <w:lang w:bidi="ar-EG"/>
        </w:rPr>
        <w:t>اً</w:t>
      </w:r>
      <w:r w:rsidRPr="00985E40">
        <w:rPr>
          <w:rtl/>
          <w:lang w:bidi="ar-EG"/>
        </w:rPr>
        <w:t xml:space="preserve"> لوجود مخاوف بشأن التقاسم بين التتبع والتحكم عن بعد في خدمة العمليات الفضائية </w:t>
      </w:r>
      <w:proofErr w:type="spellStart"/>
      <w:r w:rsidRPr="00985E40">
        <w:rPr>
          <w:rtl/>
          <w:lang w:bidi="ar-EG"/>
        </w:rPr>
        <w:t>للسواتل</w:t>
      </w:r>
      <w:proofErr w:type="spellEnd"/>
      <w:r w:rsidRPr="00985E40">
        <w:rPr>
          <w:rtl/>
          <w:lang w:bidi="ar-EG"/>
        </w:rPr>
        <w:t xml:space="preserve"> غير المستقرة بالنسبة إلى الأرض ذات المهمات قصيرة </w:t>
      </w:r>
      <w:r>
        <w:rPr>
          <w:rFonts w:hint="cs"/>
          <w:rtl/>
          <w:lang w:bidi="ar-EG"/>
        </w:rPr>
        <w:t>المدة</w:t>
      </w:r>
      <w:r w:rsidRPr="00985E40">
        <w:rPr>
          <w:rtl/>
          <w:lang w:bidi="ar-EG"/>
        </w:rPr>
        <w:t xml:space="preserve"> والخدمات </w:t>
      </w:r>
      <w:r w:rsidR="007423D6">
        <w:rPr>
          <w:rFonts w:hint="cs"/>
          <w:rtl/>
          <w:lang w:bidi="ar-EG"/>
        </w:rPr>
        <w:t>القائمة</w:t>
      </w:r>
      <w:r w:rsidRPr="00985E40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فإن اليابان تقترح الأسلوب </w:t>
      </w:r>
      <w:r>
        <w:rPr>
          <w:lang w:bidi="ar-EG"/>
        </w:rPr>
        <w:t>A</w:t>
      </w:r>
      <w:r>
        <w:rPr>
          <w:rFonts w:hint="cs"/>
          <w:rtl/>
          <w:lang w:val="fr-CH" w:bidi="ar-SY"/>
        </w:rPr>
        <w:t>.</w:t>
      </w:r>
    </w:p>
    <w:p w14:paraId="4CD9CFFF" w14:textId="376CAE03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4C76546" w14:textId="77777777" w:rsidR="00632DB3" w:rsidRDefault="00916BB6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7084EC78" w14:textId="77777777" w:rsidR="00632DB3" w:rsidRDefault="00916BB6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 xml:space="preserve">توزيع </w:t>
      </w:r>
      <w:bookmarkStart w:id="4" w:name="_GoBack"/>
      <w:bookmarkEnd w:id="4"/>
      <w:r>
        <w:rPr>
          <w:b w:val="0"/>
          <w:rtl/>
        </w:rPr>
        <w:t>نطاقات التردد</w:t>
      </w:r>
      <w:bookmarkEnd w:id="2"/>
      <w:bookmarkEnd w:id="3"/>
    </w:p>
    <w:p w14:paraId="3670A0B8" w14:textId="77777777" w:rsidR="002B715C" w:rsidRDefault="00916BB6">
      <w:pPr>
        <w:pStyle w:val="Proposal"/>
      </w:pPr>
      <w:r>
        <w:rPr>
          <w:u w:val="single"/>
        </w:rPr>
        <w:t>NOC</w:t>
      </w:r>
      <w:r>
        <w:tab/>
        <w:t>J/80A7/1</w:t>
      </w:r>
      <w:r>
        <w:rPr>
          <w:vanish/>
          <w:color w:val="7F7F7F" w:themeColor="text1" w:themeTint="80"/>
          <w:vertAlign w:val="superscript"/>
        </w:rPr>
        <w:t>#50210</w:t>
      </w:r>
    </w:p>
    <w:p w14:paraId="19D286B1" w14:textId="77777777" w:rsidR="004833A9" w:rsidRPr="006E26D5" w:rsidRDefault="00916BB6" w:rsidP="004833A9">
      <w:pPr>
        <w:pStyle w:val="Section1"/>
        <w:rPr>
          <w:rtl/>
        </w:rPr>
      </w:pPr>
      <w:r w:rsidRPr="006E26D5">
        <w:rPr>
          <w:rtl/>
        </w:rPr>
        <w:t xml:space="preserve">القسم </w:t>
      </w:r>
      <w:proofErr w:type="gramStart"/>
      <w:r w:rsidRPr="006E26D5">
        <w:t>IV</w:t>
      </w:r>
      <w:r w:rsidRPr="006E26D5">
        <w:rPr>
          <w:rtl/>
        </w:rPr>
        <w:t xml:space="preserve">  </w:t>
      </w:r>
      <w:r w:rsidRPr="006E26D5">
        <w:rPr>
          <w:rFonts w:hint="cs"/>
          <w:rtl/>
        </w:rPr>
        <w:t>-</w:t>
      </w:r>
      <w:proofErr w:type="gramEnd"/>
      <w:r w:rsidRPr="006E26D5">
        <w:rPr>
          <w:rFonts w:hint="cs"/>
          <w:rtl/>
        </w:rPr>
        <w:t xml:space="preserve">  جدول توزيع نطاقات التردد</w:t>
      </w:r>
      <w:r w:rsidRPr="006E26D5">
        <w:rPr>
          <w:rFonts w:hint="cs"/>
          <w:rtl/>
        </w:rPr>
        <w:br/>
      </w:r>
      <w:r w:rsidRPr="006E26D5">
        <w:rPr>
          <w:b w:val="0"/>
          <w:bCs w:val="0"/>
          <w:sz w:val="22"/>
          <w:szCs w:val="30"/>
          <w:rtl/>
        </w:rPr>
        <w:t xml:space="preserve">(انظر </w:t>
      </w:r>
      <w:r w:rsidRPr="006E26D5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6E26D5">
        <w:rPr>
          <w:sz w:val="22"/>
          <w:szCs w:val="30"/>
          <w:rtl/>
        </w:rPr>
        <w:t xml:space="preserve"> </w:t>
      </w:r>
      <w:r w:rsidRPr="006E26D5">
        <w:rPr>
          <w:sz w:val="22"/>
          <w:szCs w:val="30"/>
        </w:rPr>
        <w:t>1.2</w:t>
      </w:r>
      <w:r w:rsidRPr="006E26D5">
        <w:rPr>
          <w:b w:val="0"/>
          <w:bCs w:val="0"/>
          <w:sz w:val="22"/>
          <w:szCs w:val="30"/>
          <w:rtl/>
        </w:rPr>
        <w:t>)</w:t>
      </w:r>
    </w:p>
    <w:p w14:paraId="3C85F198" w14:textId="77777777" w:rsidR="002B715C" w:rsidRDefault="002B715C">
      <w:pPr>
        <w:pStyle w:val="Reasons"/>
      </w:pPr>
    </w:p>
    <w:p w14:paraId="79921E05" w14:textId="77777777" w:rsidR="002B715C" w:rsidRDefault="00916BB6">
      <w:pPr>
        <w:pStyle w:val="Proposal"/>
      </w:pPr>
      <w:r>
        <w:t>SUP</w:t>
      </w:r>
      <w:r>
        <w:tab/>
        <w:t>J/80A7/2</w:t>
      </w:r>
      <w:r>
        <w:rPr>
          <w:vanish/>
          <w:color w:val="7F7F7F" w:themeColor="text1" w:themeTint="80"/>
          <w:vertAlign w:val="superscript"/>
        </w:rPr>
        <w:t>#50211</w:t>
      </w:r>
    </w:p>
    <w:p w14:paraId="7596A2CB" w14:textId="77777777" w:rsidR="004833A9" w:rsidRPr="006E26D5" w:rsidRDefault="00916BB6" w:rsidP="004833A9">
      <w:pPr>
        <w:pStyle w:val="ResNo"/>
        <w:rPr>
          <w:rtl/>
        </w:rPr>
      </w:pPr>
      <w:r w:rsidRPr="006E26D5">
        <w:rPr>
          <w:rFonts w:hint="cs"/>
          <w:rtl/>
        </w:rPr>
        <w:t xml:space="preserve">القرار </w:t>
      </w:r>
      <w:r w:rsidRPr="006E26D5">
        <w:rPr>
          <w:rStyle w:val="href"/>
        </w:rPr>
        <w:t>659</w:t>
      </w:r>
      <w:r w:rsidRPr="006E26D5">
        <w:t> (WRC</w:t>
      </w:r>
      <w:r w:rsidRPr="006E26D5">
        <w:noBreakHyphen/>
        <w:t>15)</w:t>
      </w:r>
    </w:p>
    <w:p w14:paraId="2EF0450D" w14:textId="77777777" w:rsidR="004833A9" w:rsidRPr="006E26D5" w:rsidRDefault="00916BB6" w:rsidP="004833A9">
      <w:pPr>
        <w:pStyle w:val="Restitle"/>
        <w:rPr>
          <w:rtl/>
        </w:rPr>
      </w:pPr>
      <w:r w:rsidRPr="006E26D5">
        <w:rPr>
          <w:rFonts w:hint="cs"/>
          <w:color w:val="000000"/>
          <w:rtl/>
        </w:rPr>
        <w:t xml:space="preserve">دراسات لتلبية المتطلبات في خدمة </w:t>
      </w:r>
      <w:r w:rsidRPr="006E26D5">
        <w:rPr>
          <w:color w:val="000000"/>
          <w:rtl/>
        </w:rPr>
        <w:t>العمليات الفضائية</w:t>
      </w:r>
      <w:r w:rsidRPr="006E26D5">
        <w:rPr>
          <w:rFonts w:hint="cs"/>
          <w:color w:val="000000"/>
          <w:rtl/>
        </w:rPr>
        <w:t xml:space="preserve"> من أجل</w:t>
      </w:r>
      <w:r w:rsidRPr="006E26D5">
        <w:rPr>
          <w:color w:val="000000"/>
          <w:rtl/>
        </w:rPr>
        <w:br/>
      </w:r>
      <w:r w:rsidRPr="006E26D5">
        <w:rPr>
          <w:rFonts w:hint="cs"/>
          <w:color w:val="000000"/>
          <w:rtl/>
        </w:rPr>
        <w:t>السواتل غير المستقرة بالنسبة إلى الأرض</w:t>
      </w:r>
      <w:r w:rsidRPr="006E26D5">
        <w:rPr>
          <w:color w:val="000000"/>
          <w:rtl/>
        </w:rPr>
        <w:t xml:space="preserve"> </w:t>
      </w:r>
      <w:r w:rsidRPr="006E26D5">
        <w:rPr>
          <w:rFonts w:hint="cs"/>
          <w:color w:val="000000"/>
          <w:rtl/>
        </w:rPr>
        <w:t>ذات المهمات القصيرة المدة</w:t>
      </w:r>
    </w:p>
    <w:p w14:paraId="5295CE93" w14:textId="08AB61F0" w:rsidR="002B715C" w:rsidRDefault="002B715C">
      <w:pPr>
        <w:pStyle w:val="Reasons"/>
        <w:rPr>
          <w:rtl/>
        </w:rPr>
      </w:pPr>
    </w:p>
    <w:p w14:paraId="31D8DAB4" w14:textId="53C15806" w:rsidR="00916BB6" w:rsidRPr="00916BB6" w:rsidRDefault="00916BB6" w:rsidP="00F269D2">
      <w:pPr>
        <w:jc w:val="center"/>
      </w:pPr>
      <w:r>
        <w:rPr>
          <w:rFonts w:hint="cs"/>
          <w:rtl/>
        </w:rPr>
        <w:t>___________</w:t>
      </w:r>
    </w:p>
    <w:sectPr w:rsidR="00916BB6" w:rsidRPr="00916BB6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A1DF" w14:textId="77777777" w:rsidR="00EA5D25" w:rsidRDefault="00EA5D25" w:rsidP="002919E1">
      <w:r>
        <w:separator/>
      </w:r>
    </w:p>
    <w:p w14:paraId="1863D915" w14:textId="77777777" w:rsidR="00EA5D25" w:rsidRDefault="00EA5D25" w:rsidP="002919E1"/>
    <w:p w14:paraId="498BB1C7" w14:textId="77777777" w:rsidR="00EA5D25" w:rsidRDefault="00EA5D25" w:rsidP="002919E1"/>
    <w:p w14:paraId="0F2FED26" w14:textId="77777777" w:rsidR="00EA5D25" w:rsidRDefault="00EA5D25"/>
  </w:endnote>
  <w:endnote w:type="continuationSeparator" w:id="0">
    <w:p w14:paraId="4BC91410" w14:textId="77777777" w:rsidR="00EA5D25" w:rsidRDefault="00EA5D25" w:rsidP="002919E1">
      <w:r>
        <w:continuationSeparator/>
      </w:r>
    </w:p>
    <w:p w14:paraId="7C1388D1" w14:textId="77777777" w:rsidR="00EA5D25" w:rsidRDefault="00EA5D25" w:rsidP="002919E1"/>
    <w:p w14:paraId="1474C66B" w14:textId="77777777" w:rsidR="00EA5D25" w:rsidRDefault="00EA5D25" w:rsidP="002919E1"/>
    <w:p w14:paraId="5EECC086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402D4" w14:textId="2B49A47E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62331">
      <w:rPr>
        <w:noProof/>
      </w:rPr>
      <w:t>P:\ARA\ITU-R\CONF-R\CMR19\000\080ADD07A.docx</w:t>
    </w:r>
    <w:r>
      <w:fldChar w:fldCharType="end"/>
    </w:r>
    <w:proofErr w:type="gramStart"/>
    <w:r w:rsidRPr="00A809E8">
      <w:t xml:space="preserve">   (</w:t>
    </w:r>
    <w:proofErr w:type="gramEnd"/>
    <w:r w:rsidR="00916BB6">
      <w:t>462245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1938F" w14:textId="628F68FD" w:rsidR="00281F5F" w:rsidRPr="008927F5" w:rsidRDefault="00916BB6" w:rsidP="00916BB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62331">
      <w:rPr>
        <w:noProof/>
      </w:rPr>
      <w:t>P:\ARA\ITU-R\CONF-R\CMR19\000\080ADD07A.docx</w:t>
    </w:r>
    <w:r>
      <w:fldChar w:fldCharType="end"/>
    </w:r>
    <w:proofErr w:type="gramStart"/>
    <w:r w:rsidRPr="00A809E8">
      <w:t xml:space="preserve">   (</w:t>
    </w:r>
    <w:proofErr w:type="gramEnd"/>
    <w:r>
      <w:t>462245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466DC" w14:textId="77777777" w:rsidR="00EA5D25" w:rsidRDefault="00EA5D25" w:rsidP="002919E1">
      <w:r>
        <w:t>___________________</w:t>
      </w:r>
    </w:p>
  </w:footnote>
  <w:footnote w:type="continuationSeparator" w:id="0">
    <w:p w14:paraId="78CB8E07" w14:textId="77777777" w:rsidR="00EA5D25" w:rsidRDefault="00EA5D25" w:rsidP="002919E1">
      <w:r>
        <w:continuationSeparator/>
      </w:r>
    </w:p>
    <w:p w14:paraId="34148C6B" w14:textId="77777777" w:rsidR="00EA5D25" w:rsidRDefault="00EA5D25" w:rsidP="002919E1"/>
    <w:p w14:paraId="135BB1AD" w14:textId="77777777" w:rsidR="00EA5D25" w:rsidRDefault="00EA5D25" w:rsidP="002919E1"/>
    <w:p w14:paraId="3FBBF44B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B7163" w14:textId="77777777" w:rsidR="00281F5F" w:rsidRDefault="00281F5F" w:rsidP="002919E1"/>
  <w:p w14:paraId="7979D35B" w14:textId="77777777" w:rsidR="00281F5F" w:rsidRDefault="00281F5F" w:rsidP="002919E1"/>
  <w:p w14:paraId="51AE359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6088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80(Add.7)-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069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715C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5C7A"/>
    <w:rsid w:val="00400CD4"/>
    <w:rsid w:val="00401BF6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4BF4"/>
    <w:rsid w:val="005D6D48"/>
    <w:rsid w:val="005D6E27"/>
    <w:rsid w:val="005D72A4"/>
    <w:rsid w:val="005F05CC"/>
    <w:rsid w:val="005F65DE"/>
    <w:rsid w:val="00605537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3D6"/>
    <w:rsid w:val="00742B73"/>
    <w:rsid w:val="0074671D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B36D5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4DA4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6BB6"/>
    <w:rsid w:val="00951718"/>
    <w:rsid w:val="00960962"/>
    <w:rsid w:val="00972CE0"/>
    <w:rsid w:val="00985E4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2331"/>
    <w:rsid w:val="00A66D2B"/>
    <w:rsid w:val="00A76501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E795D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1BED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070F9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0832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269D2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72389C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9FC6-2F97-4C3B-88AE-F7196FCE3B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2ED1EB-F088-4987-885A-2C0EE7DE0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0931E-D18A-4749-ADBF-5134E610FC2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364FB0F-8355-4A80-97C2-F732903566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2296C1-367E-4381-948F-1D92F55F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546</Words>
  <Characters>2879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R16-WRC19-C-0080!A7!MSW-A</vt:lpstr>
    </vt:vector>
  </TitlesOfParts>
  <Manager>General Secretariat - Pool</Manager>
  <Company>International Telecommunication Union (ITU)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R16-WRC19-C-0080!A7!MSW-A</dc:title>
  <dc:creator>Documents Proposals Manager (DPM)</dc:creator>
  <cp:keywords>DPM_v2019.10.15.2_prod</cp:keywords>
  <cp:lastModifiedBy>Riz, Imad</cp:lastModifiedBy>
  <cp:revision>12</cp:revision>
  <cp:lastPrinted>2019-10-23T13:37:00Z</cp:lastPrinted>
  <dcterms:created xsi:type="dcterms:W3CDTF">2019-10-21T16:42:00Z</dcterms:created>
  <dcterms:modified xsi:type="dcterms:W3CDTF">2019-10-23T13:37:00Z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