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A1814" w14:paraId="70816080" w14:textId="77777777" w:rsidTr="0050008E">
        <w:trPr>
          <w:cantSplit/>
        </w:trPr>
        <w:tc>
          <w:tcPr>
            <w:tcW w:w="6911" w:type="dxa"/>
          </w:tcPr>
          <w:p w14:paraId="7FEA81BE" w14:textId="77777777" w:rsidR="0090121B" w:rsidRPr="00BA1814" w:rsidRDefault="005D46FB" w:rsidP="00C44E9E">
            <w:pPr>
              <w:spacing w:before="400" w:after="48" w:line="240" w:lineRule="atLeast"/>
              <w:rPr>
                <w:rFonts w:ascii="Verdana" w:hAnsi="Verdana"/>
                <w:position w:val="6"/>
              </w:rPr>
            </w:pPr>
            <w:r w:rsidRPr="00BA1814">
              <w:rPr>
                <w:rFonts w:ascii="Verdana" w:hAnsi="Verdana" w:cs="Times"/>
                <w:b/>
                <w:position w:val="6"/>
                <w:sz w:val="20"/>
              </w:rPr>
              <w:t>Conferencia Mundial de Radiocomunicaciones (CMR-1</w:t>
            </w:r>
            <w:r w:rsidR="00C44E9E" w:rsidRPr="00BA1814">
              <w:rPr>
                <w:rFonts w:ascii="Verdana" w:hAnsi="Verdana" w:cs="Times"/>
                <w:b/>
                <w:position w:val="6"/>
                <w:sz w:val="20"/>
              </w:rPr>
              <w:t>9</w:t>
            </w:r>
            <w:r w:rsidRPr="00BA1814">
              <w:rPr>
                <w:rFonts w:ascii="Verdana" w:hAnsi="Verdana" w:cs="Times"/>
                <w:b/>
                <w:position w:val="6"/>
                <w:sz w:val="20"/>
              </w:rPr>
              <w:t>)</w:t>
            </w:r>
            <w:r w:rsidRPr="00BA1814">
              <w:rPr>
                <w:rFonts w:ascii="Verdana" w:hAnsi="Verdana" w:cs="Times"/>
                <w:b/>
                <w:position w:val="6"/>
                <w:sz w:val="20"/>
              </w:rPr>
              <w:br/>
            </w:r>
            <w:r w:rsidR="006124AD" w:rsidRPr="00BA1814">
              <w:rPr>
                <w:rFonts w:ascii="Verdana" w:hAnsi="Verdana"/>
                <w:b/>
                <w:bCs/>
                <w:position w:val="6"/>
                <w:sz w:val="17"/>
                <w:szCs w:val="17"/>
              </w:rPr>
              <w:t>Sharm el-Sheikh (Egipto)</w:t>
            </w:r>
            <w:r w:rsidRPr="00BA1814">
              <w:rPr>
                <w:rFonts w:ascii="Verdana" w:hAnsi="Verdana"/>
                <w:b/>
                <w:bCs/>
                <w:position w:val="6"/>
                <w:sz w:val="17"/>
                <w:szCs w:val="17"/>
              </w:rPr>
              <w:t>, 2</w:t>
            </w:r>
            <w:r w:rsidR="00C44E9E" w:rsidRPr="00BA1814">
              <w:rPr>
                <w:rFonts w:ascii="Verdana" w:hAnsi="Verdana"/>
                <w:b/>
                <w:bCs/>
                <w:position w:val="6"/>
                <w:sz w:val="17"/>
                <w:szCs w:val="17"/>
              </w:rPr>
              <w:t xml:space="preserve">8 de octubre </w:t>
            </w:r>
            <w:r w:rsidR="00DE1C31" w:rsidRPr="00BA1814">
              <w:rPr>
                <w:rFonts w:ascii="Verdana" w:hAnsi="Verdana"/>
                <w:b/>
                <w:bCs/>
                <w:position w:val="6"/>
                <w:sz w:val="17"/>
                <w:szCs w:val="17"/>
              </w:rPr>
              <w:t>–</w:t>
            </w:r>
            <w:r w:rsidR="00C44E9E" w:rsidRPr="00BA1814">
              <w:rPr>
                <w:rFonts w:ascii="Verdana" w:hAnsi="Verdana"/>
                <w:b/>
                <w:bCs/>
                <w:position w:val="6"/>
                <w:sz w:val="17"/>
                <w:szCs w:val="17"/>
              </w:rPr>
              <w:t xml:space="preserve"> </w:t>
            </w:r>
            <w:r w:rsidRPr="00BA1814">
              <w:rPr>
                <w:rFonts w:ascii="Verdana" w:hAnsi="Verdana"/>
                <w:b/>
                <w:bCs/>
                <w:position w:val="6"/>
                <w:sz w:val="17"/>
                <w:szCs w:val="17"/>
              </w:rPr>
              <w:t>2</w:t>
            </w:r>
            <w:r w:rsidR="00C44E9E" w:rsidRPr="00BA1814">
              <w:rPr>
                <w:rFonts w:ascii="Verdana" w:hAnsi="Verdana"/>
                <w:b/>
                <w:bCs/>
                <w:position w:val="6"/>
                <w:sz w:val="17"/>
                <w:szCs w:val="17"/>
              </w:rPr>
              <w:t>2</w:t>
            </w:r>
            <w:r w:rsidRPr="00BA1814">
              <w:rPr>
                <w:rFonts w:ascii="Verdana" w:hAnsi="Verdana"/>
                <w:b/>
                <w:bCs/>
                <w:position w:val="6"/>
                <w:sz w:val="17"/>
                <w:szCs w:val="17"/>
              </w:rPr>
              <w:t xml:space="preserve"> de noviembre de 201</w:t>
            </w:r>
            <w:r w:rsidR="00C44E9E" w:rsidRPr="00BA1814">
              <w:rPr>
                <w:rFonts w:ascii="Verdana" w:hAnsi="Verdana"/>
                <w:b/>
                <w:bCs/>
                <w:position w:val="6"/>
                <w:sz w:val="17"/>
                <w:szCs w:val="17"/>
              </w:rPr>
              <w:t>9</w:t>
            </w:r>
          </w:p>
        </w:tc>
        <w:tc>
          <w:tcPr>
            <w:tcW w:w="3120" w:type="dxa"/>
          </w:tcPr>
          <w:p w14:paraId="62805673" w14:textId="77777777" w:rsidR="0090121B" w:rsidRPr="00BA1814" w:rsidRDefault="00DA71A3" w:rsidP="00CE7431">
            <w:pPr>
              <w:spacing w:before="0" w:line="240" w:lineRule="atLeast"/>
              <w:jc w:val="right"/>
            </w:pPr>
            <w:r w:rsidRPr="00BA1814">
              <w:rPr>
                <w:rFonts w:ascii="Verdana" w:hAnsi="Verdana"/>
                <w:b/>
                <w:bCs/>
                <w:szCs w:val="24"/>
                <w:lang w:eastAsia="zh-CN"/>
              </w:rPr>
              <w:drawing>
                <wp:inline distT="0" distB="0" distL="0" distR="0" wp14:anchorId="512F260E" wp14:editId="18D3C8F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A1814" w14:paraId="1C8CF04E" w14:textId="77777777" w:rsidTr="0050008E">
        <w:trPr>
          <w:cantSplit/>
        </w:trPr>
        <w:tc>
          <w:tcPr>
            <w:tcW w:w="6911" w:type="dxa"/>
            <w:tcBorders>
              <w:bottom w:val="single" w:sz="12" w:space="0" w:color="auto"/>
            </w:tcBorders>
          </w:tcPr>
          <w:p w14:paraId="2E600FD4" w14:textId="77777777" w:rsidR="0090121B" w:rsidRPr="00BA1814"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64BFF46" w14:textId="77777777" w:rsidR="0090121B" w:rsidRPr="00BA1814" w:rsidRDefault="0090121B" w:rsidP="0090121B">
            <w:pPr>
              <w:spacing w:before="0" w:line="240" w:lineRule="atLeast"/>
              <w:rPr>
                <w:rFonts w:ascii="Verdana" w:hAnsi="Verdana"/>
                <w:szCs w:val="24"/>
              </w:rPr>
            </w:pPr>
          </w:p>
        </w:tc>
      </w:tr>
      <w:tr w:rsidR="0090121B" w:rsidRPr="00BA1814" w14:paraId="54AD5BFB" w14:textId="77777777" w:rsidTr="0090121B">
        <w:trPr>
          <w:cantSplit/>
        </w:trPr>
        <w:tc>
          <w:tcPr>
            <w:tcW w:w="6911" w:type="dxa"/>
            <w:tcBorders>
              <w:top w:val="single" w:sz="12" w:space="0" w:color="auto"/>
            </w:tcBorders>
          </w:tcPr>
          <w:p w14:paraId="65EBABF0" w14:textId="77777777" w:rsidR="0090121B" w:rsidRPr="00BA181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D2FFA98" w14:textId="77777777" w:rsidR="0090121B" w:rsidRPr="00BA1814" w:rsidRDefault="0090121B" w:rsidP="0090121B">
            <w:pPr>
              <w:spacing w:before="0" w:line="240" w:lineRule="atLeast"/>
              <w:rPr>
                <w:rFonts w:ascii="Verdana" w:hAnsi="Verdana"/>
                <w:sz w:val="20"/>
              </w:rPr>
            </w:pPr>
          </w:p>
        </w:tc>
      </w:tr>
      <w:tr w:rsidR="0090121B" w:rsidRPr="00BA1814" w14:paraId="1100B472" w14:textId="77777777" w:rsidTr="0090121B">
        <w:trPr>
          <w:cantSplit/>
        </w:trPr>
        <w:tc>
          <w:tcPr>
            <w:tcW w:w="6911" w:type="dxa"/>
          </w:tcPr>
          <w:p w14:paraId="19AE7FF5" w14:textId="77777777" w:rsidR="0090121B" w:rsidRPr="00BA1814" w:rsidRDefault="001E7D42" w:rsidP="00EA77F0">
            <w:pPr>
              <w:pStyle w:val="Committee"/>
              <w:framePr w:hSpace="0" w:wrap="auto" w:hAnchor="text" w:yAlign="inline"/>
              <w:rPr>
                <w:sz w:val="18"/>
                <w:szCs w:val="18"/>
                <w:lang w:val="es-ES_tradnl"/>
              </w:rPr>
            </w:pPr>
            <w:r w:rsidRPr="00BA1814">
              <w:rPr>
                <w:sz w:val="18"/>
                <w:szCs w:val="18"/>
                <w:lang w:val="es-ES_tradnl"/>
              </w:rPr>
              <w:t>SESIÓN PLENARIA</w:t>
            </w:r>
          </w:p>
        </w:tc>
        <w:tc>
          <w:tcPr>
            <w:tcW w:w="3120" w:type="dxa"/>
          </w:tcPr>
          <w:p w14:paraId="566F9053" w14:textId="77777777" w:rsidR="0090121B" w:rsidRPr="00BA1814" w:rsidRDefault="00AE658F" w:rsidP="0045384C">
            <w:pPr>
              <w:spacing w:before="0"/>
              <w:rPr>
                <w:rFonts w:ascii="Verdana" w:hAnsi="Verdana"/>
                <w:sz w:val="18"/>
                <w:szCs w:val="18"/>
              </w:rPr>
            </w:pPr>
            <w:r w:rsidRPr="00BA1814">
              <w:rPr>
                <w:rFonts w:ascii="Verdana" w:hAnsi="Verdana"/>
                <w:b/>
                <w:sz w:val="18"/>
                <w:szCs w:val="18"/>
              </w:rPr>
              <w:t>Addéndum 7 al</w:t>
            </w:r>
            <w:r w:rsidRPr="00BA1814">
              <w:rPr>
                <w:rFonts w:ascii="Verdana" w:hAnsi="Verdana"/>
                <w:b/>
                <w:sz w:val="18"/>
                <w:szCs w:val="18"/>
              </w:rPr>
              <w:br/>
              <w:t>Documento 80(Add.21)</w:t>
            </w:r>
            <w:r w:rsidR="0090121B" w:rsidRPr="00BA1814">
              <w:rPr>
                <w:rFonts w:ascii="Verdana" w:hAnsi="Verdana"/>
                <w:b/>
                <w:sz w:val="18"/>
                <w:szCs w:val="18"/>
              </w:rPr>
              <w:t>-</w:t>
            </w:r>
            <w:r w:rsidRPr="00BA1814">
              <w:rPr>
                <w:rFonts w:ascii="Verdana" w:hAnsi="Verdana"/>
                <w:b/>
                <w:sz w:val="18"/>
                <w:szCs w:val="18"/>
              </w:rPr>
              <w:t>S</w:t>
            </w:r>
          </w:p>
        </w:tc>
      </w:tr>
      <w:bookmarkEnd w:id="0"/>
      <w:tr w:rsidR="000A5B9A" w:rsidRPr="00BA1814" w14:paraId="04134524" w14:textId="77777777" w:rsidTr="0090121B">
        <w:trPr>
          <w:cantSplit/>
        </w:trPr>
        <w:tc>
          <w:tcPr>
            <w:tcW w:w="6911" w:type="dxa"/>
          </w:tcPr>
          <w:p w14:paraId="6317294B" w14:textId="77777777" w:rsidR="000A5B9A" w:rsidRPr="00BA1814" w:rsidRDefault="000A5B9A" w:rsidP="0045384C">
            <w:pPr>
              <w:spacing w:before="0" w:after="48"/>
              <w:rPr>
                <w:rFonts w:ascii="Verdana" w:hAnsi="Verdana"/>
                <w:b/>
                <w:smallCaps/>
                <w:sz w:val="18"/>
                <w:szCs w:val="18"/>
              </w:rPr>
            </w:pPr>
          </w:p>
        </w:tc>
        <w:tc>
          <w:tcPr>
            <w:tcW w:w="3120" w:type="dxa"/>
          </w:tcPr>
          <w:p w14:paraId="0A97FEB6" w14:textId="77777777" w:rsidR="000A5B9A" w:rsidRPr="00BA1814" w:rsidRDefault="000A5B9A" w:rsidP="0045384C">
            <w:pPr>
              <w:spacing w:before="0"/>
              <w:rPr>
                <w:rFonts w:ascii="Verdana" w:hAnsi="Verdana"/>
                <w:b/>
                <w:sz w:val="18"/>
                <w:szCs w:val="18"/>
              </w:rPr>
            </w:pPr>
            <w:r w:rsidRPr="00BA1814">
              <w:rPr>
                <w:rFonts w:ascii="Verdana" w:hAnsi="Verdana"/>
                <w:b/>
                <w:sz w:val="18"/>
                <w:szCs w:val="18"/>
              </w:rPr>
              <w:t>9 de octubre de 2019</w:t>
            </w:r>
          </w:p>
        </w:tc>
      </w:tr>
      <w:tr w:rsidR="000A5B9A" w:rsidRPr="00BA1814" w14:paraId="729368A5" w14:textId="77777777" w:rsidTr="0090121B">
        <w:trPr>
          <w:cantSplit/>
        </w:trPr>
        <w:tc>
          <w:tcPr>
            <w:tcW w:w="6911" w:type="dxa"/>
          </w:tcPr>
          <w:p w14:paraId="72503251" w14:textId="77777777" w:rsidR="000A5B9A" w:rsidRPr="00BA1814" w:rsidRDefault="000A5B9A" w:rsidP="0045384C">
            <w:pPr>
              <w:spacing w:before="0" w:after="48"/>
              <w:rPr>
                <w:rFonts w:ascii="Verdana" w:hAnsi="Verdana"/>
                <w:b/>
                <w:smallCaps/>
                <w:sz w:val="18"/>
                <w:szCs w:val="18"/>
              </w:rPr>
            </w:pPr>
          </w:p>
        </w:tc>
        <w:tc>
          <w:tcPr>
            <w:tcW w:w="3120" w:type="dxa"/>
          </w:tcPr>
          <w:p w14:paraId="09A74F21" w14:textId="77777777" w:rsidR="000A5B9A" w:rsidRPr="00BA1814" w:rsidRDefault="000A5B9A" w:rsidP="0045384C">
            <w:pPr>
              <w:spacing w:before="0"/>
              <w:rPr>
                <w:rFonts w:ascii="Verdana" w:hAnsi="Verdana"/>
                <w:b/>
                <w:sz w:val="18"/>
                <w:szCs w:val="18"/>
              </w:rPr>
            </w:pPr>
            <w:r w:rsidRPr="00BA1814">
              <w:rPr>
                <w:rFonts w:ascii="Verdana" w:hAnsi="Verdana"/>
                <w:b/>
                <w:sz w:val="18"/>
                <w:szCs w:val="18"/>
              </w:rPr>
              <w:t>Original: inglés</w:t>
            </w:r>
          </w:p>
        </w:tc>
      </w:tr>
      <w:tr w:rsidR="000A5B9A" w:rsidRPr="00BA1814" w14:paraId="730735D6" w14:textId="77777777" w:rsidTr="006744FC">
        <w:trPr>
          <w:cantSplit/>
        </w:trPr>
        <w:tc>
          <w:tcPr>
            <w:tcW w:w="10031" w:type="dxa"/>
            <w:gridSpan w:val="2"/>
          </w:tcPr>
          <w:p w14:paraId="1C2282F8" w14:textId="77777777" w:rsidR="000A5B9A" w:rsidRPr="00BA1814" w:rsidRDefault="000A5B9A" w:rsidP="0045384C">
            <w:pPr>
              <w:spacing w:before="0"/>
              <w:rPr>
                <w:rFonts w:ascii="Verdana" w:hAnsi="Verdana"/>
                <w:b/>
                <w:sz w:val="18"/>
                <w:szCs w:val="22"/>
              </w:rPr>
            </w:pPr>
          </w:p>
        </w:tc>
      </w:tr>
      <w:tr w:rsidR="000A5B9A" w:rsidRPr="00BA1814" w14:paraId="59D9F47C" w14:textId="77777777" w:rsidTr="0050008E">
        <w:trPr>
          <w:cantSplit/>
        </w:trPr>
        <w:tc>
          <w:tcPr>
            <w:tcW w:w="10031" w:type="dxa"/>
            <w:gridSpan w:val="2"/>
          </w:tcPr>
          <w:p w14:paraId="76A95976" w14:textId="77777777" w:rsidR="000A5B9A" w:rsidRPr="00BA1814" w:rsidRDefault="000A5B9A" w:rsidP="000A5B9A">
            <w:pPr>
              <w:pStyle w:val="Source"/>
            </w:pPr>
            <w:bookmarkStart w:id="1" w:name="dsource" w:colFirst="0" w:colLast="0"/>
            <w:r w:rsidRPr="00BA1814">
              <w:t>Japón</w:t>
            </w:r>
          </w:p>
        </w:tc>
      </w:tr>
      <w:tr w:rsidR="000A5B9A" w:rsidRPr="00BA1814" w14:paraId="213DDF9F" w14:textId="77777777" w:rsidTr="0050008E">
        <w:trPr>
          <w:cantSplit/>
        </w:trPr>
        <w:tc>
          <w:tcPr>
            <w:tcW w:w="10031" w:type="dxa"/>
            <w:gridSpan w:val="2"/>
          </w:tcPr>
          <w:p w14:paraId="19851330" w14:textId="27514F72" w:rsidR="000A5B9A" w:rsidRPr="00BA1814" w:rsidRDefault="007E475F" w:rsidP="00671105">
            <w:pPr>
              <w:pStyle w:val="Title1"/>
            </w:pPr>
            <w:bookmarkStart w:id="2" w:name="dtitle1" w:colFirst="0" w:colLast="0"/>
            <w:bookmarkEnd w:id="1"/>
            <w:r w:rsidRPr="00BA1814">
              <w:t xml:space="preserve">PROPUESTA DE MODIFICACIÓN DEL PROYECTO DE NUEVA RESOLUCIÓN </w:t>
            </w:r>
            <w:r w:rsidR="001E5A20" w:rsidRPr="00BA1814">
              <w:t xml:space="preserve">relativa al </w:t>
            </w:r>
            <w:r w:rsidR="00172CE1" w:rsidRPr="00BA1814">
              <w:t>apartado</w:t>
            </w:r>
            <w:r w:rsidR="001E5A20" w:rsidRPr="00BA1814">
              <w:t xml:space="preserve"> </w:t>
            </w:r>
            <w:r w:rsidR="00360342" w:rsidRPr="00BA1814">
              <w:t xml:space="preserve">2A) </w:t>
            </w:r>
            <w:r w:rsidR="001E5A20" w:rsidRPr="00BA1814">
              <w:t>del punto 9.1</w:t>
            </w:r>
            <w:r w:rsidR="00172CE1" w:rsidRPr="00BA1814">
              <w:t>(</w:t>
            </w:r>
            <w:r w:rsidR="001E5A20" w:rsidRPr="00BA1814">
              <w:t>9.1.7</w:t>
            </w:r>
            <w:r w:rsidR="00172CE1" w:rsidRPr="00BA1814">
              <w:t>)</w:t>
            </w:r>
            <w:r w:rsidR="001E5A20" w:rsidRPr="00BA1814">
              <w:t xml:space="preserve"> </w:t>
            </w:r>
            <w:r w:rsidR="00671105" w:rsidRPr="00BA1814">
              <w:br/>
            </w:r>
            <w:r w:rsidR="001E5A20" w:rsidRPr="00BA1814">
              <w:t>del orden del día de la cmr</w:t>
            </w:r>
            <w:r w:rsidR="00360342" w:rsidRPr="00BA1814">
              <w:t>-19</w:t>
            </w:r>
          </w:p>
        </w:tc>
      </w:tr>
      <w:tr w:rsidR="000A5B9A" w:rsidRPr="00BA1814" w14:paraId="0ED232D9" w14:textId="77777777" w:rsidTr="0050008E">
        <w:trPr>
          <w:cantSplit/>
        </w:trPr>
        <w:tc>
          <w:tcPr>
            <w:tcW w:w="10031" w:type="dxa"/>
            <w:gridSpan w:val="2"/>
          </w:tcPr>
          <w:p w14:paraId="5DB89FAA" w14:textId="77777777" w:rsidR="000A5B9A" w:rsidRPr="00BA1814" w:rsidRDefault="000A5B9A" w:rsidP="000A5B9A">
            <w:pPr>
              <w:pStyle w:val="Title2"/>
            </w:pPr>
            <w:bookmarkStart w:id="3" w:name="dtitle2" w:colFirst="0" w:colLast="0"/>
            <w:bookmarkEnd w:id="2"/>
          </w:p>
        </w:tc>
      </w:tr>
      <w:tr w:rsidR="000A5B9A" w:rsidRPr="00BA1814" w14:paraId="525030C8" w14:textId="77777777" w:rsidTr="0050008E">
        <w:trPr>
          <w:cantSplit/>
        </w:trPr>
        <w:tc>
          <w:tcPr>
            <w:tcW w:w="10031" w:type="dxa"/>
            <w:gridSpan w:val="2"/>
          </w:tcPr>
          <w:p w14:paraId="30F56C80" w14:textId="77777777" w:rsidR="000A5B9A" w:rsidRPr="00BA1814" w:rsidRDefault="000A5B9A" w:rsidP="000A5B9A">
            <w:pPr>
              <w:pStyle w:val="Agendaitem"/>
            </w:pPr>
            <w:bookmarkStart w:id="4" w:name="dtitle3" w:colFirst="0" w:colLast="0"/>
            <w:bookmarkEnd w:id="3"/>
            <w:r w:rsidRPr="00BA1814">
              <w:t>Punto 9.1(9.1.7) del orden del día</w:t>
            </w:r>
          </w:p>
        </w:tc>
      </w:tr>
    </w:tbl>
    <w:bookmarkEnd w:id="4"/>
    <w:p w14:paraId="696C5107" w14:textId="77777777" w:rsidR="001C0E40" w:rsidRPr="00BA1814" w:rsidRDefault="00360342" w:rsidP="003A37B0">
      <w:r w:rsidRPr="00BA1814">
        <w:t>9</w:t>
      </w:r>
      <w:r w:rsidRPr="00BA1814">
        <w:tab/>
        <w:t>examinar y aprobar el Informe del Director de la Oficina de Radiocomunicaciones, de conformidad con el Artículo 7 del Convenio:</w:t>
      </w:r>
    </w:p>
    <w:p w14:paraId="7B6D7AB7" w14:textId="77777777" w:rsidR="001C0E40" w:rsidRPr="00BA1814" w:rsidRDefault="00360342" w:rsidP="003A37B0">
      <w:r w:rsidRPr="00BA1814">
        <w:t>9.1</w:t>
      </w:r>
      <w:r w:rsidRPr="00BA1814">
        <w:tab/>
        <w:t>sobre las actividades del Sector de Radiocomunicaciones desde la CMR</w:t>
      </w:r>
      <w:r w:rsidRPr="00BA1814">
        <w:noBreakHyphen/>
        <w:t>15;</w:t>
      </w:r>
    </w:p>
    <w:p w14:paraId="3209C461" w14:textId="77777777" w:rsidR="001C0E40" w:rsidRPr="00BA1814" w:rsidRDefault="00360342" w:rsidP="00671105">
      <w:r w:rsidRPr="00BA1814">
        <w:rPr>
          <w:rFonts w:cstheme="majorBidi"/>
          <w:color w:val="000000"/>
          <w:szCs w:val="24"/>
          <w:lang w:eastAsia="zh-CN"/>
        </w:rPr>
        <w:t>9.1 (</w:t>
      </w:r>
      <w:r w:rsidRPr="00BA1814">
        <w:rPr>
          <w:lang w:eastAsia="zh-CN"/>
        </w:rPr>
        <w:t>9.1.7)</w:t>
      </w:r>
      <w:r w:rsidRPr="00BA1814">
        <w:tab/>
      </w:r>
      <w:hyperlink w:anchor="RES_958" w:history="1">
        <w:r w:rsidRPr="00BA1814">
          <w:t xml:space="preserve">Resolución </w:t>
        </w:r>
        <w:r w:rsidRPr="00BA1814">
          <w:rPr>
            <w:b/>
            <w:bCs/>
          </w:rPr>
          <w:t>958 (CMR-15)</w:t>
        </w:r>
      </w:hyperlink>
      <w:r w:rsidRPr="00BA1814">
        <w:t xml:space="preserve"> – (Punto 2 del Anexo) Estudios para examinar: a) si se necesitan medidas adicionales para limitar las transmisiones de enlace ascendente de los terminales a los terminales autorizados, de conformidad con el número </w:t>
      </w:r>
      <w:r w:rsidRPr="00BA1814">
        <w:rPr>
          <w:b/>
          <w:bCs/>
        </w:rPr>
        <w:t>18.1</w:t>
      </w:r>
      <w:r w:rsidRPr="00BA1814">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BA1814">
        <w:noBreakHyphen/>
        <w:t>15);</w:t>
      </w:r>
    </w:p>
    <w:p w14:paraId="3EC798CD" w14:textId="6F1021B4" w:rsidR="00360342" w:rsidRPr="00BA1814" w:rsidRDefault="00360342" w:rsidP="00671105">
      <w:pPr>
        <w:pStyle w:val="Heading1"/>
        <w:rPr>
          <w:rFonts w:eastAsia="BatangChe"/>
        </w:rPr>
      </w:pPr>
      <w:r w:rsidRPr="00BA1814">
        <w:rPr>
          <w:rFonts w:eastAsia="BatangChe"/>
        </w:rPr>
        <w:t>1</w:t>
      </w:r>
      <w:r w:rsidRPr="00BA1814">
        <w:rPr>
          <w:rFonts w:eastAsia="BatangChe"/>
        </w:rPr>
        <w:tab/>
      </w:r>
      <w:r w:rsidR="00172CE1" w:rsidRPr="00BA1814">
        <w:rPr>
          <w:rFonts w:eastAsia="BatangChe"/>
        </w:rPr>
        <w:t>Antecedentes</w:t>
      </w:r>
    </w:p>
    <w:p w14:paraId="0A3DBA95" w14:textId="4CA9AFCC" w:rsidR="00360342" w:rsidRPr="00BA1814" w:rsidRDefault="00172CE1" w:rsidP="00671105">
      <w:pPr>
        <w:rPr>
          <w:rFonts w:eastAsia="Times New Roman,Bold"/>
        </w:rPr>
      </w:pPr>
      <w:r w:rsidRPr="00BA1814">
        <w:rPr>
          <w:rFonts w:eastAsia="Times New Roman,Bold"/>
        </w:rPr>
        <w:t>De conformidad con la Resolución</w:t>
      </w:r>
      <w:r w:rsidR="00360342" w:rsidRPr="00BA1814">
        <w:rPr>
          <w:rFonts w:eastAsia="Times New Roman,Bold"/>
        </w:rPr>
        <w:t> </w:t>
      </w:r>
      <w:r w:rsidR="00360342" w:rsidRPr="00BA1814">
        <w:rPr>
          <w:rFonts w:eastAsia="Times New Roman,Bold"/>
          <w:b/>
        </w:rPr>
        <w:t>958 (</w:t>
      </w:r>
      <w:r w:rsidRPr="00BA1814">
        <w:rPr>
          <w:rFonts w:eastAsia="Times New Roman,Bold"/>
          <w:b/>
        </w:rPr>
        <w:t>CMR</w:t>
      </w:r>
      <w:r w:rsidR="00360342" w:rsidRPr="00BA1814">
        <w:rPr>
          <w:rFonts w:eastAsia="Times New Roman,Bold"/>
          <w:b/>
        </w:rPr>
        <w:t>-15)</w:t>
      </w:r>
      <w:r w:rsidR="00360342" w:rsidRPr="00BA1814">
        <w:rPr>
          <w:rFonts w:eastAsia="Times New Roman,Bold"/>
        </w:rPr>
        <w:t xml:space="preserve"> </w:t>
      </w:r>
      <w:r w:rsidRPr="00BA1814">
        <w:rPr>
          <w:rFonts w:eastAsia="Times New Roman,Bold"/>
        </w:rPr>
        <w:t>y la Resolución UIT</w:t>
      </w:r>
      <w:r w:rsidR="00360342" w:rsidRPr="00BA1814">
        <w:rPr>
          <w:rFonts w:eastAsia="Times New Roman,Bold"/>
        </w:rPr>
        <w:t>-R 64 (</w:t>
      </w:r>
      <w:r w:rsidRPr="00BA1814">
        <w:rPr>
          <w:rFonts w:eastAsia="Times New Roman,Bold"/>
        </w:rPr>
        <w:t>AR</w:t>
      </w:r>
      <w:r w:rsidR="00360342" w:rsidRPr="00BA1814">
        <w:rPr>
          <w:rFonts w:eastAsia="Times New Roman,Bold"/>
        </w:rPr>
        <w:noBreakHyphen/>
        <w:t xml:space="preserve">15), </w:t>
      </w:r>
      <w:r w:rsidRPr="00BA1814">
        <w:rPr>
          <w:rFonts w:eastAsia="Times New Roman,Bold"/>
        </w:rPr>
        <w:t xml:space="preserve">se estudiaron los dos apartados siguientes en el marco del punto </w:t>
      </w:r>
      <w:r w:rsidR="00360342" w:rsidRPr="00BA1814">
        <w:rPr>
          <w:rFonts w:asciiTheme="majorBidi" w:eastAsia="MS Mincho" w:hAnsiTheme="majorBidi"/>
        </w:rPr>
        <w:t>9.1</w:t>
      </w:r>
      <w:r w:rsidRPr="00BA1814">
        <w:rPr>
          <w:rFonts w:asciiTheme="majorBidi" w:eastAsia="MS Mincho" w:hAnsiTheme="majorBidi"/>
        </w:rPr>
        <w:t>(</w:t>
      </w:r>
      <w:r w:rsidR="00360342" w:rsidRPr="00BA1814">
        <w:rPr>
          <w:rFonts w:asciiTheme="majorBidi" w:eastAsia="MS Mincho" w:hAnsiTheme="majorBidi"/>
        </w:rPr>
        <w:t>9.1.7</w:t>
      </w:r>
      <w:r w:rsidRPr="00BA1814">
        <w:rPr>
          <w:rFonts w:asciiTheme="majorBidi" w:eastAsia="MS Mincho" w:hAnsiTheme="majorBidi"/>
        </w:rPr>
        <w:t>) del orden del día de la</w:t>
      </w:r>
      <w:r w:rsidR="00EA1B4A" w:rsidRPr="00BA1814">
        <w:rPr>
          <w:rFonts w:asciiTheme="majorBidi" w:eastAsia="MS Mincho" w:hAnsiTheme="majorBidi"/>
        </w:rPr>
        <w:t> </w:t>
      </w:r>
      <w:r w:rsidRPr="00BA1814">
        <w:rPr>
          <w:rFonts w:asciiTheme="majorBidi" w:eastAsia="MS Mincho" w:hAnsiTheme="majorBidi"/>
        </w:rPr>
        <w:t>CMR-19</w:t>
      </w:r>
      <w:r w:rsidR="00360342" w:rsidRPr="00BA1814">
        <w:rPr>
          <w:rFonts w:eastAsia="Times New Roman,Bold"/>
        </w:rPr>
        <w:t>:</w:t>
      </w:r>
    </w:p>
    <w:p w14:paraId="4A1C6026" w14:textId="68478117" w:rsidR="00360342" w:rsidRPr="00BA1814" w:rsidRDefault="00172CE1" w:rsidP="00671105">
      <w:pPr>
        <w:pStyle w:val="enumlev1"/>
        <w:ind w:left="1588" w:hanging="1588"/>
        <w:rPr>
          <w:i/>
          <w:iCs/>
        </w:rPr>
      </w:pPr>
      <w:r w:rsidRPr="00BA1814">
        <w:rPr>
          <w:rFonts w:eastAsia="MS Mincho"/>
          <w:i/>
        </w:rPr>
        <w:t xml:space="preserve">Apartado </w:t>
      </w:r>
      <w:r w:rsidR="00360342" w:rsidRPr="00BA1814">
        <w:rPr>
          <w:i/>
        </w:rPr>
        <w:t>2a)</w:t>
      </w:r>
      <w:r w:rsidR="00360342" w:rsidRPr="00BA1814">
        <w:tab/>
      </w:r>
      <w:r w:rsidR="00360342" w:rsidRPr="00BA1814">
        <w:rPr>
          <w:i/>
          <w:iCs/>
        </w:rPr>
        <w:t xml:space="preserve">si se necesitan medidas adicionales para limitar las transmisiones de enlace ascendente de los terminales a los terminales autorizados, de conformidad con el número </w:t>
      </w:r>
      <w:r w:rsidR="00360342" w:rsidRPr="00BA1814">
        <w:rPr>
          <w:b/>
          <w:bCs/>
          <w:i/>
          <w:iCs/>
        </w:rPr>
        <w:t>18.1</w:t>
      </w:r>
      <w:r w:rsidR="00360342" w:rsidRPr="00BA1814">
        <w:rPr>
          <w:i/>
          <w:iCs/>
        </w:rPr>
        <w:t>;</w:t>
      </w:r>
    </w:p>
    <w:p w14:paraId="6758B546" w14:textId="2326872A" w:rsidR="007D437C" w:rsidRPr="00BA1814" w:rsidRDefault="00172CE1" w:rsidP="00671105">
      <w:pPr>
        <w:pStyle w:val="enumlev1"/>
        <w:ind w:left="1588" w:hanging="1588"/>
        <w:rPr>
          <w:i/>
          <w:iCs/>
        </w:rPr>
      </w:pPr>
      <w:r w:rsidRPr="00BA1814">
        <w:rPr>
          <w:rFonts w:eastAsia="MS Mincho"/>
          <w:i/>
          <w:iCs/>
        </w:rPr>
        <w:t xml:space="preserve">Apartado </w:t>
      </w:r>
      <w:r w:rsidR="00360342" w:rsidRPr="00BA1814">
        <w:rPr>
          <w:i/>
          <w:iCs/>
        </w:rPr>
        <w:t>2b)</w:t>
      </w:r>
      <w:r w:rsidR="00360342" w:rsidRPr="00BA1814">
        <w:rPr>
          <w:i/>
          <w:iCs/>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00360342" w:rsidRPr="00BA1814">
        <w:rPr>
          <w:i/>
          <w:iCs/>
        </w:rPr>
        <w:noBreakHyphen/>
        <w:t>15)</w:t>
      </w:r>
      <w:r w:rsidR="00671105" w:rsidRPr="00BA1814">
        <w:rPr>
          <w:i/>
          <w:iCs/>
        </w:rPr>
        <w:t>.</w:t>
      </w:r>
    </w:p>
    <w:p w14:paraId="35D8546D" w14:textId="04D2F94F" w:rsidR="00360342" w:rsidRPr="00BA1814" w:rsidRDefault="00172CE1" w:rsidP="00655523">
      <w:pPr>
        <w:keepNext/>
        <w:keepLines/>
        <w:rPr>
          <w:rFonts w:eastAsia="MS Mincho"/>
        </w:rPr>
      </w:pPr>
      <w:r w:rsidRPr="00BA1814">
        <w:rPr>
          <w:rFonts w:eastAsia="MS Mincho"/>
        </w:rPr>
        <w:lastRenderedPageBreak/>
        <w:t xml:space="preserve">Con respecto al </w:t>
      </w:r>
      <w:r w:rsidRPr="00BA1814">
        <w:rPr>
          <w:rFonts w:eastAsia="MS Mincho"/>
          <w:i/>
        </w:rPr>
        <w:t xml:space="preserve">Apartado </w:t>
      </w:r>
      <w:r w:rsidR="00360342" w:rsidRPr="00BA1814">
        <w:rPr>
          <w:rFonts w:eastAsia="MS Mincho"/>
          <w:i/>
        </w:rPr>
        <w:t>2a</w:t>
      </w:r>
      <w:r w:rsidR="00360342" w:rsidRPr="00BA1814">
        <w:rPr>
          <w:rFonts w:eastAsia="MS Mincho"/>
        </w:rPr>
        <w:t xml:space="preserve">), </w:t>
      </w:r>
      <w:r w:rsidRPr="00BA1814">
        <w:rPr>
          <w:rFonts w:eastAsia="MS Mincho"/>
        </w:rPr>
        <w:t xml:space="preserve">se han definido dos opciones en el Informe </w:t>
      </w:r>
      <w:r w:rsidR="00655523" w:rsidRPr="00BA1814">
        <w:rPr>
          <w:rFonts w:eastAsia="MS Mincho"/>
        </w:rPr>
        <w:t xml:space="preserve">Final </w:t>
      </w:r>
      <w:r w:rsidRPr="00BA1814">
        <w:rPr>
          <w:rFonts w:eastAsia="MS Mincho"/>
        </w:rPr>
        <w:t>de la RPC para la</w:t>
      </w:r>
      <w:r w:rsidR="00655523" w:rsidRPr="00BA1814">
        <w:rPr>
          <w:rFonts w:eastAsia="MS Mincho"/>
        </w:rPr>
        <w:t> </w:t>
      </w:r>
      <w:r w:rsidRPr="00BA1814">
        <w:rPr>
          <w:rFonts w:eastAsia="MS Mincho"/>
        </w:rPr>
        <w:t>CMR-19</w:t>
      </w:r>
      <w:r w:rsidR="00360342" w:rsidRPr="00BA1814">
        <w:rPr>
          <w:rFonts w:eastAsia="MS Mincho"/>
        </w:rPr>
        <w:t>:</w:t>
      </w:r>
    </w:p>
    <w:p w14:paraId="472B9730" w14:textId="0D3DC1E4" w:rsidR="00360342" w:rsidRPr="00BA1814" w:rsidRDefault="00360342" w:rsidP="00655523">
      <w:pPr>
        <w:pStyle w:val="enumlev1"/>
        <w:keepNext/>
        <w:keepLines/>
        <w:rPr>
          <w:rFonts w:eastAsia="MS Mincho"/>
        </w:rPr>
      </w:pPr>
      <w:r w:rsidRPr="00BA1814">
        <w:rPr>
          <w:rFonts w:eastAsia="MS Mincho"/>
        </w:rPr>
        <w:t>–</w:t>
      </w:r>
      <w:r w:rsidRPr="00BA1814">
        <w:rPr>
          <w:rFonts w:eastAsia="MS Mincho"/>
        </w:rPr>
        <w:tab/>
        <w:t>Op</w:t>
      </w:r>
      <w:r w:rsidR="00172CE1" w:rsidRPr="00BA1814">
        <w:rPr>
          <w:rFonts w:eastAsia="MS Mincho"/>
        </w:rPr>
        <w:t>c</w:t>
      </w:r>
      <w:r w:rsidRPr="00BA1814">
        <w:rPr>
          <w:rFonts w:eastAsia="MS Mincho"/>
        </w:rPr>
        <w:t>i</w:t>
      </w:r>
      <w:r w:rsidR="00172CE1" w:rsidRPr="00BA1814">
        <w:rPr>
          <w:rFonts w:eastAsia="MS Mincho"/>
        </w:rPr>
        <w:t>ó</w:t>
      </w:r>
      <w:r w:rsidRPr="00BA1814">
        <w:rPr>
          <w:rFonts w:eastAsia="MS Mincho"/>
        </w:rPr>
        <w:t xml:space="preserve">n 1: </w:t>
      </w:r>
      <w:r w:rsidR="00172CE1" w:rsidRPr="00BA1814">
        <w:t xml:space="preserve">no modificar el Reglamento de Radiocomunicaciones, puesto que las medidas vigentes son suficientes. En el Reglamento de Radiocomunicaciones, concretamente en las disposiciones del Artículo </w:t>
      </w:r>
      <w:r w:rsidR="00172CE1" w:rsidRPr="00BA1814">
        <w:rPr>
          <w:b/>
          <w:bCs/>
        </w:rPr>
        <w:t>18</w:t>
      </w:r>
      <w:r w:rsidR="00172CE1" w:rsidRPr="00BA1814">
        <w:t>, se exige clara e inequívocamente que las estaciones terrenas sólo pueden operar si están debidamente autorizadas. Introducir nuevas disposiciones en el Reglamento de Radiocomunicaciones no contribuirá a suprimir las estaciones terrenas que funcionan ilícitamente</w:t>
      </w:r>
      <w:r w:rsidR="00172CE1" w:rsidRPr="00BA1814">
        <w:rPr>
          <w:rFonts w:eastAsia="MS Mincho"/>
        </w:rPr>
        <w:t>.</w:t>
      </w:r>
    </w:p>
    <w:p w14:paraId="6E53F21D" w14:textId="60B51E4C" w:rsidR="00360342" w:rsidRPr="00BA1814" w:rsidRDefault="00360342" w:rsidP="00671105">
      <w:pPr>
        <w:pStyle w:val="enumlev1"/>
        <w:rPr>
          <w:rFonts w:eastAsia="MS Mincho"/>
        </w:rPr>
      </w:pPr>
      <w:r w:rsidRPr="00BA1814">
        <w:rPr>
          <w:rFonts w:eastAsia="MS Mincho"/>
        </w:rPr>
        <w:t>–</w:t>
      </w:r>
      <w:r w:rsidRPr="00BA1814">
        <w:rPr>
          <w:rFonts w:eastAsia="MS Mincho"/>
        </w:rPr>
        <w:tab/>
      </w:r>
      <w:r w:rsidR="00172CE1" w:rsidRPr="00BA1814">
        <w:t xml:space="preserve">Opción 2: elaborar una nueva Resolución de la CMR para ayudar a las administraciones a aplicar el número </w:t>
      </w:r>
      <w:r w:rsidR="00172CE1" w:rsidRPr="00BA1814">
        <w:rPr>
          <w:b/>
          <w:bCs/>
        </w:rPr>
        <w:t>18.1</w:t>
      </w:r>
      <w:r w:rsidR="00172CE1" w:rsidRPr="00BA1814">
        <w:t xml:space="preserve"> del RR</w:t>
      </w:r>
      <w:r w:rsidRPr="00BA1814">
        <w:rPr>
          <w:rFonts w:eastAsia="MS Mincho"/>
        </w:rPr>
        <w:t>.</w:t>
      </w:r>
      <w:bookmarkStart w:id="5" w:name="_GoBack"/>
      <w:bookmarkEnd w:id="5"/>
    </w:p>
    <w:p w14:paraId="257C2F09" w14:textId="2CB2EBB2" w:rsidR="00360342" w:rsidRPr="00BA1814" w:rsidRDefault="00172CE1" w:rsidP="00671105">
      <w:pPr>
        <w:rPr>
          <w:rFonts w:eastAsia="MS Mincho"/>
        </w:rPr>
      </w:pPr>
      <w:r w:rsidRPr="00BA1814">
        <w:t xml:space="preserve">Con respecto al </w:t>
      </w:r>
      <w:r w:rsidRPr="00BA1814">
        <w:rPr>
          <w:i/>
          <w:iCs/>
        </w:rPr>
        <w:t>Apartado</w:t>
      </w:r>
      <w:r w:rsidRPr="00BA1814">
        <w:t xml:space="preserve"> </w:t>
      </w:r>
      <w:r w:rsidRPr="00BA1814">
        <w:rPr>
          <w:i/>
          <w:iCs/>
        </w:rPr>
        <w:t>2b)</w:t>
      </w:r>
      <w:r w:rsidRPr="00BA1814">
        <w:t xml:space="preserve"> del Anexo a la Resolución </w:t>
      </w:r>
      <w:r w:rsidRPr="00BA1814">
        <w:rPr>
          <w:b/>
          <w:bCs/>
        </w:rPr>
        <w:t>958 (CMR-15)</w:t>
      </w:r>
      <w:r w:rsidRPr="00BA1814">
        <w:t>, se ha definido una opción</w:t>
      </w:r>
      <w:r w:rsidRPr="00BA1814">
        <w:rPr>
          <w:rFonts w:eastAsia="MS Mincho"/>
        </w:rPr>
        <w:t xml:space="preserve"> en el Informe final de la RPC para la CMR-19</w:t>
      </w:r>
      <w:r w:rsidR="00360342" w:rsidRPr="00BA1814">
        <w:rPr>
          <w:rFonts w:eastAsia="MS Mincho"/>
        </w:rPr>
        <w:t>:</w:t>
      </w:r>
    </w:p>
    <w:p w14:paraId="28252059" w14:textId="20C7A8C9" w:rsidR="00360342" w:rsidRPr="00BA1814" w:rsidRDefault="00360342" w:rsidP="00671105">
      <w:pPr>
        <w:pStyle w:val="enumlev1"/>
        <w:rPr>
          <w:rFonts w:eastAsia="MS Mincho"/>
        </w:rPr>
      </w:pPr>
      <w:r w:rsidRPr="00BA1814">
        <w:rPr>
          <w:rFonts w:eastAsia="MS Mincho"/>
        </w:rPr>
        <w:t>–</w:t>
      </w:r>
      <w:r w:rsidRPr="00BA1814">
        <w:rPr>
          <w:rFonts w:eastAsia="MS Mincho"/>
        </w:rPr>
        <w:tab/>
      </w:r>
      <w:r w:rsidR="00172CE1" w:rsidRPr="00BA1814">
        <w:t>elaborar las directrices necesarias en materia de capacidades de comprobación técnica de satélites, junto con la posible revisión y/o desarrollo ulterior de Informes o Manuales del UIT-R, a fin de ayudar a las administraciones a gestionar el funcionamiento no autorizado de estaciones terrenas implantados en su territorio, como herramienta de orientación para sus programas nacionales de gestión del espectro</w:t>
      </w:r>
      <w:r w:rsidRPr="00BA1814">
        <w:rPr>
          <w:rFonts w:eastAsia="MS Mincho"/>
        </w:rPr>
        <w:t>.</w:t>
      </w:r>
    </w:p>
    <w:p w14:paraId="3356B306" w14:textId="16A279D5" w:rsidR="00360342" w:rsidRPr="00BA1814" w:rsidRDefault="00895264" w:rsidP="00671105">
      <w:pPr>
        <w:rPr>
          <w:rFonts w:eastAsia="MS Mincho"/>
        </w:rPr>
      </w:pPr>
      <w:r w:rsidRPr="00BA1814">
        <w:rPr>
          <w:rFonts w:eastAsia="MS Mincho"/>
        </w:rPr>
        <w:t>En la segunda reunión de la sesión de la RPC19-2</w:t>
      </w:r>
      <w:r w:rsidR="00360342" w:rsidRPr="00BA1814">
        <w:rPr>
          <w:rFonts w:eastAsia="MS Mincho"/>
        </w:rPr>
        <w:t xml:space="preserve"> (</w:t>
      </w:r>
      <w:r w:rsidRPr="00BA1814">
        <w:rPr>
          <w:rFonts w:eastAsia="MS Mincho"/>
        </w:rPr>
        <w:t xml:space="preserve">febrero de </w:t>
      </w:r>
      <w:r w:rsidR="00360342" w:rsidRPr="00BA1814">
        <w:rPr>
          <w:rFonts w:eastAsia="MS Mincho"/>
        </w:rPr>
        <w:t xml:space="preserve">2019, </w:t>
      </w:r>
      <w:r w:rsidRPr="00BA1814">
        <w:rPr>
          <w:rFonts w:eastAsia="MS Mincho"/>
        </w:rPr>
        <w:t>Ginebra</w:t>
      </w:r>
      <w:r w:rsidR="00360342" w:rsidRPr="00BA1814">
        <w:rPr>
          <w:rFonts w:eastAsia="MS Mincho"/>
        </w:rPr>
        <w:t xml:space="preserve">), </w:t>
      </w:r>
      <w:r w:rsidRPr="00BA1814">
        <w:rPr>
          <w:rFonts w:eastAsia="MS Mincho"/>
        </w:rPr>
        <w:t xml:space="preserve">aunque se debatió en profundidad el </w:t>
      </w:r>
      <w:r w:rsidRPr="00BA1814">
        <w:rPr>
          <w:rFonts w:eastAsia="MS Mincho"/>
          <w:i/>
        </w:rPr>
        <w:t xml:space="preserve">Apartado </w:t>
      </w:r>
      <w:r w:rsidR="00360342" w:rsidRPr="00BA1814">
        <w:rPr>
          <w:rFonts w:eastAsia="MS Mincho"/>
          <w:i/>
        </w:rPr>
        <w:t>2a</w:t>
      </w:r>
      <w:r w:rsidR="00360342" w:rsidRPr="00BA1814">
        <w:rPr>
          <w:rFonts w:eastAsia="MS Mincho"/>
        </w:rPr>
        <w:t xml:space="preserve">) </w:t>
      </w:r>
      <w:r w:rsidRPr="00BA1814">
        <w:rPr>
          <w:rFonts w:eastAsia="MS Mincho"/>
        </w:rPr>
        <w:t xml:space="preserve">y se revisó nuevamente la parte pertinente del Informe de la RPC, con inclusión del proyecto de nueva Resolución CMR </w:t>
      </w:r>
      <w:r w:rsidR="000103C2" w:rsidRPr="00BA1814">
        <w:rPr>
          <w:rFonts w:eastAsia="MS Mincho"/>
        </w:rPr>
        <w:t>relativa a</w:t>
      </w:r>
      <w:r w:rsidRPr="00BA1814">
        <w:rPr>
          <w:rFonts w:eastAsia="MS Mincho"/>
        </w:rPr>
        <w:t xml:space="preserve"> la Opción </w:t>
      </w:r>
      <w:r w:rsidR="00360342" w:rsidRPr="00BA1814">
        <w:rPr>
          <w:rFonts w:eastAsia="MS Mincho"/>
        </w:rPr>
        <w:t>2</w:t>
      </w:r>
      <w:r w:rsidRPr="00BA1814">
        <w:rPr>
          <w:rFonts w:eastAsia="MS Mincho"/>
        </w:rPr>
        <w:t>, los proponentes de ninguna de las dos opciones consiguieron encontrar soluciones aceptables por todas las partes</w:t>
      </w:r>
      <w:r w:rsidR="00360342" w:rsidRPr="00BA1814">
        <w:rPr>
          <w:rFonts w:eastAsia="MS Mincho"/>
        </w:rPr>
        <w:t>.</w:t>
      </w:r>
    </w:p>
    <w:p w14:paraId="201ECBF7" w14:textId="1C498C72" w:rsidR="00360342" w:rsidRPr="00BA1814" w:rsidRDefault="00360342" w:rsidP="00671105">
      <w:pPr>
        <w:pStyle w:val="Heading1"/>
        <w:rPr>
          <w:rFonts w:eastAsia="BatangChe"/>
        </w:rPr>
      </w:pPr>
      <w:r w:rsidRPr="00BA1814">
        <w:rPr>
          <w:rFonts w:eastAsia="BatangChe"/>
        </w:rPr>
        <w:t>2</w:t>
      </w:r>
      <w:r w:rsidRPr="00BA1814">
        <w:rPr>
          <w:rFonts w:eastAsia="BatangChe"/>
        </w:rPr>
        <w:tab/>
        <w:t>Propuesta</w:t>
      </w:r>
    </w:p>
    <w:p w14:paraId="588393F4" w14:textId="71334C54" w:rsidR="00360342" w:rsidRPr="00BA1814" w:rsidRDefault="009F2D5B" w:rsidP="00671105">
      <w:pPr>
        <w:rPr>
          <w:rFonts w:eastAsia="MS Mincho"/>
        </w:rPr>
      </w:pPr>
      <w:r w:rsidRPr="00BA1814">
        <w:rPr>
          <w:rFonts w:eastAsiaTheme="minorEastAsia"/>
          <w:lang w:eastAsia="ja-JP"/>
        </w:rPr>
        <w:t xml:space="preserve">En lo que respecta al </w:t>
      </w:r>
      <w:r w:rsidRPr="00BA1814">
        <w:rPr>
          <w:rFonts w:eastAsiaTheme="minorEastAsia"/>
          <w:i/>
          <w:iCs/>
          <w:lang w:eastAsia="ja-JP"/>
        </w:rPr>
        <w:t>Apartado</w:t>
      </w:r>
      <w:r w:rsidRPr="00BA1814">
        <w:rPr>
          <w:rFonts w:eastAsiaTheme="minorEastAsia"/>
          <w:lang w:eastAsia="ja-JP"/>
        </w:rPr>
        <w:t xml:space="preserve"> </w:t>
      </w:r>
      <w:r w:rsidR="00360342" w:rsidRPr="00BA1814">
        <w:rPr>
          <w:rFonts w:eastAsiaTheme="minorEastAsia"/>
          <w:i/>
          <w:iCs/>
          <w:lang w:eastAsia="ja-JP"/>
        </w:rPr>
        <w:t>2a)</w:t>
      </w:r>
      <w:r w:rsidR="00360342" w:rsidRPr="00BA1814">
        <w:rPr>
          <w:rFonts w:eastAsiaTheme="minorEastAsia"/>
          <w:lang w:eastAsia="ja-JP"/>
        </w:rPr>
        <w:t xml:space="preserve">, </w:t>
      </w:r>
      <w:r w:rsidRPr="00BA1814">
        <w:rPr>
          <w:rFonts w:eastAsiaTheme="minorEastAsia"/>
          <w:lang w:eastAsia="ja-JP"/>
        </w:rPr>
        <w:t xml:space="preserve">aunque el Japón no se opone a la Opción </w:t>
      </w:r>
      <w:r w:rsidR="00360342" w:rsidRPr="00BA1814">
        <w:rPr>
          <w:rFonts w:eastAsia="MS Mincho"/>
        </w:rPr>
        <w:t xml:space="preserve">1-NOC </w:t>
      </w:r>
      <w:r w:rsidRPr="00BA1814">
        <w:rPr>
          <w:rFonts w:eastAsia="MS Mincho"/>
        </w:rPr>
        <w:t xml:space="preserve">al </w:t>
      </w:r>
      <w:r w:rsidR="00360342" w:rsidRPr="00BA1814">
        <w:rPr>
          <w:rFonts w:eastAsia="MS Mincho"/>
        </w:rPr>
        <w:t>RR</w:t>
      </w:r>
      <w:r w:rsidRPr="00BA1814">
        <w:rPr>
          <w:rFonts w:eastAsia="MS Mincho"/>
        </w:rPr>
        <w:t xml:space="preserve"> como posible camino a seguir, también puede aceptar la Opción </w:t>
      </w:r>
      <w:r w:rsidR="00360342" w:rsidRPr="00BA1814">
        <w:rPr>
          <w:rFonts w:eastAsia="MS Mincho"/>
        </w:rPr>
        <w:t xml:space="preserve">2 </w:t>
      </w:r>
      <w:r w:rsidRPr="00BA1814">
        <w:rPr>
          <w:rFonts w:eastAsia="MS Mincho"/>
        </w:rPr>
        <w:t>si se acuerdan las modificaciones a la nueva Resolución CMR propuestas en el Adjunto a la presente contribución</w:t>
      </w:r>
      <w:r w:rsidR="00360342" w:rsidRPr="00BA1814">
        <w:rPr>
          <w:rFonts w:eastAsia="MS Mincho"/>
        </w:rPr>
        <w:t>.</w:t>
      </w:r>
    </w:p>
    <w:p w14:paraId="4ACFCD95" w14:textId="0754FB79" w:rsidR="00360342" w:rsidRPr="00BA1814" w:rsidRDefault="009F2D5B" w:rsidP="00671105">
      <w:pPr>
        <w:rPr>
          <w:rFonts w:eastAsia="Times New Roman,Bold"/>
        </w:rPr>
      </w:pPr>
      <w:r w:rsidRPr="00BA1814">
        <w:rPr>
          <w:rFonts w:eastAsia="MS Mincho"/>
        </w:rPr>
        <w:t xml:space="preserve">El Japón considera que, a fin de facilitar una solución más adecuada a todas las partes, el ámbito de los debates mantenidos en virtud de este tema </w:t>
      </w:r>
      <w:r w:rsidR="00360342" w:rsidRPr="00BA1814">
        <w:rPr>
          <w:rFonts w:eastAsia="MS Mincho"/>
        </w:rPr>
        <w:t xml:space="preserve">9.1.7 </w:t>
      </w:r>
      <w:r w:rsidRPr="00BA1814">
        <w:rPr>
          <w:rFonts w:eastAsia="MS Mincho"/>
        </w:rPr>
        <w:t xml:space="preserve">y su resultado debería centrarse en aclarar el principio según el cual las estaciones terrenas en el territorio sujeto a la jurisdicción de una administración solo deben explotarse </w:t>
      </w:r>
      <w:r w:rsidR="000103C2" w:rsidRPr="00BA1814">
        <w:rPr>
          <w:rFonts w:eastAsia="MS Mincho"/>
        </w:rPr>
        <w:t>previa</w:t>
      </w:r>
      <w:r w:rsidRPr="00BA1814">
        <w:rPr>
          <w:rFonts w:eastAsia="MS Mincho"/>
        </w:rPr>
        <w:t xml:space="preserve"> autorización de esa administración, la obligación del Artículo </w:t>
      </w:r>
      <w:r w:rsidR="00360342" w:rsidRPr="00BA1814">
        <w:rPr>
          <w:rFonts w:eastAsiaTheme="minorEastAsia"/>
          <w:b/>
          <w:lang w:eastAsia="ja-JP"/>
        </w:rPr>
        <w:t>18</w:t>
      </w:r>
      <w:r w:rsidRPr="00BA1814">
        <w:rPr>
          <w:rFonts w:eastAsiaTheme="minorEastAsia"/>
          <w:b/>
          <w:lang w:eastAsia="ja-JP"/>
        </w:rPr>
        <w:t xml:space="preserve"> </w:t>
      </w:r>
      <w:r w:rsidRPr="00BA1814">
        <w:rPr>
          <w:rFonts w:eastAsiaTheme="minorEastAsia"/>
          <w:bCs/>
          <w:lang w:eastAsia="ja-JP"/>
        </w:rPr>
        <w:t>del RR y las posibles</w:t>
      </w:r>
      <w:r w:rsidRPr="00BA1814">
        <w:rPr>
          <w:rFonts w:eastAsiaTheme="minorEastAsia"/>
          <w:b/>
          <w:lang w:eastAsia="ja-JP"/>
        </w:rPr>
        <w:t xml:space="preserve"> </w:t>
      </w:r>
      <w:r w:rsidRPr="00BA1814">
        <w:rPr>
          <w:rFonts w:eastAsiaTheme="minorEastAsia"/>
          <w:bCs/>
          <w:lang w:eastAsia="ja-JP"/>
        </w:rPr>
        <w:t>medidas para resolver las transmisiones accidentales procedentes de una estación terrena no autorizada y, en consecuencia, eliminarlas</w:t>
      </w:r>
      <w:r w:rsidR="00360342" w:rsidRPr="00BA1814">
        <w:rPr>
          <w:rFonts w:eastAsia="MS Mincho"/>
        </w:rPr>
        <w:t>.</w:t>
      </w:r>
    </w:p>
    <w:p w14:paraId="210EB415" w14:textId="23445774" w:rsidR="00360342" w:rsidRPr="00BA1814" w:rsidRDefault="009F2D5B" w:rsidP="00671105">
      <w:pPr>
        <w:rPr>
          <w:rFonts w:eastAsiaTheme="minorEastAsia"/>
          <w:lang w:eastAsia="ja-JP"/>
        </w:rPr>
      </w:pPr>
      <w:r w:rsidRPr="00BA1814">
        <w:rPr>
          <w:rFonts w:eastAsia="MS Mincho"/>
        </w:rPr>
        <w:t xml:space="preserve">El Japón espera que esta propuesta de modificación de la nueva Resolución CMR </w:t>
      </w:r>
      <w:r w:rsidR="000103C2" w:rsidRPr="00BA1814">
        <w:rPr>
          <w:rFonts w:eastAsia="MS Mincho"/>
        </w:rPr>
        <w:t xml:space="preserve">relativa a la Opción 2 </w:t>
      </w:r>
      <w:r w:rsidRPr="00BA1814">
        <w:rPr>
          <w:rFonts w:eastAsia="MS Mincho"/>
        </w:rPr>
        <w:t>pueda dar respuesta a las inquietudes de las Administraciones/Grupos Regionales que apoyan la Opción 1</w:t>
      </w:r>
      <w:r w:rsidR="00360342" w:rsidRPr="00BA1814">
        <w:rPr>
          <w:rFonts w:eastAsia="MS Mincho"/>
        </w:rPr>
        <w:t>.</w:t>
      </w:r>
    </w:p>
    <w:p w14:paraId="256BA0BE" w14:textId="77D745D8" w:rsidR="00360342" w:rsidRPr="00BA1814" w:rsidRDefault="009F2D5B" w:rsidP="00F17D35">
      <w:pPr>
        <w:spacing w:before="1320"/>
        <w:rPr>
          <w:i/>
        </w:rPr>
      </w:pPr>
      <w:r w:rsidRPr="00BA1814">
        <w:rPr>
          <w:b/>
        </w:rPr>
        <w:t>Adjunto</w:t>
      </w:r>
      <w:r w:rsidR="00360342" w:rsidRPr="00BA1814">
        <w:rPr>
          <w:bCs/>
        </w:rPr>
        <w:t xml:space="preserve">: </w:t>
      </w:r>
      <w:r w:rsidRPr="00BA1814">
        <w:rPr>
          <w:bCs/>
          <w:i/>
          <w:iCs/>
        </w:rPr>
        <w:t xml:space="preserve">Propuesta de modificación </w:t>
      </w:r>
      <w:r w:rsidR="00FA5BA7" w:rsidRPr="00BA1814">
        <w:rPr>
          <w:bCs/>
          <w:i/>
          <w:iCs/>
        </w:rPr>
        <w:t xml:space="preserve">del proyecto de </w:t>
      </w:r>
      <w:r w:rsidR="000103C2" w:rsidRPr="00BA1814">
        <w:rPr>
          <w:bCs/>
          <w:i/>
          <w:iCs/>
        </w:rPr>
        <w:t xml:space="preserve">nueva </w:t>
      </w:r>
      <w:r w:rsidR="00FA5BA7" w:rsidRPr="00BA1814">
        <w:rPr>
          <w:bCs/>
          <w:i/>
          <w:iCs/>
        </w:rPr>
        <w:t xml:space="preserve">Resolución </w:t>
      </w:r>
      <w:r w:rsidRPr="00BA1814">
        <w:rPr>
          <w:bCs/>
          <w:i/>
          <w:iCs/>
        </w:rPr>
        <w:t>relativa a la Opción 2 del</w:t>
      </w:r>
      <w:r w:rsidR="00F17D35" w:rsidRPr="00BA1814">
        <w:rPr>
          <w:bCs/>
          <w:i/>
          <w:iCs/>
        </w:rPr>
        <w:t> </w:t>
      </w:r>
      <w:r w:rsidRPr="00BA1814">
        <w:rPr>
          <w:bCs/>
          <w:i/>
          <w:iCs/>
        </w:rPr>
        <w:t>Apartado 2a)</w:t>
      </w:r>
    </w:p>
    <w:p w14:paraId="3036DD03" w14:textId="77777777" w:rsidR="00360342" w:rsidRPr="00BA1814" w:rsidRDefault="00360342" w:rsidP="00671105">
      <w:pPr>
        <w:tabs>
          <w:tab w:val="clear" w:pos="1134"/>
          <w:tab w:val="clear" w:pos="1871"/>
          <w:tab w:val="clear" w:pos="2268"/>
        </w:tabs>
        <w:overflowPunct/>
        <w:autoSpaceDE/>
        <w:autoSpaceDN/>
        <w:adjustRightInd/>
        <w:spacing w:before="0"/>
        <w:textAlignment w:val="auto"/>
        <w:rPr>
          <w:i/>
        </w:rPr>
      </w:pPr>
      <w:r w:rsidRPr="00BA1814">
        <w:rPr>
          <w:i/>
        </w:rPr>
        <w:br w:type="page"/>
      </w:r>
    </w:p>
    <w:p w14:paraId="293E5D7A" w14:textId="3F54FAF2" w:rsidR="00360342" w:rsidRPr="00BA1814" w:rsidRDefault="00FA5BA7" w:rsidP="00671105">
      <w:pPr>
        <w:pStyle w:val="AppendixNo"/>
        <w:rPr>
          <w:rFonts w:eastAsiaTheme="minorEastAsia"/>
          <w:lang w:eastAsia="ja-JP"/>
        </w:rPr>
      </w:pPr>
      <w:r w:rsidRPr="00BA1814">
        <w:rPr>
          <w:rFonts w:eastAsiaTheme="minorEastAsia"/>
          <w:lang w:eastAsia="ja-JP"/>
        </w:rPr>
        <w:lastRenderedPageBreak/>
        <w:t>ADJUNTO</w:t>
      </w:r>
    </w:p>
    <w:p w14:paraId="5894EA7C" w14:textId="4C089FD0" w:rsidR="00360342" w:rsidRPr="00BA1814" w:rsidRDefault="00FA5BA7" w:rsidP="00671105">
      <w:pPr>
        <w:pStyle w:val="Appendixtitle"/>
        <w:rPr>
          <w:rFonts w:eastAsia="MS Gothic"/>
        </w:rPr>
      </w:pPr>
      <w:r w:rsidRPr="00BA1814">
        <w:t>Propuesta de modificación del proyecto de nueva Resolución relativa a la Opción 2 del apartado 2A) del punto 9.1(9.1.7) del orden del día de la CMR-19</w:t>
      </w:r>
    </w:p>
    <w:p w14:paraId="433A9465" w14:textId="1BF50583" w:rsidR="00360342" w:rsidRPr="00BA1814" w:rsidRDefault="00360342" w:rsidP="00671105">
      <w:pPr>
        <w:pStyle w:val="ResNo"/>
      </w:pPr>
      <w:r w:rsidRPr="00BA1814">
        <w:t>PROYECTO DE NUEVA RESOLUCIÓN [J/A917] (CMR-19)</w:t>
      </w:r>
    </w:p>
    <w:p w14:paraId="395BC494" w14:textId="77777777" w:rsidR="00360342" w:rsidRPr="00BA1814" w:rsidRDefault="00360342" w:rsidP="00671105">
      <w:pPr>
        <w:pStyle w:val="Restitle"/>
      </w:pPr>
      <w:r w:rsidRPr="00BA1814">
        <w:t xml:space="preserve">Medidas encaminadas a limitar </w:t>
      </w:r>
      <w:r w:rsidRPr="00BA1814">
        <w:rPr>
          <w:lang w:eastAsia="zh-CN"/>
        </w:rPr>
        <w:t xml:space="preserve">las transmisiones de enlace </w:t>
      </w:r>
      <w:r w:rsidRPr="00BA1814">
        <w:rPr>
          <w:lang w:eastAsia="zh-CN"/>
        </w:rPr>
        <w:br/>
        <w:t>ascendente no autorizadas de estaciones terrenas</w:t>
      </w:r>
    </w:p>
    <w:p w14:paraId="10912C19" w14:textId="77777777" w:rsidR="00360342" w:rsidRPr="00BA1814" w:rsidRDefault="00360342" w:rsidP="00671105">
      <w:pPr>
        <w:pStyle w:val="Normalaftertitle0"/>
      </w:pPr>
      <w:r w:rsidRPr="00BA1814">
        <w:t>La Conferencia Mundial de Radiocomunicaciones (Sharm el-Sheikh, 2019),</w:t>
      </w:r>
    </w:p>
    <w:p w14:paraId="2C5575C1" w14:textId="77777777" w:rsidR="00360342" w:rsidRPr="00BA1814" w:rsidRDefault="00360342" w:rsidP="00671105">
      <w:pPr>
        <w:pStyle w:val="Call"/>
      </w:pPr>
      <w:r w:rsidRPr="00BA1814">
        <w:t>considerando</w:t>
      </w:r>
    </w:p>
    <w:p w14:paraId="65932934" w14:textId="77777777" w:rsidR="00360342" w:rsidRPr="00BA1814" w:rsidRDefault="00360342" w:rsidP="00671105">
      <w:r w:rsidRPr="00BA1814">
        <w:rPr>
          <w:i/>
          <w:iCs/>
        </w:rPr>
        <w:t>a)</w:t>
      </w:r>
      <w:r w:rsidRPr="00BA1814">
        <w:rPr>
          <w:i/>
          <w:iCs/>
        </w:rPr>
        <w:tab/>
      </w:r>
      <w:r w:rsidRPr="00BA1814">
        <w:t xml:space="preserve">que, de conformidad con la Resolución </w:t>
      </w:r>
      <w:r w:rsidRPr="00BA1814">
        <w:rPr>
          <w:b/>
          <w:bCs/>
        </w:rPr>
        <w:t>958 (CMR-15)</w:t>
      </w:r>
      <w:r w:rsidRPr="00BA1814">
        <w:t xml:space="preserve"> y la Resolución UIT-R 64 (AR</w:t>
      </w:r>
      <w:r w:rsidRPr="00BA1814">
        <w:noBreakHyphen/>
        <w:t>15), se han llevado a cabo estudios para examinar:</w:t>
      </w:r>
    </w:p>
    <w:p w14:paraId="59A0A3A7" w14:textId="77777777" w:rsidR="00360342" w:rsidRPr="00BA1814" w:rsidRDefault="00360342" w:rsidP="00671105">
      <w:pPr>
        <w:pStyle w:val="enumlev1"/>
        <w:rPr>
          <w:lang w:eastAsia="zh-CN"/>
        </w:rPr>
      </w:pPr>
      <w:r w:rsidRPr="00BA1814">
        <w:rPr>
          <w:lang w:eastAsia="zh-CN"/>
        </w:rPr>
        <w:t>–</w:t>
      </w:r>
      <w:r w:rsidRPr="00BA1814">
        <w:rPr>
          <w:lang w:eastAsia="zh-CN"/>
        </w:rPr>
        <w:tab/>
        <w:t xml:space="preserve">si se necesitan medidas adicionales para limitar las transmisiones de enlace ascendente de los terminales a los terminales autorizados, de conformidad con el número </w:t>
      </w:r>
      <w:r w:rsidRPr="00BA1814">
        <w:rPr>
          <w:b/>
          <w:bCs/>
          <w:lang w:eastAsia="zh-CN"/>
        </w:rPr>
        <w:t>18.1</w:t>
      </w:r>
      <w:r w:rsidRPr="00BA1814">
        <w:rPr>
          <w:lang w:eastAsia="zh-CN"/>
        </w:rPr>
        <w:t>;</w:t>
      </w:r>
    </w:p>
    <w:p w14:paraId="02B32FDD" w14:textId="77777777" w:rsidR="00360342" w:rsidRPr="00BA1814" w:rsidRDefault="00360342" w:rsidP="00671105">
      <w:pPr>
        <w:pStyle w:val="enumlev1"/>
        <w:rPr>
          <w:rFonts w:eastAsia="Times New Roman,Bold"/>
        </w:rPr>
      </w:pPr>
      <w:r w:rsidRPr="00BA1814">
        <w:rPr>
          <w:lang w:eastAsia="ko-KR"/>
        </w:rPr>
        <w:t>–</w:t>
      </w:r>
      <w:r w:rsidRPr="00BA1814">
        <w:rPr>
          <w:lang w:eastAsia="ko-KR"/>
        </w:rPr>
        <w:tab/>
        <w:t>los posibles métodos que ayuden a las administraciones a gestionar el funcionamiento no autorizado de terminales de estaciones terrenas implantados en su territorio, como herramienta de orientación para su programa nacional de gestión del espectro</w:t>
      </w:r>
      <w:r w:rsidRPr="00BA1814">
        <w:rPr>
          <w:rFonts w:eastAsia="Times New Roman,Bold"/>
        </w:rPr>
        <w:t>;</w:t>
      </w:r>
    </w:p>
    <w:p w14:paraId="2F3FDDDE" w14:textId="77777777" w:rsidR="00360342" w:rsidRPr="00BA1814" w:rsidRDefault="00360342" w:rsidP="00671105">
      <w:pPr>
        <w:rPr>
          <w:lang w:eastAsia="ko-KR"/>
        </w:rPr>
      </w:pPr>
      <w:r w:rsidRPr="00BA1814">
        <w:rPr>
          <w:i/>
          <w:iCs/>
        </w:rPr>
        <w:t>b)</w:t>
      </w:r>
      <w:r w:rsidRPr="00BA1814">
        <w:tab/>
        <w:t>que continúa aumentando de manera constante la demanda en todo el mundo de servicios de comunicaciones globales de banda ancha por satélite,</w:t>
      </w:r>
    </w:p>
    <w:p w14:paraId="402F6A6A" w14:textId="77777777" w:rsidR="00360342" w:rsidRPr="00BA1814" w:rsidRDefault="00360342" w:rsidP="00671105">
      <w:pPr>
        <w:pStyle w:val="Call"/>
      </w:pPr>
      <w:r w:rsidRPr="00BA1814">
        <w:t>reconociendo</w:t>
      </w:r>
    </w:p>
    <w:p w14:paraId="31E3B10D" w14:textId="21E13521" w:rsidR="00360342" w:rsidRPr="00BA1814" w:rsidRDefault="00360342" w:rsidP="00671105">
      <w:r w:rsidRPr="00BA1814">
        <w:t>que el éxito en la coordinación de una red o un sistema de satélites no depende de la obtención de una autorización para la prestación de servicios en el territorio de un Estado Miembro,</w:t>
      </w:r>
    </w:p>
    <w:p w14:paraId="070C1D76" w14:textId="77777777" w:rsidR="00360342" w:rsidRPr="00BA1814" w:rsidRDefault="00360342" w:rsidP="00671105">
      <w:pPr>
        <w:pStyle w:val="Call"/>
      </w:pPr>
      <w:r w:rsidRPr="00BA1814">
        <w:t>observando</w:t>
      </w:r>
    </w:p>
    <w:p w14:paraId="76D2F442" w14:textId="77777777" w:rsidR="00360342" w:rsidRPr="00BA1814" w:rsidRDefault="00360342" w:rsidP="00671105">
      <w:pPr>
        <w:rPr>
          <w:i/>
          <w:iCs/>
        </w:rPr>
      </w:pPr>
      <w:r w:rsidRPr="00BA1814">
        <w:rPr>
          <w:i/>
          <w:iCs/>
        </w:rPr>
        <w:t>a)</w:t>
      </w:r>
      <w:r w:rsidRPr="00BA1814">
        <w:rPr>
          <w:i/>
          <w:iCs/>
        </w:rPr>
        <w:tab/>
      </w:r>
      <w:r w:rsidRPr="00BA1814">
        <w:t>que la Constitución de la UIT reconoce el derecho soberano de cada Estado a reglamentar sus telecomunicaciones;</w:t>
      </w:r>
    </w:p>
    <w:p w14:paraId="15F17141" w14:textId="77777777" w:rsidR="00360342" w:rsidRPr="00BA1814" w:rsidRDefault="00360342" w:rsidP="00671105">
      <w:r w:rsidRPr="00BA1814">
        <w:rPr>
          <w:i/>
          <w:iCs/>
        </w:rPr>
        <w:t>b)</w:t>
      </w:r>
      <w:r w:rsidRPr="00BA1814">
        <w:rPr>
          <w:i/>
          <w:iCs/>
        </w:rPr>
        <w:tab/>
      </w:r>
      <w:r w:rsidRPr="00BA1814">
        <w:t>que en el Artículo </w:t>
      </w:r>
      <w:r w:rsidRPr="00BA1814">
        <w:rPr>
          <w:rStyle w:val="Artref"/>
          <w:b/>
          <w:bCs/>
        </w:rPr>
        <w:t>18</w:t>
      </w:r>
      <w:r w:rsidRPr="00BA1814">
        <w:t xml:space="preserve"> se especifican las autoridades que pueden conceder licencias para la explotación de estaciones en cualquier territorio,</w:t>
      </w:r>
    </w:p>
    <w:p w14:paraId="6A928607" w14:textId="77777777" w:rsidR="00360342" w:rsidRPr="00BA1814" w:rsidRDefault="00360342" w:rsidP="00671105">
      <w:pPr>
        <w:pStyle w:val="Call"/>
      </w:pPr>
      <w:r w:rsidRPr="00BA1814">
        <w:t>resuelve</w:t>
      </w:r>
    </w:p>
    <w:p w14:paraId="556BF89C" w14:textId="0F769E5F" w:rsidR="00360342" w:rsidRPr="00BA1814" w:rsidRDefault="00360342" w:rsidP="00671105">
      <w:pPr>
        <w:tabs>
          <w:tab w:val="clear" w:pos="1134"/>
          <w:tab w:val="clear" w:pos="1871"/>
          <w:tab w:val="left" w:pos="1170"/>
        </w:tabs>
      </w:pPr>
      <w:r w:rsidRPr="00BA1814">
        <w:t>1</w:t>
      </w:r>
      <w:r w:rsidRPr="00BA1814">
        <w:tab/>
      </w:r>
      <w:r w:rsidR="00FA5BA7" w:rsidRPr="00BA1814">
        <w:t>que las estaciones terrenas ubicadas en el territorio sujeto a la jurisdicción de una administración solo pueden ser explotadas previa autorización de esa administración</w:t>
      </w:r>
      <w:r w:rsidRPr="00BA1814">
        <w:t>;</w:t>
      </w:r>
    </w:p>
    <w:p w14:paraId="28729560" w14:textId="354390C2" w:rsidR="00360342" w:rsidRPr="00BA1814" w:rsidRDefault="00360342" w:rsidP="00671105">
      <w:pPr>
        <w:tabs>
          <w:tab w:val="clear" w:pos="1134"/>
          <w:tab w:val="clear" w:pos="1871"/>
          <w:tab w:val="left" w:pos="1170"/>
        </w:tabs>
        <w:rPr>
          <w:b/>
        </w:rPr>
      </w:pPr>
      <w:r w:rsidRPr="00BA1814">
        <w:t>2</w:t>
      </w:r>
      <w:r w:rsidRPr="00BA1814">
        <w:tab/>
      </w:r>
      <w:r w:rsidR="007E475F" w:rsidRPr="00BA1814">
        <w:t>que el funcionamiento de las estaciones terrenas sea conforme con el Artículo</w:t>
      </w:r>
      <w:r w:rsidRPr="00BA1814">
        <w:t> </w:t>
      </w:r>
      <w:r w:rsidRPr="00BA1814">
        <w:rPr>
          <w:b/>
        </w:rPr>
        <w:t>18</w:t>
      </w:r>
      <w:r w:rsidRPr="00BA1814">
        <w:rPr>
          <w:bCs/>
        </w:rPr>
        <w:t>;</w:t>
      </w:r>
    </w:p>
    <w:p w14:paraId="3C19DF8B" w14:textId="77777777" w:rsidR="00360342" w:rsidRPr="00BA1814" w:rsidRDefault="00360342" w:rsidP="00671105">
      <w:r w:rsidRPr="00BA1814">
        <w:t>3</w:t>
      </w:r>
      <w:r w:rsidRPr="00BA1814">
        <w:tab/>
      </w:r>
      <w:bookmarkStart w:id="6" w:name="lt_pId237"/>
      <w:r w:rsidRPr="00BA1814">
        <w:t>que, cuando se identifique la fuente de una transmisión no autorizada de una estación terrena y se informe a la administración notificante responsable de la red de satélites del SFS identificada, dicha administración notificante cooperará con la administración informante para tomar las medidas adecuadas para resolver el problema de manera satisfactoria y oportuna,</w:t>
      </w:r>
      <w:bookmarkEnd w:id="6"/>
    </w:p>
    <w:p w14:paraId="47A1AD97" w14:textId="77777777" w:rsidR="00360342" w:rsidRPr="00BA1814" w:rsidRDefault="00360342" w:rsidP="00671105">
      <w:pPr>
        <w:pStyle w:val="Call"/>
      </w:pPr>
      <w:r w:rsidRPr="00BA1814">
        <w:t>invita a las administraciones</w:t>
      </w:r>
    </w:p>
    <w:p w14:paraId="208D4862" w14:textId="77777777" w:rsidR="00360342" w:rsidRPr="00BA1814" w:rsidRDefault="00360342" w:rsidP="00671105">
      <w:r w:rsidRPr="00BA1814">
        <w:t>1</w:t>
      </w:r>
      <w:r w:rsidRPr="00BA1814">
        <w:tab/>
        <w:t>a que adopten todas las medidas adecuadas para poner a disposición pública los procedimientos de concesión de licencias y/o autorizaciones relativas al funcionamiento de estaciones terrenas en sus territorios;</w:t>
      </w:r>
    </w:p>
    <w:p w14:paraId="671E98DD" w14:textId="77777777" w:rsidR="00360342" w:rsidRPr="00BA1814" w:rsidRDefault="00360342" w:rsidP="00671105">
      <w:r w:rsidRPr="00BA1814">
        <w:lastRenderedPageBreak/>
        <w:t>2</w:t>
      </w:r>
      <w:r w:rsidRPr="00BA1814">
        <w:tab/>
        <w:t>a que, si detectan el funcionamiento no autorizado de estaciones terrenas en sus territorios, proporcionen la información pertinente a la BR para denunciar los casos;</w:t>
      </w:r>
    </w:p>
    <w:p w14:paraId="1BDB3825" w14:textId="77777777" w:rsidR="00360342" w:rsidRPr="00BA1814" w:rsidRDefault="00360342" w:rsidP="00671105">
      <w:r w:rsidRPr="00BA1814">
        <w:t>3</w:t>
      </w:r>
      <w:r w:rsidRPr="00BA1814">
        <w:tab/>
      </w:r>
      <w:bookmarkStart w:id="7" w:name="lt_pId244"/>
      <w:r w:rsidRPr="00BA1814">
        <w:t>a que, cuando lo solicite la BR u otra administración, cooperen en la medida de lo posible en la identificación de estaciones terrenas no autorizadas a través de servicios de comprobación técnica o geolocalización,</w:t>
      </w:r>
      <w:bookmarkEnd w:id="7"/>
    </w:p>
    <w:p w14:paraId="44059F76" w14:textId="77777777" w:rsidR="00360342" w:rsidRPr="00BA1814" w:rsidRDefault="00360342" w:rsidP="00671105">
      <w:pPr>
        <w:pStyle w:val="Call"/>
      </w:pPr>
      <w:r w:rsidRPr="00BA1814">
        <w:t>encarga al Director de la Oficina de Radiocomunicaciones</w:t>
      </w:r>
    </w:p>
    <w:p w14:paraId="26C3384D" w14:textId="77777777" w:rsidR="00360342" w:rsidRPr="00BA1814" w:rsidRDefault="00360342" w:rsidP="00671105">
      <w:r w:rsidRPr="00BA1814">
        <w:t>1</w:t>
      </w:r>
      <w:r w:rsidRPr="00BA1814">
        <w:tab/>
        <w:t>que, cuando reciba una notificación acompañada de la información disponible de una administración que haya detectado una transmisión de enlace ascendente no autorizada en su territorio, informe inmediatamente a los Estados Miembros y las empresas de explotación de satélites del asunto por conducto de los medios apropiados y colabore con las administraciones interesadas para resolver el problema;</w:t>
      </w:r>
    </w:p>
    <w:p w14:paraId="2A53B1EC" w14:textId="77777777" w:rsidR="00360342" w:rsidRPr="00BA1814" w:rsidRDefault="00360342" w:rsidP="00671105">
      <w:r w:rsidRPr="00BA1814">
        <w:t>2</w:t>
      </w:r>
      <w:r w:rsidRPr="00BA1814">
        <w:tab/>
        <w:t>que informe a las administraciones de los tipos de asistencia que puede prestar la UIT a este respecto,</w:t>
      </w:r>
    </w:p>
    <w:p w14:paraId="67DD7D4E" w14:textId="77777777" w:rsidR="00360342" w:rsidRPr="00BA1814" w:rsidRDefault="00360342" w:rsidP="00671105">
      <w:pPr>
        <w:pStyle w:val="Call"/>
      </w:pPr>
      <w:r w:rsidRPr="00BA1814">
        <w:t>encarga al Secretario General</w:t>
      </w:r>
    </w:p>
    <w:p w14:paraId="371CF99F" w14:textId="77777777" w:rsidR="00360342" w:rsidRPr="00BA1814" w:rsidRDefault="00360342" w:rsidP="00671105">
      <w:r w:rsidRPr="00BA1814">
        <w:t>que destaque la importancia de la presente Resolución y se asegure de que se distribuya a todos los Estados Miembros.</w:t>
      </w:r>
    </w:p>
    <w:p w14:paraId="1466F7EB" w14:textId="77777777" w:rsidR="00360342" w:rsidRPr="00BA1814" w:rsidRDefault="00360342" w:rsidP="00671105">
      <w:pPr>
        <w:pStyle w:val="Reasons"/>
      </w:pPr>
    </w:p>
    <w:p w14:paraId="4D41B7FB" w14:textId="77777777" w:rsidR="00360342" w:rsidRPr="00BA1814" w:rsidRDefault="00360342" w:rsidP="00671105">
      <w:pPr>
        <w:jc w:val="center"/>
      </w:pPr>
      <w:r w:rsidRPr="00BA1814">
        <w:t>______________</w:t>
      </w:r>
    </w:p>
    <w:sectPr w:rsidR="00360342" w:rsidRPr="00BA181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79367" w14:textId="77777777" w:rsidR="003C0613" w:rsidRDefault="003C0613">
      <w:r>
        <w:separator/>
      </w:r>
    </w:p>
  </w:endnote>
  <w:endnote w:type="continuationSeparator" w:id="0">
    <w:p w14:paraId="06E56AA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imes New Roman,Bold">
    <w:altName w:val="ＭＳ 明朝"/>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BEF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552DE6" w14:textId="532E5F5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12CFC">
      <w:rPr>
        <w:noProof/>
      </w:rPr>
      <w:t>22.10.19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580B" w14:textId="4F7DC73D" w:rsidR="0077084A" w:rsidRPr="00671105" w:rsidRDefault="00671105" w:rsidP="00671105">
    <w:pPr>
      <w:pStyle w:val="Footer"/>
      <w:rPr>
        <w:lang w:val="en-US"/>
      </w:rPr>
    </w:pPr>
    <w:r>
      <w:fldChar w:fldCharType="begin"/>
    </w:r>
    <w:r w:rsidRPr="00671105">
      <w:rPr>
        <w:lang w:val="en-US"/>
      </w:rPr>
      <w:instrText xml:space="preserve"> FILENAME \p  \* MERGEFORMAT </w:instrText>
    </w:r>
    <w:r>
      <w:fldChar w:fldCharType="separate"/>
    </w:r>
    <w:r w:rsidRPr="00671105">
      <w:rPr>
        <w:lang w:val="en-US"/>
      </w:rPr>
      <w:t>P:\ESP\ITU-R\CONF-R\CMR19\000\080ADD21ADD07S.docx</w:t>
    </w:r>
    <w:r>
      <w:fldChar w:fldCharType="end"/>
    </w:r>
    <w:r>
      <w:rPr>
        <w:lang w:val="en-US"/>
      </w:rPr>
      <w:t xml:space="preserve"> </w:t>
    </w:r>
    <w:r w:rsidR="00360342" w:rsidRPr="00360342">
      <w:rPr>
        <w:lang w:val="en-GB"/>
      </w:rPr>
      <w:t>(</w:t>
    </w:r>
    <w:r w:rsidR="00360342">
      <w:rPr>
        <w:lang w:val="en-GB"/>
      </w:rPr>
      <w:t>462171</w:t>
    </w:r>
    <w:r w:rsidR="00360342" w:rsidRPr="00360342">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1CB40" w14:textId="61199E35" w:rsidR="00360342" w:rsidRPr="00671105" w:rsidRDefault="00671105" w:rsidP="00671105">
    <w:pPr>
      <w:pStyle w:val="Footer"/>
      <w:rPr>
        <w:lang w:val="en-US"/>
      </w:rPr>
    </w:pPr>
    <w:r>
      <w:fldChar w:fldCharType="begin"/>
    </w:r>
    <w:r w:rsidRPr="00671105">
      <w:rPr>
        <w:lang w:val="en-US"/>
      </w:rPr>
      <w:instrText xml:space="preserve"> FILENAME \p  \* MERGEFORMAT </w:instrText>
    </w:r>
    <w:r>
      <w:fldChar w:fldCharType="separate"/>
    </w:r>
    <w:r w:rsidRPr="00671105">
      <w:rPr>
        <w:lang w:val="en-US"/>
      </w:rPr>
      <w:t>P:\ESP\ITU-R\CONF-R\CMR19\000\080ADD21ADD07S.docx</w:t>
    </w:r>
    <w:r>
      <w:fldChar w:fldCharType="end"/>
    </w:r>
    <w:r>
      <w:rPr>
        <w:lang w:val="en-US"/>
      </w:rPr>
      <w:t xml:space="preserve"> </w:t>
    </w:r>
    <w:r w:rsidR="00360342" w:rsidRPr="00360342">
      <w:rPr>
        <w:lang w:val="en-GB"/>
      </w:rPr>
      <w:t>(</w:t>
    </w:r>
    <w:r w:rsidR="00360342">
      <w:rPr>
        <w:lang w:val="en-GB"/>
      </w:rPr>
      <w:t>462171</w:t>
    </w:r>
    <w:r w:rsidR="00360342" w:rsidRPr="00360342">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A7EF" w14:textId="77777777" w:rsidR="003C0613" w:rsidRDefault="003C0613">
      <w:r>
        <w:rPr>
          <w:b/>
        </w:rPr>
        <w:t>_______________</w:t>
      </w:r>
    </w:p>
  </w:footnote>
  <w:footnote w:type="continuationSeparator" w:id="0">
    <w:p w14:paraId="4145ADED"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B744"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CC96B3" w14:textId="77777777" w:rsidR="0077084A" w:rsidRDefault="008750A8" w:rsidP="00C44E9E">
    <w:pPr>
      <w:pStyle w:val="Header"/>
      <w:rPr>
        <w:lang w:val="en-US"/>
      </w:rPr>
    </w:pPr>
    <w:r>
      <w:rPr>
        <w:lang w:val="en-US"/>
      </w:rPr>
      <w:t>CMR1</w:t>
    </w:r>
    <w:r w:rsidR="00C44E9E">
      <w:rPr>
        <w:lang w:val="en-US"/>
      </w:rPr>
      <w:t>9</w:t>
    </w:r>
    <w:r>
      <w:rPr>
        <w:lang w:val="en-US"/>
      </w:rPr>
      <w:t>/</w:t>
    </w:r>
    <w:r w:rsidR="00702F3D">
      <w:t>80(Add.21)(Add.7)-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3C2"/>
    <w:rsid w:val="0002785D"/>
    <w:rsid w:val="000606D1"/>
    <w:rsid w:val="00083B69"/>
    <w:rsid w:val="00087AE8"/>
    <w:rsid w:val="000A5B9A"/>
    <w:rsid w:val="000E5BF9"/>
    <w:rsid w:val="000F0E6D"/>
    <w:rsid w:val="00121170"/>
    <w:rsid w:val="00123CC5"/>
    <w:rsid w:val="0015142D"/>
    <w:rsid w:val="001616DC"/>
    <w:rsid w:val="00163962"/>
    <w:rsid w:val="00172CE1"/>
    <w:rsid w:val="00191A97"/>
    <w:rsid w:val="0019729C"/>
    <w:rsid w:val="001A083F"/>
    <w:rsid w:val="001C41FA"/>
    <w:rsid w:val="001E2B52"/>
    <w:rsid w:val="001E3F27"/>
    <w:rsid w:val="001E5A20"/>
    <w:rsid w:val="001E7D42"/>
    <w:rsid w:val="0023659C"/>
    <w:rsid w:val="00236D2A"/>
    <w:rsid w:val="0024569E"/>
    <w:rsid w:val="00255F12"/>
    <w:rsid w:val="00262C09"/>
    <w:rsid w:val="002A791F"/>
    <w:rsid w:val="002C1A52"/>
    <w:rsid w:val="002C1B26"/>
    <w:rsid w:val="002C5D6C"/>
    <w:rsid w:val="002E701F"/>
    <w:rsid w:val="003165EF"/>
    <w:rsid w:val="003248A9"/>
    <w:rsid w:val="00324FFA"/>
    <w:rsid w:val="0032680B"/>
    <w:rsid w:val="00360342"/>
    <w:rsid w:val="00363A65"/>
    <w:rsid w:val="003B1E8C"/>
    <w:rsid w:val="003C0613"/>
    <w:rsid w:val="003C2508"/>
    <w:rsid w:val="003D0AA3"/>
    <w:rsid w:val="003E2086"/>
    <w:rsid w:val="003F7F66"/>
    <w:rsid w:val="00412CFC"/>
    <w:rsid w:val="00440B3A"/>
    <w:rsid w:val="0044375A"/>
    <w:rsid w:val="0045384C"/>
    <w:rsid w:val="00454553"/>
    <w:rsid w:val="00472A86"/>
    <w:rsid w:val="0047341F"/>
    <w:rsid w:val="004B124A"/>
    <w:rsid w:val="004B3095"/>
    <w:rsid w:val="004D2C7C"/>
    <w:rsid w:val="005133B5"/>
    <w:rsid w:val="00524392"/>
    <w:rsid w:val="00532097"/>
    <w:rsid w:val="00536851"/>
    <w:rsid w:val="0058350F"/>
    <w:rsid w:val="00583C7E"/>
    <w:rsid w:val="0059098E"/>
    <w:rsid w:val="005D46FB"/>
    <w:rsid w:val="005F2605"/>
    <w:rsid w:val="005F3B0E"/>
    <w:rsid w:val="005F3DB8"/>
    <w:rsid w:val="005F559C"/>
    <w:rsid w:val="00602857"/>
    <w:rsid w:val="006124AD"/>
    <w:rsid w:val="00624009"/>
    <w:rsid w:val="00655523"/>
    <w:rsid w:val="00662BA0"/>
    <w:rsid w:val="00671105"/>
    <w:rsid w:val="0067344B"/>
    <w:rsid w:val="00684A94"/>
    <w:rsid w:val="00692AAE"/>
    <w:rsid w:val="00696654"/>
    <w:rsid w:val="006C0E38"/>
    <w:rsid w:val="006D6E67"/>
    <w:rsid w:val="006E1A13"/>
    <w:rsid w:val="00701C20"/>
    <w:rsid w:val="00702F3D"/>
    <w:rsid w:val="0070518E"/>
    <w:rsid w:val="007354E9"/>
    <w:rsid w:val="00736F6E"/>
    <w:rsid w:val="007424E8"/>
    <w:rsid w:val="0074579D"/>
    <w:rsid w:val="00765578"/>
    <w:rsid w:val="00766333"/>
    <w:rsid w:val="0077084A"/>
    <w:rsid w:val="007952C7"/>
    <w:rsid w:val="007C0B95"/>
    <w:rsid w:val="007C2317"/>
    <w:rsid w:val="007D330A"/>
    <w:rsid w:val="007D437C"/>
    <w:rsid w:val="007E475F"/>
    <w:rsid w:val="00866AE6"/>
    <w:rsid w:val="008750A8"/>
    <w:rsid w:val="0089441A"/>
    <w:rsid w:val="00895264"/>
    <w:rsid w:val="008D3316"/>
    <w:rsid w:val="008E5AF2"/>
    <w:rsid w:val="0090121B"/>
    <w:rsid w:val="009144C9"/>
    <w:rsid w:val="0094091F"/>
    <w:rsid w:val="00943F72"/>
    <w:rsid w:val="00962171"/>
    <w:rsid w:val="00973754"/>
    <w:rsid w:val="009C0BED"/>
    <w:rsid w:val="009C1BE6"/>
    <w:rsid w:val="009D0582"/>
    <w:rsid w:val="009E11EC"/>
    <w:rsid w:val="009F2D5B"/>
    <w:rsid w:val="00A021CC"/>
    <w:rsid w:val="00A118DB"/>
    <w:rsid w:val="00A4450C"/>
    <w:rsid w:val="00AA5E6C"/>
    <w:rsid w:val="00AE5677"/>
    <w:rsid w:val="00AE658F"/>
    <w:rsid w:val="00AF2F78"/>
    <w:rsid w:val="00B239FA"/>
    <w:rsid w:val="00B372AB"/>
    <w:rsid w:val="00B47331"/>
    <w:rsid w:val="00B52D55"/>
    <w:rsid w:val="00B8288C"/>
    <w:rsid w:val="00B86034"/>
    <w:rsid w:val="00BA1814"/>
    <w:rsid w:val="00BE2E80"/>
    <w:rsid w:val="00BE5EDD"/>
    <w:rsid w:val="00BE6A1F"/>
    <w:rsid w:val="00C126C4"/>
    <w:rsid w:val="00C44E9E"/>
    <w:rsid w:val="00C63EB5"/>
    <w:rsid w:val="00C87DA7"/>
    <w:rsid w:val="00C96EC8"/>
    <w:rsid w:val="00CC01E0"/>
    <w:rsid w:val="00CD5FEE"/>
    <w:rsid w:val="00CE60D2"/>
    <w:rsid w:val="00CE7431"/>
    <w:rsid w:val="00D00CA8"/>
    <w:rsid w:val="00D0288A"/>
    <w:rsid w:val="00D72A5D"/>
    <w:rsid w:val="00DA1301"/>
    <w:rsid w:val="00DA71A3"/>
    <w:rsid w:val="00DC629B"/>
    <w:rsid w:val="00DE1C31"/>
    <w:rsid w:val="00E05BFF"/>
    <w:rsid w:val="00E262F1"/>
    <w:rsid w:val="00E3176A"/>
    <w:rsid w:val="00E322D6"/>
    <w:rsid w:val="00E36CE4"/>
    <w:rsid w:val="00E54754"/>
    <w:rsid w:val="00E56BD3"/>
    <w:rsid w:val="00E71D14"/>
    <w:rsid w:val="00EA1B4A"/>
    <w:rsid w:val="00EA77F0"/>
    <w:rsid w:val="00EE7ECE"/>
    <w:rsid w:val="00F17D35"/>
    <w:rsid w:val="00F27086"/>
    <w:rsid w:val="00F32316"/>
    <w:rsid w:val="00F66597"/>
    <w:rsid w:val="00F675D0"/>
    <w:rsid w:val="00F8150C"/>
    <w:rsid w:val="00FA5BA7"/>
    <w:rsid w:val="00FD03C4"/>
    <w:rsid w:val="00FD4A2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34A4F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qFormat/>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qFormat/>
    <w:locked/>
    <w:rsid w:val="00360342"/>
    <w:rPr>
      <w:rFonts w:ascii="Times New Roman" w:hAnsi="Times New Roman"/>
      <w:sz w:val="24"/>
      <w:lang w:val="es-ES_tradnl" w:eastAsia="en-US"/>
    </w:rPr>
  </w:style>
  <w:style w:type="paragraph" w:customStyle="1" w:styleId="Normalaftertitle0">
    <w:name w:val="Normal_after_title"/>
    <w:basedOn w:val="Normal"/>
    <w:next w:val="Normal"/>
    <w:link w:val="NormalaftertitleChar"/>
    <w:uiPriority w:val="99"/>
    <w:qFormat/>
    <w:rsid w:val="00360342"/>
    <w:pPr>
      <w:spacing w:before="360"/>
    </w:pPr>
  </w:style>
  <w:style w:type="character" w:customStyle="1" w:styleId="CallChar">
    <w:name w:val="Call Char"/>
    <w:basedOn w:val="DefaultParagraphFont"/>
    <w:link w:val="Call"/>
    <w:qFormat/>
    <w:locked/>
    <w:rsid w:val="00360342"/>
    <w:rPr>
      <w:rFonts w:ascii="Times New Roman" w:hAnsi="Times New Roman"/>
      <w:i/>
      <w:sz w:val="24"/>
      <w:lang w:val="es-ES_tradnl" w:eastAsia="en-US"/>
    </w:rPr>
  </w:style>
  <w:style w:type="character" w:customStyle="1" w:styleId="RestitleChar">
    <w:name w:val="Res_title Char"/>
    <w:basedOn w:val="DefaultParagraphFont"/>
    <w:link w:val="Restitle"/>
    <w:qFormat/>
    <w:locked/>
    <w:rsid w:val="00360342"/>
    <w:rPr>
      <w:rFonts w:ascii="Times New Roman Bold" w:hAnsi="Times New Roman Bold"/>
      <w:b/>
      <w:sz w:val="28"/>
      <w:lang w:val="es-ES_tradnl" w:eastAsia="en-US"/>
    </w:rPr>
  </w:style>
  <w:style w:type="character" w:customStyle="1" w:styleId="ResNoChar">
    <w:name w:val="Res_No Char"/>
    <w:basedOn w:val="DefaultParagraphFont"/>
    <w:link w:val="ResNo"/>
    <w:qFormat/>
    <w:locked/>
    <w:rsid w:val="00360342"/>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0"/>
    <w:uiPriority w:val="99"/>
    <w:qFormat/>
    <w:locked/>
    <w:rsid w:val="00360342"/>
    <w:rPr>
      <w:rFonts w:ascii="Times New Roman" w:hAnsi="Times New Roman"/>
      <w:sz w:val="24"/>
      <w:lang w:val="es-ES_tradnl" w:eastAsia="en-US"/>
    </w:rPr>
  </w:style>
  <w:style w:type="character" w:customStyle="1" w:styleId="ReasonsChar">
    <w:name w:val="Reasons Char"/>
    <w:basedOn w:val="DefaultParagraphFont"/>
    <w:link w:val="Reasons"/>
    <w:locked/>
    <w:rsid w:val="00360342"/>
    <w:rPr>
      <w:rFonts w:ascii="Times New Roman" w:hAnsi="Times New Roman"/>
      <w:sz w:val="24"/>
      <w:lang w:val="es-ES_tradnl" w:eastAsia="en-US"/>
    </w:rPr>
  </w:style>
  <w:style w:type="paragraph" w:styleId="BalloonText">
    <w:name w:val="Balloon Text"/>
    <w:basedOn w:val="Normal"/>
    <w:link w:val="BalloonTextChar"/>
    <w:semiHidden/>
    <w:unhideWhenUsed/>
    <w:rsid w:val="007E475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E475F"/>
    <w:rPr>
      <w:rFonts w:ascii="Segoe UI" w:hAnsi="Segoe UI" w:cs="Segoe UI"/>
      <w:sz w:val="18"/>
      <w:szCs w:val="18"/>
      <w:lang w:val="es-ES_tradnl" w:eastAsia="en-US"/>
    </w:rPr>
  </w:style>
  <w:style w:type="paragraph" w:styleId="Revision">
    <w:name w:val="Revision"/>
    <w:hidden/>
    <w:uiPriority w:val="99"/>
    <w:semiHidden/>
    <w:rsid w:val="00F2708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A29E9774-5B54-4D5C-9C0D-168EFDFD923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F8A70-7108-4363-B95E-3F74A402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1253</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R16-WRC19-C-0080!A21-A7!MSW-S</vt:lpstr>
    </vt:vector>
  </TitlesOfParts>
  <Manager>Secretaría General - Pool</Manager>
  <Company>Unión Internacional de Telecomunicaciones (UIT)</Company>
  <LinksUpToDate>false</LinksUpToDate>
  <CharactersWithSpaces>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R16-WRC19-C-0080!A21-A7!MSW-S</dc:title>
  <dc:subject>Conferencia Mundial de Radiocomunicaciones - 2019</dc:subject>
  <dc:creator>Documents Proposals Manager (DPM)</dc:creator>
  <cp:keywords>DPM_v2019.10.15.2_prod</cp:keywords>
  <dc:description/>
  <cp:lastModifiedBy>Spanish</cp:lastModifiedBy>
  <cp:revision>20</cp:revision>
  <cp:lastPrinted>2003-02-19T20:20:00Z</cp:lastPrinted>
  <dcterms:created xsi:type="dcterms:W3CDTF">2019-10-22T17:09:00Z</dcterms:created>
  <dcterms:modified xsi:type="dcterms:W3CDTF">2019-10-22T23:12:00Z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