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03B32" w14:paraId="14C450DB" w14:textId="77777777" w:rsidTr="0050008E">
        <w:trPr>
          <w:cantSplit/>
        </w:trPr>
        <w:tc>
          <w:tcPr>
            <w:tcW w:w="6911" w:type="dxa"/>
          </w:tcPr>
          <w:p w14:paraId="37536EFB" w14:textId="77777777" w:rsidR="0090121B" w:rsidRPr="00003B32" w:rsidRDefault="005D46FB" w:rsidP="00957D8E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003B32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003B32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003B32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003B32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003B32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003B32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003B32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003B32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003B32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003B32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003B32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003B32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003B32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120" w:type="dxa"/>
          </w:tcPr>
          <w:p w14:paraId="16D56D07" w14:textId="77777777" w:rsidR="0090121B" w:rsidRPr="00003B32" w:rsidRDefault="00DA71A3" w:rsidP="00957D8E">
            <w:pPr>
              <w:spacing w:before="0"/>
              <w:jc w:val="right"/>
              <w:rPr>
                <w:lang w:val="es-ES"/>
              </w:rPr>
            </w:pPr>
            <w:r w:rsidRPr="00003B32">
              <w:rPr>
                <w:rFonts w:ascii="Verdana" w:hAnsi="Verdana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5B2209B2" wp14:editId="43DADB2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03B32" w14:paraId="572FBA98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A5E9496" w14:textId="77777777" w:rsidR="0090121B" w:rsidRPr="00003B32" w:rsidRDefault="0090121B" w:rsidP="00957D8E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9770CB8" w14:textId="77777777" w:rsidR="0090121B" w:rsidRPr="00003B32" w:rsidRDefault="0090121B" w:rsidP="00957D8E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003B32" w14:paraId="0F16F8E7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164B8F" w14:textId="77777777" w:rsidR="0090121B" w:rsidRPr="00003B32" w:rsidRDefault="0090121B" w:rsidP="00957D8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5D8DD5" w14:textId="77777777" w:rsidR="0090121B" w:rsidRPr="00003B32" w:rsidRDefault="0090121B" w:rsidP="00957D8E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003B32" w14:paraId="5639B472" w14:textId="77777777" w:rsidTr="0090121B">
        <w:trPr>
          <w:cantSplit/>
        </w:trPr>
        <w:tc>
          <w:tcPr>
            <w:tcW w:w="6911" w:type="dxa"/>
          </w:tcPr>
          <w:p w14:paraId="7F576532" w14:textId="77777777" w:rsidR="0090121B" w:rsidRPr="00003B32" w:rsidRDefault="001E7D42" w:rsidP="00957D8E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"/>
              </w:rPr>
            </w:pPr>
            <w:r w:rsidRPr="00003B32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56D2209B" w14:textId="77777777" w:rsidR="0090121B" w:rsidRPr="00003B32" w:rsidRDefault="00AE658F" w:rsidP="00957D8E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003B32">
              <w:rPr>
                <w:rFonts w:ascii="Verdana" w:hAnsi="Verdana"/>
                <w:b/>
                <w:sz w:val="18"/>
                <w:szCs w:val="18"/>
                <w:lang w:val="es-ES"/>
              </w:rPr>
              <w:t>Addéndum 1 al</w:t>
            </w:r>
            <w:r w:rsidRPr="00003B32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80(Add.21)</w:t>
            </w:r>
            <w:r w:rsidR="0090121B" w:rsidRPr="00003B32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003B32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003B32" w14:paraId="6A8EB13A" w14:textId="77777777" w:rsidTr="0090121B">
        <w:trPr>
          <w:cantSplit/>
        </w:trPr>
        <w:tc>
          <w:tcPr>
            <w:tcW w:w="6911" w:type="dxa"/>
          </w:tcPr>
          <w:p w14:paraId="7ECC66F5" w14:textId="77777777" w:rsidR="000A5B9A" w:rsidRPr="00003B32" w:rsidRDefault="000A5B9A" w:rsidP="00957D8E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0296B447" w14:textId="77777777" w:rsidR="000A5B9A" w:rsidRPr="00003B32" w:rsidRDefault="000A5B9A" w:rsidP="00957D8E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003B32">
              <w:rPr>
                <w:rFonts w:ascii="Verdana" w:hAnsi="Verdana"/>
                <w:b/>
                <w:sz w:val="18"/>
                <w:szCs w:val="18"/>
                <w:lang w:val="es-ES"/>
              </w:rPr>
              <w:t>9 de octubre de 2019</w:t>
            </w:r>
          </w:p>
        </w:tc>
      </w:tr>
      <w:tr w:rsidR="000A5B9A" w:rsidRPr="00003B32" w14:paraId="4CA44939" w14:textId="77777777" w:rsidTr="0090121B">
        <w:trPr>
          <w:cantSplit/>
        </w:trPr>
        <w:tc>
          <w:tcPr>
            <w:tcW w:w="6911" w:type="dxa"/>
          </w:tcPr>
          <w:p w14:paraId="7F31E911" w14:textId="77777777" w:rsidR="000A5B9A" w:rsidRPr="00003B32" w:rsidRDefault="000A5B9A" w:rsidP="00957D8E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38C730B4" w14:textId="77777777" w:rsidR="000A5B9A" w:rsidRPr="00003B32" w:rsidRDefault="000A5B9A" w:rsidP="00957D8E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003B32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003B32" w14:paraId="0E75FC74" w14:textId="77777777" w:rsidTr="006744FC">
        <w:trPr>
          <w:cantSplit/>
        </w:trPr>
        <w:tc>
          <w:tcPr>
            <w:tcW w:w="10031" w:type="dxa"/>
            <w:gridSpan w:val="2"/>
          </w:tcPr>
          <w:p w14:paraId="5599F5C2" w14:textId="77777777" w:rsidR="000A5B9A" w:rsidRPr="00003B32" w:rsidRDefault="000A5B9A" w:rsidP="00957D8E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003B32" w14:paraId="689F3C62" w14:textId="77777777" w:rsidTr="0050008E">
        <w:trPr>
          <w:cantSplit/>
        </w:trPr>
        <w:tc>
          <w:tcPr>
            <w:tcW w:w="10031" w:type="dxa"/>
            <w:gridSpan w:val="2"/>
          </w:tcPr>
          <w:p w14:paraId="5F62B3F9" w14:textId="77777777" w:rsidR="000A5B9A" w:rsidRPr="00003B32" w:rsidRDefault="000A5B9A" w:rsidP="00957D8E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003B32">
              <w:rPr>
                <w:lang w:val="es-ES"/>
              </w:rPr>
              <w:t>Japón</w:t>
            </w:r>
          </w:p>
        </w:tc>
      </w:tr>
      <w:tr w:rsidR="000A5B9A" w:rsidRPr="00003B32" w14:paraId="06A0955E" w14:textId="77777777" w:rsidTr="0050008E">
        <w:trPr>
          <w:cantSplit/>
        </w:trPr>
        <w:tc>
          <w:tcPr>
            <w:tcW w:w="10031" w:type="dxa"/>
            <w:gridSpan w:val="2"/>
          </w:tcPr>
          <w:p w14:paraId="3FDC6F24" w14:textId="77777777" w:rsidR="000A5B9A" w:rsidRPr="00003B32" w:rsidRDefault="000A5B9A" w:rsidP="00957D8E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003B32">
              <w:rPr>
                <w:lang w:val="es-ES"/>
              </w:rPr>
              <w:t>Propuestas para los trabajos de la Conferencia</w:t>
            </w:r>
          </w:p>
        </w:tc>
      </w:tr>
      <w:tr w:rsidR="000A5B9A" w:rsidRPr="00003B32" w14:paraId="5B9DA45B" w14:textId="77777777" w:rsidTr="0050008E">
        <w:trPr>
          <w:cantSplit/>
        </w:trPr>
        <w:tc>
          <w:tcPr>
            <w:tcW w:w="10031" w:type="dxa"/>
            <w:gridSpan w:val="2"/>
          </w:tcPr>
          <w:p w14:paraId="598EF018" w14:textId="77777777" w:rsidR="000A5B9A" w:rsidRPr="00003B32" w:rsidRDefault="000A5B9A" w:rsidP="00957D8E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003B32" w14:paraId="0FE7AF88" w14:textId="77777777" w:rsidTr="0050008E">
        <w:trPr>
          <w:cantSplit/>
        </w:trPr>
        <w:tc>
          <w:tcPr>
            <w:tcW w:w="10031" w:type="dxa"/>
            <w:gridSpan w:val="2"/>
          </w:tcPr>
          <w:p w14:paraId="49B71684" w14:textId="77777777" w:rsidR="000A5B9A" w:rsidRPr="00003B32" w:rsidRDefault="000A5B9A" w:rsidP="00957D8E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003B32">
              <w:rPr>
                <w:lang w:val="es-ES"/>
              </w:rPr>
              <w:t>Punto 9.1(9.1.1) del orden del día</w:t>
            </w:r>
          </w:p>
        </w:tc>
      </w:tr>
    </w:tbl>
    <w:bookmarkEnd w:id="4"/>
    <w:p w14:paraId="4645A542" w14:textId="77777777" w:rsidR="001C0E40" w:rsidRPr="00003B32" w:rsidRDefault="00362A08" w:rsidP="00957D8E">
      <w:pPr>
        <w:rPr>
          <w:lang w:val="es-ES"/>
        </w:rPr>
      </w:pPr>
      <w:r w:rsidRPr="00003B32">
        <w:rPr>
          <w:lang w:val="es-ES"/>
        </w:rPr>
        <w:t>9</w:t>
      </w:r>
      <w:r w:rsidRPr="00003B32">
        <w:rPr>
          <w:lang w:val="es-ES"/>
        </w:rPr>
        <w:tab/>
        <w:t>examinar y aprobar el Informe del Director de la Oficina de Radiocomunicaciones, de conformidad con el Artículo 7 del Convenio:</w:t>
      </w:r>
    </w:p>
    <w:p w14:paraId="78E1BF4C" w14:textId="77777777" w:rsidR="001C0E40" w:rsidRPr="00003B32" w:rsidRDefault="00362A08" w:rsidP="00957D8E">
      <w:pPr>
        <w:rPr>
          <w:lang w:val="es-ES"/>
        </w:rPr>
      </w:pPr>
      <w:r w:rsidRPr="00003B32">
        <w:rPr>
          <w:lang w:val="es-ES"/>
        </w:rPr>
        <w:t>9.1</w:t>
      </w:r>
      <w:r w:rsidRPr="00003B32">
        <w:rPr>
          <w:lang w:val="es-ES"/>
        </w:rPr>
        <w:tab/>
        <w:t>sobre las actividades del Sector de Radiocomunicaciones desde la CMR</w:t>
      </w:r>
      <w:r w:rsidRPr="00003B32">
        <w:rPr>
          <w:lang w:val="es-ES"/>
        </w:rPr>
        <w:noBreakHyphen/>
        <w:t>15;</w:t>
      </w:r>
    </w:p>
    <w:p w14:paraId="0774BD26" w14:textId="77777777" w:rsidR="001C0E40" w:rsidRPr="00003B32" w:rsidRDefault="00362A08" w:rsidP="00957D8E">
      <w:pPr>
        <w:rPr>
          <w:lang w:val="es-ES"/>
        </w:rPr>
      </w:pPr>
      <w:r w:rsidRPr="00003B32">
        <w:rPr>
          <w:rFonts w:cstheme="majorBidi"/>
          <w:color w:val="000000"/>
          <w:szCs w:val="24"/>
          <w:lang w:val="es-ES" w:eastAsia="zh-CN"/>
        </w:rPr>
        <w:t>9.1 (</w:t>
      </w:r>
      <w:r w:rsidRPr="00003B32">
        <w:rPr>
          <w:lang w:val="es-ES" w:eastAsia="zh-CN"/>
        </w:rPr>
        <w:t>9.1.1)</w:t>
      </w:r>
      <w:r w:rsidRPr="00003B32">
        <w:rPr>
          <w:lang w:val="es-ES"/>
        </w:rPr>
        <w:tab/>
      </w:r>
      <w:hyperlink w:anchor="RES_212" w:history="1">
        <w:r w:rsidRPr="00003B32">
          <w:rPr>
            <w:lang w:val="es-ES"/>
          </w:rPr>
          <w:t xml:space="preserve">Resolución </w:t>
        </w:r>
        <w:r w:rsidRPr="00003B32">
          <w:rPr>
            <w:b/>
            <w:bCs/>
            <w:lang w:val="es-ES"/>
          </w:rPr>
          <w:t>212 (Rev.CMR-15)</w:t>
        </w:r>
      </w:hyperlink>
      <w:r w:rsidRPr="00003B32">
        <w:rPr>
          <w:lang w:val="es-ES"/>
        </w:rPr>
        <w:t xml:space="preserve"> – Introducción de las telecomunicaciones móviles internacionales (IMT) en las bandas de frecuencias 1 885-2 025 MHz y 2 110-2 200 MHz</w:t>
      </w:r>
    </w:p>
    <w:p w14:paraId="2AFBB12C" w14:textId="374831C8" w:rsidR="0034244A" w:rsidRPr="00003B32" w:rsidRDefault="0034244A" w:rsidP="00957D8E">
      <w:pPr>
        <w:pStyle w:val="Heading1"/>
        <w:rPr>
          <w:lang w:val="es-ES"/>
        </w:rPr>
      </w:pPr>
      <w:r w:rsidRPr="00003B32">
        <w:rPr>
          <w:lang w:val="es-ES"/>
        </w:rPr>
        <w:t>1</w:t>
      </w:r>
      <w:r w:rsidRPr="00003B32">
        <w:rPr>
          <w:lang w:val="es-ES"/>
        </w:rPr>
        <w:tab/>
        <w:t>Antecedentes</w:t>
      </w:r>
    </w:p>
    <w:p w14:paraId="67AA8664" w14:textId="2B9C04F5" w:rsidR="0034244A" w:rsidRPr="00003B32" w:rsidRDefault="00A70423" w:rsidP="00957D8E">
      <w:pPr>
        <w:rPr>
          <w:lang w:val="es-ES"/>
        </w:rPr>
      </w:pPr>
      <w:r>
        <w:rPr>
          <w:lang w:val="es-ES"/>
        </w:rPr>
        <w:t xml:space="preserve">La </w:t>
      </w:r>
      <w:r w:rsidRPr="00003B32">
        <w:rPr>
          <w:lang w:val="es-ES"/>
        </w:rPr>
        <w:t>Resolución</w:t>
      </w:r>
      <w:r w:rsidR="0034244A" w:rsidRPr="00003B32">
        <w:rPr>
          <w:lang w:val="es-ES"/>
        </w:rPr>
        <w:t xml:space="preserve"> </w:t>
      </w:r>
      <w:r w:rsidR="0034244A" w:rsidRPr="00003B32">
        <w:rPr>
          <w:b/>
          <w:lang w:val="es-ES"/>
        </w:rPr>
        <w:t>212 (Rev.</w:t>
      </w:r>
      <w:r>
        <w:rPr>
          <w:b/>
          <w:lang w:val="es-ES"/>
        </w:rPr>
        <w:t>CMR</w:t>
      </w:r>
      <w:r w:rsidR="0034244A" w:rsidRPr="00003B32">
        <w:rPr>
          <w:b/>
          <w:lang w:val="es-ES"/>
        </w:rPr>
        <w:t xml:space="preserve">-15) </w:t>
      </w:r>
      <w:r w:rsidR="0034244A" w:rsidRPr="00003B32">
        <w:rPr>
          <w:lang w:val="es-ES"/>
        </w:rPr>
        <w:t>invita al UIT-R a estudiar las posibles medidas técnicas y operativas que garanticen la coexistencia y la compatibilidad entre la componente terrenal de las</w:t>
      </w:r>
      <w:r w:rsidR="00D84D9C">
        <w:rPr>
          <w:lang w:val="es-ES"/>
        </w:rPr>
        <w:t> </w:t>
      </w:r>
      <w:r w:rsidR="0034244A" w:rsidRPr="00003B32">
        <w:rPr>
          <w:lang w:val="es-ES"/>
        </w:rPr>
        <w:t>IMT (en el servicio móvil) y la componente de satélite de las IMT (en el servicio móvil por satélite) en las bandas de frecuencias 1 980-2 010 MHz y 2 170-2 200 MHz, cuando el servicio móvil y el servicio móvil por satélite compartan esas bandas de frecuencias en distintos países, sobre todo para la implantación de componentes terrenales y de satélite de las IMT independientes y para facilitar el desarrollo de las componentes tanto terrenales como de satélite de las IMT.</w:t>
      </w:r>
    </w:p>
    <w:p w14:paraId="49E37824" w14:textId="3CF3C751" w:rsidR="0034244A" w:rsidRPr="00003B32" w:rsidRDefault="00A70423" w:rsidP="00957D8E">
      <w:pPr>
        <w:rPr>
          <w:lang w:val="es-ES"/>
        </w:rPr>
      </w:pPr>
      <w:r>
        <w:rPr>
          <w:lang w:val="es-ES"/>
        </w:rPr>
        <w:t>L</w:t>
      </w:r>
      <w:r w:rsidRPr="00A70423">
        <w:rPr>
          <w:lang w:val="es-ES"/>
        </w:rPr>
        <w:t>a CAMR-92 identificó</w:t>
      </w:r>
      <w:r>
        <w:rPr>
          <w:lang w:val="es-ES"/>
        </w:rPr>
        <w:t xml:space="preserve"> algunas</w:t>
      </w:r>
      <w:r w:rsidRPr="00A70423">
        <w:rPr>
          <w:lang w:val="es-ES"/>
        </w:rPr>
        <w:t xml:space="preserve"> bandas de frecuencias para determinados servicios móviles que ahora se denominan IMT</w:t>
      </w:r>
      <w:r w:rsidR="0034244A" w:rsidRPr="00003B32">
        <w:rPr>
          <w:lang w:val="es-ES"/>
        </w:rPr>
        <w:t>. Las bandas de frecuencias 1 885-2 025 MHz y 2 110-2 200 MHz se identifican en el Reglamento de Radiocomunicaciones (RR) para su utilización por las IMT. En estas gamas de frecuencias, las bandas de frecuencias 1 980</w:t>
      </w:r>
      <w:r w:rsidR="0034244A" w:rsidRPr="00003B32">
        <w:rPr>
          <w:lang w:val="es-ES"/>
        </w:rPr>
        <w:noBreakHyphen/>
        <w:t>2 010 MHz y 2 170-2 200 MHz están atribuidas al</w:t>
      </w:r>
      <w:r w:rsidR="0069596B">
        <w:rPr>
          <w:lang w:val="es-ES"/>
        </w:rPr>
        <w:t xml:space="preserve"> servicio fijo</w:t>
      </w:r>
      <w:r w:rsidR="0034244A" w:rsidRPr="00003B32">
        <w:rPr>
          <w:lang w:val="es-ES"/>
        </w:rPr>
        <w:t xml:space="preserve"> </w:t>
      </w:r>
      <w:r w:rsidR="0069596B">
        <w:rPr>
          <w:lang w:val="es-ES"/>
        </w:rPr>
        <w:t>(</w:t>
      </w:r>
      <w:r w:rsidR="0034244A" w:rsidRPr="00003B32">
        <w:rPr>
          <w:lang w:val="es-ES"/>
        </w:rPr>
        <w:t>SF</w:t>
      </w:r>
      <w:r w:rsidR="0069596B">
        <w:rPr>
          <w:lang w:val="es-ES"/>
        </w:rPr>
        <w:t>)</w:t>
      </w:r>
      <w:r w:rsidR="0034244A" w:rsidRPr="00003B32">
        <w:rPr>
          <w:lang w:val="es-ES"/>
        </w:rPr>
        <w:t>,</w:t>
      </w:r>
      <w:r w:rsidR="0069596B">
        <w:rPr>
          <w:lang w:val="es-ES"/>
        </w:rPr>
        <w:t xml:space="preserve"> al servicio móvil</w:t>
      </w:r>
      <w:r w:rsidR="0034244A" w:rsidRPr="00003B32">
        <w:rPr>
          <w:lang w:val="es-ES"/>
        </w:rPr>
        <w:t xml:space="preserve"> </w:t>
      </w:r>
      <w:r w:rsidR="0069596B">
        <w:rPr>
          <w:lang w:val="es-ES"/>
        </w:rPr>
        <w:t>(</w:t>
      </w:r>
      <w:r w:rsidR="0034244A" w:rsidRPr="00003B32">
        <w:rPr>
          <w:lang w:val="es-ES"/>
        </w:rPr>
        <w:t>SM</w:t>
      </w:r>
      <w:r w:rsidR="0069596B">
        <w:rPr>
          <w:lang w:val="es-ES"/>
        </w:rPr>
        <w:t>)</w:t>
      </w:r>
      <w:r w:rsidR="0034244A" w:rsidRPr="00003B32">
        <w:rPr>
          <w:lang w:val="es-ES"/>
        </w:rPr>
        <w:t xml:space="preserve"> y </w:t>
      </w:r>
      <w:r w:rsidR="0069596B">
        <w:rPr>
          <w:lang w:val="es-ES"/>
        </w:rPr>
        <w:t>a</w:t>
      </w:r>
      <w:r w:rsidR="0034244A" w:rsidRPr="00003B32">
        <w:rPr>
          <w:lang w:val="es-ES"/>
        </w:rPr>
        <w:t>l</w:t>
      </w:r>
      <w:r w:rsidR="0069596B">
        <w:rPr>
          <w:lang w:val="es-ES"/>
        </w:rPr>
        <w:t xml:space="preserve"> servicio móvil por satélite</w:t>
      </w:r>
      <w:r w:rsidR="0034244A" w:rsidRPr="00003B32">
        <w:rPr>
          <w:lang w:val="es-ES"/>
        </w:rPr>
        <w:t xml:space="preserve"> </w:t>
      </w:r>
      <w:r w:rsidR="0069596B">
        <w:rPr>
          <w:lang w:val="es-ES"/>
        </w:rPr>
        <w:t>(</w:t>
      </w:r>
      <w:r w:rsidR="0034244A" w:rsidRPr="00003B32">
        <w:rPr>
          <w:lang w:val="es-ES"/>
        </w:rPr>
        <w:t>SMS</w:t>
      </w:r>
      <w:r w:rsidR="0069596B">
        <w:rPr>
          <w:lang w:val="es-ES"/>
        </w:rPr>
        <w:t>)</w:t>
      </w:r>
      <w:r w:rsidR="0034244A" w:rsidRPr="00003B32">
        <w:rPr>
          <w:lang w:val="es-ES"/>
        </w:rPr>
        <w:t xml:space="preserve"> a título primario con igualdad de derechos</w:t>
      </w:r>
      <w:r w:rsidR="0069596B">
        <w:rPr>
          <w:lang w:val="es-ES"/>
        </w:rPr>
        <w:t>, sin ninguna restricción en cuanto a la u</w:t>
      </w:r>
      <w:r w:rsidR="0069596B" w:rsidRPr="0069596B">
        <w:rPr>
          <w:lang w:val="es-ES"/>
        </w:rPr>
        <w:t>tilización de banda</w:t>
      </w:r>
      <w:r w:rsidR="0069596B">
        <w:rPr>
          <w:lang w:val="es-ES"/>
        </w:rPr>
        <w:t>s</w:t>
      </w:r>
      <w:r w:rsidR="0069596B" w:rsidRPr="0069596B">
        <w:rPr>
          <w:lang w:val="es-ES"/>
        </w:rPr>
        <w:t xml:space="preserve"> de frecuencias</w:t>
      </w:r>
      <w:r w:rsidR="0069596B">
        <w:rPr>
          <w:lang w:val="es-ES"/>
        </w:rPr>
        <w:t xml:space="preserve"> del SM</w:t>
      </w:r>
      <w:r w:rsidR="0034244A" w:rsidRPr="00003B32">
        <w:rPr>
          <w:lang w:val="es-ES"/>
        </w:rPr>
        <w:t>. La atribución al SMS es en sentido Tierra</w:t>
      </w:r>
      <w:r w:rsidR="0034244A" w:rsidRPr="00003B32">
        <w:rPr>
          <w:lang w:val="es-ES"/>
        </w:rPr>
        <w:noBreakHyphen/>
        <w:t>espacio en la banda de frecuencias 1 980-2 010 MHz y en sentido espacio</w:t>
      </w:r>
      <w:r w:rsidR="0034244A" w:rsidRPr="00003B32">
        <w:rPr>
          <w:lang w:val="es-ES"/>
        </w:rPr>
        <w:noBreakHyphen/>
        <w:t>Tierra en la banda de frecuencias 2 170</w:t>
      </w:r>
      <w:r w:rsidR="0034244A" w:rsidRPr="00003B32">
        <w:rPr>
          <w:lang w:val="es-ES"/>
        </w:rPr>
        <w:noBreakHyphen/>
        <w:t>2 200 MHz. Ya se han implantado o se está estudiando la implantación de las componentes de satélite y terrenal de las</w:t>
      </w:r>
      <w:r w:rsidR="00D84D9C">
        <w:rPr>
          <w:lang w:val="es-ES"/>
        </w:rPr>
        <w:t> </w:t>
      </w:r>
      <w:r w:rsidR="0034244A" w:rsidRPr="00003B32">
        <w:rPr>
          <w:lang w:val="es-ES"/>
        </w:rPr>
        <w:t>IMT en las bandas de frecuencias 1 980-2 010 MHz y 2 170-2 200 MHz.</w:t>
      </w:r>
    </w:p>
    <w:p w14:paraId="73FCCF6D" w14:textId="783BDCAA" w:rsidR="0034244A" w:rsidRPr="00003B32" w:rsidRDefault="0069596B" w:rsidP="00957D8E">
      <w:pPr>
        <w:rPr>
          <w:iCs/>
          <w:lang w:val="es-ES"/>
        </w:rPr>
      </w:pPr>
      <w:r>
        <w:rPr>
          <w:lang w:val="es-ES"/>
        </w:rPr>
        <w:t>Se o</w:t>
      </w:r>
      <w:r w:rsidR="0034244A" w:rsidRPr="00003B32">
        <w:rPr>
          <w:lang w:val="es-ES"/>
        </w:rPr>
        <w:t>bserv</w:t>
      </w:r>
      <w:r>
        <w:rPr>
          <w:lang w:val="es-ES"/>
        </w:rPr>
        <w:t>ó</w:t>
      </w:r>
      <w:r w:rsidR="0034244A" w:rsidRPr="00003B32">
        <w:rPr>
          <w:lang w:val="es-ES"/>
        </w:rPr>
        <w:t xml:space="preserve"> </w:t>
      </w:r>
      <w:r w:rsidR="00E933F7">
        <w:rPr>
          <w:lang w:val="es-ES"/>
        </w:rPr>
        <w:t>que</w:t>
      </w:r>
      <w:r w:rsidR="00E933F7" w:rsidRPr="00E933F7">
        <w:rPr>
          <w:iCs/>
          <w:lang w:val="es-ES"/>
        </w:rPr>
        <w:t xml:space="preserve"> no es posible la implantación de las componentes terrenal y de satélite de las IMT independientes en la misma frecuencia y zona de cobertura a menos que se empleen técnicas como la utilización de una banda de guarda adecuada, u otras técnicas de reducción de la interferencia, a </w:t>
      </w:r>
      <w:r w:rsidR="00E933F7" w:rsidRPr="00E933F7">
        <w:rPr>
          <w:iCs/>
          <w:lang w:val="es-ES"/>
        </w:rPr>
        <w:lastRenderedPageBreak/>
        <w:t>fin de garantizar la coexistencia y la compatibilidad entre las componentes terrenal y de satélite de las</w:t>
      </w:r>
      <w:r w:rsidR="00D84D9C">
        <w:rPr>
          <w:iCs/>
          <w:lang w:val="es-ES"/>
        </w:rPr>
        <w:t> </w:t>
      </w:r>
      <w:r w:rsidR="00E933F7" w:rsidRPr="00E933F7">
        <w:rPr>
          <w:iCs/>
          <w:lang w:val="es-ES"/>
        </w:rPr>
        <w:t>IMT</w:t>
      </w:r>
      <w:r w:rsidR="0034244A" w:rsidRPr="00003B32">
        <w:rPr>
          <w:iCs/>
          <w:lang w:val="es-ES"/>
        </w:rPr>
        <w:t>.</w:t>
      </w:r>
    </w:p>
    <w:p w14:paraId="1646A49E" w14:textId="1CBE83CA" w:rsidR="0034244A" w:rsidRPr="00003B32" w:rsidRDefault="00E933F7" w:rsidP="00957D8E">
      <w:pPr>
        <w:rPr>
          <w:lang w:val="es-ES"/>
        </w:rPr>
      </w:pPr>
      <w:r>
        <w:rPr>
          <w:lang w:val="es-ES"/>
        </w:rPr>
        <w:t xml:space="preserve">Se observó también que </w:t>
      </w:r>
      <w:r w:rsidR="00F666B6">
        <w:rPr>
          <w:lang w:val="es-ES"/>
        </w:rPr>
        <w:t>la implantación</w:t>
      </w:r>
      <w:r w:rsidRPr="00E933F7">
        <w:rPr>
          <w:lang w:val="es-ES"/>
        </w:rPr>
        <w:t xml:space="preserve"> de las componentes terrenal y de satélite de las IMT en zonas geográficas adyacentes </w:t>
      </w:r>
      <w:r>
        <w:rPr>
          <w:lang w:val="es-ES"/>
        </w:rPr>
        <w:t>puede requerir</w:t>
      </w:r>
      <w:r w:rsidRPr="00E933F7">
        <w:rPr>
          <w:lang w:val="es-ES"/>
        </w:rPr>
        <w:t xml:space="preserve"> ciertas medidas técnicas y operativas</w:t>
      </w:r>
      <w:r>
        <w:rPr>
          <w:lang w:val="es-ES"/>
        </w:rPr>
        <w:t xml:space="preserve"> para evitar la interferencia perjudicial entre ambas</w:t>
      </w:r>
      <w:r w:rsidR="0034244A" w:rsidRPr="00003B32">
        <w:rPr>
          <w:lang w:val="es-ES"/>
        </w:rPr>
        <w:t xml:space="preserve">. </w:t>
      </w:r>
      <w:r w:rsidR="00F666B6">
        <w:rPr>
          <w:lang w:val="es-ES"/>
        </w:rPr>
        <w:t>Actualmente l</w:t>
      </w:r>
      <w:r>
        <w:rPr>
          <w:lang w:val="es-ES"/>
        </w:rPr>
        <w:t xml:space="preserve">as administraciones disfrutan de flexibilidad para </w:t>
      </w:r>
      <w:r w:rsidR="00F666B6">
        <w:rPr>
          <w:lang w:val="es-ES"/>
        </w:rPr>
        <w:t>estudiar</w:t>
      </w:r>
      <w:r>
        <w:rPr>
          <w:lang w:val="es-ES"/>
        </w:rPr>
        <w:t xml:space="preserve"> la adopción de una serie de medidas a tal efecto. Se invita al UIT-R a identificar medidas técnicas y operativas de conformidad con la </w:t>
      </w:r>
      <w:r w:rsidRPr="00003B32">
        <w:rPr>
          <w:lang w:val="es-ES"/>
        </w:rPr>
        <w:t>Resolución</w:t>
      </w:r>
      <w:r w:rsidR="0034244A" w:rsidRPr="00003B32">
        <w:rPr>
          <w:lang w:val="es-ES"/>
        </w:rPr>
        <w:t xml:space="preserve"> </w:t>
      </w:r>
      <w:r w:rsidR="0034244A" w:rsidRPr="00003B32">
        <w:rPr>
          <w:b/>
          <w:lang w:val="es-ES"/>
        </w:rPr>
        <w:t>212 (Rev.</w:t>
      </w:r>
      <w:r>
        <w:rPr>
          <w:b/>
          <w:lang w:val="es-ES"/>
        </w:rPr>
        <w:t>CMR</w:t>
      </w:r>
      <w:r w:rsidR="0034244A" w:rsidRPr="00003B32">
        <w:rPr>
          <w:b/>
          <w:lang w:val="es-ES"/>
        </w:rPr>
        <w:t>-15)</w:t>
      </w:r>
      <w:r w:rsidR="0034244A" w:rsidRPr="00003B32">
        <w:rPr>
          <w:lang w:val="es-ES"/>
        </w:rPr>
        <w:t>.</w:t>
      </w:r>
    </w:p>
    <w:p w14:paraId="4047F1EE" w14:textId="09233FB2" w:rsidR="0034244A" w:rsidRPr="00003B32" w:rsidRDefault="0034244A" w:rsidP="002E5466">
      <w:pPr>
        <w:pStyle w:val="Heading1"/>
        <w:rPr>
          <w:lang w:val="es-ES"/>
        </w:rPr>
      </w:pPr>
      <w:r w:rsidRPr="00003B32">
        <w:rPr>
          <w:lang w:val="es-ES"/>
        </w:rPr>
        <w:t>2</w:t>
      </w:r>
      <w:r w:rsidRPr="00003B32">
        <w:rPr>
          <w:lang w:val="es-ES"/>
        </w:rPr>
        <w:tab/>
      </w:r>
      <w:r w:rsidR="00F666B6">
        <w:rPr>
          <w:lang w:val="es-ES"/>
        </w:rPr>
        <w:t>Situación de los debates del UIT</w:t>
      </w:r>
      <w:r w:rsidRPr="00003B32">
        <w:rPr>
          <w:lang w:val="es-ES"/>
        </w:rPr>
        <w:t>-R</w:t>
      </w:r>
    </w:p>
    <w:p w14:paraId="0D302FA1" w14:textId="5E092755" w:rsidR="0034244A" w:rsidRPr="00003B32" w:rsidRDefault="00F666B6" w:rsidP="00957D8E">
      <w:pPr>
        <w:rPr>
          <w:lang w:val="es-ES"/>
        </w:rPr>
      </w:pPr>
      <w:r>
        <w:rPr>
          <w:lang w:val="es-ES"/>
        </w:rPr>
        <w:t>En el seno del UIT</w:t>
      </w:r>
      <w:r w:rsidR="004A798C">
        <w:rPr>
          <w:lang w:val="es-ES"/>
        </w:rPr>
        <w:t>-</w:t>
      </w:r>
      <w:bookmarkStart w:id="5" w:name="_GoBack"/>
      <w:bookmarkEnd w:id="5"/>
      <w:r>
        <w:rPr>
          <w:lang w:val="es-ES"/>
        </w:rPr>
        <w:t>R, el Grupo de Trabajo (GT) 4C y el GT</w:t>
      </w:r>
      <w:r w:rsidR="00D84D9C">
        <w:rPr>
          <w:lang w:val="es-ES"/>
        </w:rPr>
        <w:t> </w:t>
      </w:r>
      <w:r>
        <w:rPr>
          <w:lang w:val="es-ES"/>
        </w:rPr>
        <w:t xml:space="preserve">5D, </w:t>
      </w:r>
      <w:r w:rsidR="00E20292">
        <w:rPr>
          <w:lang w:val="es-ES"/>
        </w:rPr>
        <w:t>responsables de los estudios</w:t>
      </w:r>
      <w:r>
        <w:rPr>
          <w:lang w:val="es-ES"/>
        </w:rPr>
        <w:t xml:space="preserve">, han elaborado conjuntamente </w:t>
      </w:r>
      <w:r w:rsidR="00B32DF6" w:rsidRPr="00003B32">
        <w:rPr>
          <w:lang w:val="es-ES"/>
        </w:rPr>
        <w:t xml:space="preserve">el </w:t>
      </w:r>
      <w:r w:rsidR="00E20292" w:rsidRPr="00E20292">
        <w:rPr>
          <w:lang w:val="es-ES"/>
        </w:rPr>
        <w:t xml:space="preserve">documento de trabajo previo al anteproyecto de </w:t>
      </w:r>
      <w:r w:rsidR="00E20292">
        <w:rPr>
          <w:lang w:val="es-ES"/>
        </w:rPr>
        <w:t xml:space="preserve">nuevo Informe </w:t>
      </w:r>
      <w:r w:rsidR="00B32DF6" w:rsidRPr="00003B32">
        <w:rPr>
          <w:lang w:val="es-ES"/>
        </w:rPr>
        <w:t>UIT-R M.[MSS&amp;IMT-ADVANCED SHARING]</w:t>
      </w:r>
      <w:r w:rsidR="00E20292">
        <w:rPr>
          <w:lang w:val="es-ES"/>
        </w:rPr>
        <w:t xml:space="preserve">. Este documento de trabajo contiene los estudios realizados </w:t>
      </w:r>
      <w:r w:rsidR="00E20292" w:rsidRPr="00003B32">
        <w:rPr>
          <w:lang w:val="es-ES"/>
        </w:rPr>
        <w:t xml:space="preserve">por el UIT-R </w:t>
      </w:r>
      <w:r w:rsidR="00B32DF6" w:rsidRPr="00003B32">
        <w:rPr>
          <w:lang w:val="es-ES"/>
        </w:rPr>
        <w:t>sobre coexistencia y compatibilidad entre la componente de satélite de las</w:t>
      </w:r>
      <w:r w:rsidR="00D84D9C">
        <w:rPr>
          <w:lang w:val="es-ES"/>
        </w:rPr>
        <w:t> </w:t>
      </w:r>
      <w:r w:rsidR="00B32DF6" w:rsidRPr="00003B32">
        <w:rPr>
          <w:lang w:val="es-ES"/>
        </w:rPr>
        <w:t xml:space="preserve">IMT y la componente terrenal de las IMT en zonas geográficas adyacentes de diversos países en las bandas de frecuencias 1 980-2 010 MHz y 2 170-2 200 MHz. </w:t>
      </w:r>
      <w:r w:rsidR="00E20292">
        <w:rPr>
          <w:lang w:val="es-ES"/>
        </w:rPr>
        <w:t>En los citados estudios del UIT-R se identificaron</w:t>
      </w:r>
      <w:r w:rsidR="00E20292" w:rsidRPr="00E20292">
        <w:rPr>
          <w:lang w:val="es-ES"/>
        </w:rPr>
        <w:t xml:space="preserve"> varias medidas técnicas y operativas</w:t>
      </w:r>
      <w:r w:rsidR="00E20292">
        <w:rPr>
          <w:lang w:val="es-ES"/>
        </w:rPr>
        <w:t xml:space="preserve"> que pueden aplicarse, teniendo en cuenta las características reales de implantación,</w:t>
      </w:r>
      <w:r w:rsidR="00E20292" w:rsidRPr="00E20292">
        <w:t xml:space="preserve"> </w:t>
      </w:r>
      <w:r w:rsidR="00E20292" w:rsidRPr="00E20292">
        <w:rPr>
          <w:lang w:val="es-ES"/>
        </w:rPr>
        <w:t>en una consulta bilateral sin mayores limitaciones reglamentarias</w:t>
      </w:r>
      <w:r w:rsidR="00E20292">
        <w:rPr>
          <w:lang w:val="es-ES"/>
        </w:rPr>
        <w:t xml:space="preserve"> en el RR</w:t>
      </w:r>
      <w:r w:rsidR="00B32DF6" w:rsidRPr="00003B32">
        <w:rPr>
          <w:lang w:val="es-ES"/>
        </w:rPr>
        <w:t>.</w:t>
      </w:r>
    </w:p>
    <w:p w14:paraId="6E2FBEFD" w14:textId="754FE26D" w:rsidR="00B32DF6" w:rsidRPr="00003B32" w:rsidRDefault="00E20292" w:rsidP="00957D8E">
      <w:pPr>
        <w:rPr>
          <w:lang w:val="es-ES" w:eastAsia="ja-JP"/>
        </w:rPr>
      </w:pPr>
      <w:r>
        <w:rPr>
          <w:lang w:val="es-ES" w:eastAsia="ko-KR"/>
        </w:rPr>
        <w:t>Teniendo en cuenta esos estudios, el UIT</w:t>
      </w:r>
      <w:r w:rsidR="00B32DF6" w:rsidRPr="00003B32">
        <w:rPr>
          <w:lang w:val="es-ES" w:eastAsia="ko-KR"/>
        </w:rPr>
        <w:t>-R ha</w:t>
      </w:r>
      <w:r>
        <w:rPr>
          <w:lang w:val="es-ES" w:eastAsia="ko-KR"/>
        </w:rPr>
        <w:t xml:space="preserve"> elaborado el Informe de la RPC</w:t>
      </w:r>
      <w:r w:rsidR="00B32DF6" w:rsidRPr="00003B32">
        <w:rPr>
          <w:lang w:val="es-ES" w:eastAsia="ko-KR"/>
        </w:rPr>
        <w:t xml:space="preserve">, </w:t>
      </w:r>
      <w:r>
        <w:rPr>
          <w:lang w:val="es-ES" w:eastAsia="ko-KR"/>
        </w:rPr>
        <w:t>que ayudará a las administraciones a estudiar esta cuestión en la CMR</w:t>
      </w:r>
      <w:r w:rsidR="00B32DF6" w:rsidRPr="00003B32">
        <w:rPr>
          <w:rFonts w:eastAsiaTheme="minorEastAsia"/>
          <w:lang w:val="es-ES" w:eastAsia="ja-JP"/>
        </w:rPr>
        <w:t>-19.</w:t>
      </w:r>
    </w:p>
    <w:p w14:paraId="0473EBF5" w14:textId="5CDBBF89" w:rsidR="00B32DF6" w:rsidRPr="00003B32" w:rsidRDefault="00B32DF6" w:rsidP="00957D8E">
      <w:pPr>
        <w:pStyle w:val="Heading1"/>
        <w:rPr>
          <w:lang w:val="es-ES"/>
        </w:rPr>
      </w:pPr>
      <w:r w:rsidRPr="00003B32">
        <w:rPr>
          <w:lang w:val="es-ES"/>
        </w:rPr>
        <w:t>3</w:t>
      </w:r>
      <w:r w:rsidRPr="00003B32">
        <w:rPr>
          <w:lang w:val="es-ES"/>
        </w:rPr>
        <w:tab/>
      </w:r>
      <w:r w:rsidR="0000129C">
        <w:rPr>
          <w:lang w:val="es-ES"/>
        </w:rPr>
        <w:t>Análisis</w:t>
      </w:r>
    </w:p>
    <w:p w14:paraId="56B5E216" w14:textId="1E7E6813" w:rsidR="00B32DF6" w:rsidRPr="00003B32" w:rsidRDefault="0000129C" w:rsidP="00957D8E">
      <w:pPr>
        <w:rPr>
          <w:lang w:val="es-ES"/>
        </w:rPr>
      </w:pPr>
      <w:r>
        <w:rPr>
          <w:lang w:val="es-ES"/>
        </w:rPr>
        <w:t xml:space="preserve">Conviene señalar que </w:t>
      </w:r>
      <w:r w:rsidR="00B32DF6" w:rsidRPr="00003B32">
        <w:rPr>
          <w:lang w:val="es-ES"/>
        </w:rPr>
        <w:t xml:space="preserve">la Resolución </w:t>
      </w:r>
      <w:r w:rsidR="00B32DF6" w:rsidRPr="00003B32">
        <w:rPr>
          <w:b/>
          <w:bCs/>
          <w:lang w:val="es-ES"/>
        </w:rPr>
        <w:t>212 (Rev.CMR-15)</w:t>
      </w:r>
      <w:r>
        <w:rPr>
          <w:lang w:val="es-ES"/>
        </w:rPr>
        <w:t xml:space="preserve">, </w:t>
      </w:r>
      <w:r w:rsidRPr="0000129C">
        <w:rPr>
          <w:lang w:val="es-ES"/>
        </w:rPr>
        <w:t>que es la correspondiente al tema 9.1.1 del punto 9.1 del orden del día de la CMR-19</w:t>
      </w:r>
      <w:r>
        <w:rPr>
          <w:lang w:val="es-ES"/>
        </w:rPr>
        <w:t xml:space="preserve">, </w:t>
      </w:r>
      <w:r w:rsidRPr="0000129C">
        <w:rPr>
          <w:lang w:val="es-ES"/>
        </w:rPr>
        <w:t>se limita a estudiar las «posibles medidas técnicas y operativas que garanticen la coexistencia y la compatibilidad entre la componente terrenal de las</w:t>
      </w:r>
      <w:r w:rsidR="00D84D9C">
        <w:rPr>
          <w:lang w:val="es-ES"/>
        </w:rPr>
        <w:t> </w:t>
      </w:r>
      <w:r w:rsidRPr="0000129C">
        <w:rPr>
          <w:lang w:val="es-ES"/>
        </w:rPr>
        <w:t>IMT (en el servicio móvil) y la componente de satélite de las IMT (en el servicio móvil y el servicio móvil por satélite)».</w:t>
      </w:r>
      <w:r w:rsidR="00C47C11">
        <w:rPr>
          <w:lang w:val="es-ES"/>
        </w:rPr>
        <w:t xml:space="preserve"> En consecuencia, el resultado del debate de este tema </w:t>
      </w:r>
      <w:r w:rsidR="00C47C11" w:rsidRPr="00C47C11">
        <w:rPr>
          <w:lang w:val="es-ES"/>
        </w:rPr>
        <w:t xml:space="preserve">no debería incorporar </w:t>
      </w:r>
      <w:r w:rsidR="00C47C11">
        <w:rPr>
          <w:lang w:val="es-ES"/>
        </w:rPr>
        <w:t>modificaciones</w:t>
      </w:r>
      <w:r w:rsidR="00C47C11" w:rsidRPr="00C47C11">
        <w:rPr>
          <w:lang w:val="es-ES"/>
        </w:rPr>
        <w:t xml:space="preserve"> reglamentarias de ningún tipo, que </w:t>
      </w:r>
      <w:r w:rsidR="00C47C11">
        <w:rPr>
          <w:lang w:val="es-ES"/>
        </w:rPr>
        <w:t>quedan</w:t>
      </w:r>
      <w:r w:rsidR="00C47C11" w:rsidRPr="00C47C11">
        <w:rPr>
          <w:lang w:val="es-ES"/>
        </w:rPr>
        <w:t xml:space="preserve"> fuera del ámbito de este tema.</w:t>
      </w:r>
    </w:p>
    <w:p w14:paraId="69C86EF8" w14:textId="508CFD62" w:rsidR="00B32DF6" w:rsidRPr="00003B32" w:rsidRDefault="0000129C" w:rsidP="00957D8E">
      <w:pPr>
        <w:rPr>
          <w:lang w:val="es-ES" w:eastAsia="ja-JP"/>
        </w:rPr>
      </w:pPr>
      <w:r>
        <w:rPr>
          <w:lang w:val="es-ES" w:eastAsia="ja-JP"/>
        </w:rPr>
        <w:t>Además</w:t>
      </w:r>
      <w:r w:rsidR="00B32DF6" w:rsidRPr="00003B32">
        <w:rPr>
          <w:lang w:val="es-ES" w:eastAsia="ja-JP"/>
        </w:rPr>
        <w:t>,</w:t>
      </w:r>
      <w:r w:rsidRPr="0000129C">
        <w:rPr>
          <w:lang w:val="es-ES" w:eastAsia="ja-JP"/>
        </w:rPr>
        <w:t xml:space="preserve"> no hay pruebas</w:t>
      </w:r>
      <w:r>
        <w:rPr>
          <w:lang w:val="es-ES" w:eastAsia="ja-JP"/>
        </w:rPr>
        <w:t xml:space="preserve"> evidentes de que la falta de limitaciones reglamentarias en la componente terrenal de las IMT haya dificultado la implantación</w:t>
      </w:r>
      <w:r w:rsidR="0076009B">
        <w:rPr>
          <w:lang w:val="es-ES" w:eastAsia="ja-JP"/>
        </w:rPr>
        <w:t xml:space="preserve"> eficaz y</w:t>
      </w:r>
      <w:r>
        <w:rPr>
          <w:lang w:val="es-ES" w:eastAsia="ja-JP"/>
        </w:rPr>
        <w:t xml:space="preserve"> eficiente </w:t>
      </w:r>
      <w:r w:rsidR="0076009B">
        <w:rPr>
          <w:lang w:val="es-ES" w:eastAsia="ja-JP"/>
        </w:rPr>
        <w:t xml:space="preserve">de las </w:t>
      </w:r>
      <w:r w:rsidR="0076009B" w:rsidRPr="00003B32">
        <w:rPr>
          <w:lang w:val="es-ES"/>
        </w:rPr>
        <w:t xml:space="preserve">componentes terrenal </w:t>
      </w:r>
      <w:r w:rsidR="004870E7">
        <w:rPr>
          <w:lang w:val="es-ES"/>
        </w:rPr>
        <w:t>o</w:t>
      </w:r>
      <w:r w:rsidR="0076009B" w:rsidRPr="00003B32">
        <w:rPr>
          <w:lang w:val="es-ES"/>
        </w:rPr>
        <w:t xml:space="preserve"> de satélite de las IMT</w:t>
      </w:r>
      <w:r w:rsidR="00B32DF6" w:rsidRPr="00003B32">
        <w:rPr>
          <w:lang w:val="es-ES" w:eastAsia="ja-JP"/>
        </w:rPr>
        <w:t>.</w:t>
      </w:r>
    </w:p>
    <w:p w14:paraId="4956137C" w14:textId="4FF2152B" w:rsidR="00B32DF6" w:rsidRPr="00003B32" w:rsidRDefault="0076009B" w:rsidP="00957D8E">
      <w:pPr>
        <w:rPr>
          <w:lang w:val="es-ES" w:eastAsia="ja-JP"/>
        </w:rPr>
      </w:pPr>
      <w:r>
        <w:rPr>
          <w:lang w:val="es-ES" w:eastAsia="ja-JP"/>
        </w:rPr>
        <w:t xml:space="preserve">Por otro lado, tal como se explica a continuación, </w:t>
      </w:r>
      <w:r w:rsidR="004870E7">
        <w:rPr>
          <w:lang w:val="es-ES" w:eastAsia="ja-JP"/>
        </w:rPr>
        <w:t>es</w:t>
      </w:r>
      <w:r>
        <w:rPr>
          <w:lang w:val="es-ES" w:eastAsia="ja-JP"/>
        </w:rPr>
        <w:t xml:space="preserve"> conveniente apoyar la Opinión 2 </w:t>
      </w:r>
      <w:r w:rsidRPr="00003B32">
        <w:rPr>
          <w:lang w:val="es-ES" w:eastAsia="ja-JP"/>
        </w:rPr>
        <w:t>(NOC)</w:t>
      </w:r>
      <w:r>
        <w:rPr>
          <w:lang w:val="es-ES" w:eastAsia="ja-JP"/>
        </w:rPr>
        <w:t xml:space="preserve"> del Informe de la RPC</w:t>
      </w:r>
      <w:r w:rsidR="00B32DF6" w:rsidRPr="00003B32">
        <w:rPr>
          <w:lang w:val="es-ES" w:eastAsia="ja-JP"/>
        </w:rPr>
        <w:t xml:space="preserve">, </w:t>
      </w:r>
      <w:r>
        <w:rPr>
          <w:lang w:val="es-ES" w:eastAsia="ja-JP"/>
        </w:rPr>
        <w:t xml:space="preserve">a </w:t>
      </w:r>
      <w:r w:rsidR="004870E7">
        <w:rPr>
          <w:lang w:val="es-ES" w:eastAsia="ja-JP"/>
        </w:rPr>
        <w:t>tenor de</w:t>
      </w:r>
      <w:r>
        <w:rPr>
          <w:lang w:val="es-ES" w:eastAsia="ja-JP"/>
        </w:rPr>
        <w:t xml:space="preserve"> la situación </w:t>
      </w:r>
      <w:r w:rsidR="004870E7">
        <w:rPr>
          <w:lang w:val="es-ES" w:eastAsia="ja-JP"/>
        </w:rPr>
        <w:t xml:space="preserve">actual </w:t>
      </w:r>
      <w:r>
        <w:rPr>
          <w:lang w:val="es-ES" w:eastAsia="ja-JP"/>
        </w:rPr>
        <w:t>de los estudios del UIT-R</w:t>
      </w:r>
      <w:r w:rsidR="00B32DF6" w:rsidRPr="00003B32">
        <w:rPr>
          <w:lang w:val="es-ES" w:eastAsia="ja-JP"/>
        </w:rPr>
        <w:t>.</w:t>
      </w:r>
    </w:p>
    <w:p w14:paraId="06364B66" w14:textId="39974979" w:rsidR="00B32DF6" w:rsidRPr="00003B32" w:rsidRDefault="00B32DF6" w:rsidP="00957D8E">
      <w:pPr>
        <w:pStyle w:val="Heading2"/>
        <w:rPr>
          <w:lang w:val="es-ES" w:eastAsia="ko-KR"/>
        </w:rPr>
      </w:pPr>
      <w:r w:rsidRPr="00003B32">
        <w:rPr>
          <w:lang w:val="es-ES" w:eastAsia="ko-KR"/>
        </w:rPr>
        <w:t>3.1</w:t>
      </w:r>
      <w:r w:rsidRPr="00003B32">
        <w:rPr>
          <w:lang w:val="es-ES" w:eastAsia="ko-KR"/>
        </w:rPr>
        <w:tab/>
      </w:r>
      <w:r w:rsidR="0076009B">
        <w:rPr>
          <w:lang w:val="es-ES" w:eastAsia="ko-KR"/>
        </w:rPr>
        <w:t>Situación actual del estudio del UIT-R</w:t>
      </w:r>
      <w:r w:rsidRPr="00003B32">
        <w:rPr>
          <w:lang w:val="es-ES" w:eastAsia="ko-KR"/>
        </w:rPr>
        <w:t xml:space="preserve"> </w:t>
      </w:r>
      <w:r w:rsidR="0076009B">
        <w:rPr>
          <w:lang w:val="es-ES" w:eastAsia="ko-KR"/>
        </w:rPr>
        <w:t>sobre este tema</w:t>
      </w:r>
    </w:p>
    <w:p w14:paraId="6BF7493D" w14:textId="12E84242" w:rsidR="00B32DF6" w:rsidRPr="00003B32" w:rsidRDefault="00F006F7" w:rsidP="00957D8E">
      <w:pPr>
        <w:rPr>
          <w:rFonts w:eastAsiaTheme="minorEastAsia"/>
          <w:lang w:val="es-ES" w:eastAsia="ja-JP"/>
        </w:rPr>
      </w:pPr>
      <w:r>
        <w:rPr>
          <w:rFonts w:eastAsiaTheme="minorEastAsia"/>
          <w:lang w:val="es-ES" w:eastAsia="ja-JP"/>
        </w:rPr>
        <w:t>El Informe de la RPC</w:t>
      </w:r>
      <w:r w:rsidR="00B32DF6" w:rsidRPr="00003B32">
        <w:rPr>
          <w:rFonts w:eastAsiaTheme="minorEastAsia"/>
          <w:lang w:val="es-ES" w:eastAsia="ja-JP"/>
        </w:rPr>
        <w:t xml:space="preserve"> </w:t>
      </w:r>
      <w:r>
        <w:rPr>
          <w:rFonts w:eastAsiaTheme="minorEastAsia"/>
          <w:lang w:val="es-ES" w:eastAsia="ja-JP"/>
        </w:rPr>
        <w:t>contiene dos opiniones</w:t>
      </w:r>
      <w:r w:rsidR="00B32DF6" w:rsidRPr="00003B32">
        <w:rPr>
          <w:rFonts w:eastAsiaTheme="minorEastAsia"/>
          <w:lang w:val="es-ES" w:eastAsia="ja-JP"/>
        </w:rPr>
        <w:t xml:space="preserve">. </w:t>
      </w:r>
      <w:r>
        <w:rPr>
          <w:rFonts w:eastAsiaTheme="minorEastAsia"/>
          <w:lang w:val="es-ES" w:eastAsia="ja-JP"/>
        </w:rPr>
        <w:t xml:space="preserve">La Opinión 1 </w:t>
      </w:r>
      <w:r w:rsidR="00B2135D">
        <w:rPr>
          <w:rFonts w:eastAsiaTheme="minorEastAsia"/>
          <w:lang w:val="es-ES" w:eastAsia="ja-JP"/>
        </w:rPr>
        <w:t>plantea la posibilidad de</w:t>
      </w:r>
      <w:r w:rsidR="00B32DF6" w:rsidRPr="00003B32">
        <w:rPr>
          <w:rFonts w:eastAsiaTheme="minorEastAsia"/>
          <w:lang w:val="es-ES" w:eastAsia="ja-JP"/>
        </w:rPr>
        <w:t xml:space="preserve"> </w:t>
      </w:r>
      <w:r>
        <w:rPr>
          <w:rFonts w:eastAsiaTheme="minorEastAsia"/>
          <w:lang w:val="es-ES" w:eastAsia="ja-JP"/>
        </w:rPr>
        <w:t>imponer a los servicios terrenales</w:t>
      </w:r>
      <w:r>
        <w:rPr>
          <w:lang w:val="es-ES" w:eastAsia="ja-JP"/>
        </w:rPr>
        <w:t xml:space="preserve"> limitaciones </w:t>
      </w:r>
      <w:r>
        <w:rPr>
          <w:rFonts w:eastAsiaTheme="minorEastAsia"/>
          <w:lang w:val="es-ES" w:eastAsia="ja-JP"/>
        </w:rPr>
        <w:t>reglamentarias como las siguientes:</w:t>
      </w:r>
      <w:r w:rsidR="00B32DF6" w:rsidRPr="00003B32">
        <w:rPr>
          <w:rFonts w:eastAsiaTheme="minorEastAsia"/>
          <w:lang w:val="es-ES" w:eastAsia="ja-JP"/>
        </w:rPr>
        <w:t xml:space="preserve"> </w:t>
      </w:r>
      <w:r w:rsidR="00B32DF6" w:rsidRPr="00003B32">
        <w:rPr>
          <w:rFonts w:eastAsiaTheme="minorEastAsia"/>
          <w:i/>
          <w:iCs/>
          <w:lang w:val="es-ES" w:eastAsia="ja-JP"/>
        </w:rPr>
        <w:t>i)</w:t>
      </w:r>
      <w:r w:rsidR="00B32DF6" w:rsidRPr="00003B32">
        <w:rPr>
          <w:rFonts w:eastAsiaTheme="minorEastAsia"/>
          <w:lang w:val="es-ES" w:eastAsia="ja-JP"/>
        </w:rPr>
        <w:t xml:space="preserve"> limit</w:t>
      </w:r>
      <w:r>
        <w:rPr>
          <w:rFonts w:eastAsiaTheme="minorEastAsia"/>
          <w:lang w:val="es-ES" w:eastAsia="ja-JP"/>
        </w:rPr>
        <w:t xml:space="preserve">ar </w:t>
      </w:r>
      <w:r w:rsidRPr="00F006F7">
        <w:rPr>
          <w:rFonts w:eastAsiaTheme="minorEastAsia"/>
          <w:lang w:val="es-ES" w:eastAsia="ja-JP"/>
        </w:rPr>
        <w:t xml:space="preserve">el p.i.r.e. </w:t>
      </w:r>
      <w:r>
        <w:rPr>
          <w:rFonts w:eastAsiaTheme="minorEastAsia"/>
          <w:lang w:val="es-ES" w:eastAsia="ja-JP"/>
        </w:rPr>
        <w:t xml:space="preserve">de la transmisión terrenal a fin de reducir la </w:t>
      </w:r>
      <w:r w:rsidRPr="00F006F7">
        <w:rPr>
          <w:rFonts w:eastAsiaTheme="minorEastAsia"/>
          <w:lang w:val="es-ES" w:eastAsia="ja-JP"/>
        </w:rPr>
        <w:t xml:space="preserve">potencia de transmisión </w:t>
      </w:r>
      <w:r>
        <w:rPr>
          <w:rFonts w:eastAsiaTheme="minorEastAsia"/>
          <w:lang w:val="es-ES" w:eastAsia="ja-JP"/>
        </w:rPr>
        <w:t>terrenal, y</w:t>
      </w:r>
      <w:r w:rsidR="00B32DF6" w:rsidRPr="00003B32">
        <w:rPr>
          <w:rFonts w:eastAsiaTheme="minorEastAsia"/>
          <w:lang w:val="es-ES" w:eastAsia="ja-JP"/>
        </w:rPr>
        <w:t xml:space="preserve"> </w:t>
      </w:r>
      <w:r w:rsidR="00B32DF6" w:rsidRPr="00003B32">
        <w:rPr>
          <w:rFonts w:eastAsiaTheme="minorEastAsia"/>
          <w:i/>
          <w:iCs/>
          <w:lang w:val="es-ES" w:eastAsia="ja-JP"/>
        </w:rPr>
        <w:t>ii)</w:t>
      </w:r>
      <w:r w:rsidR="00B32DF6" w:rsidRPr="00003B32">
        <w:rPr>
          <w:rFonts w:eastAsiaTheme="minorEastAsia"/>
          <w:lang w:val="es-ES" w:eastAsia="ja-JP"/>
        </w:rPr>
        <w:t xml:space="preserve"> </w:t>
      </w:r>
      <w:r w:rsidR="00797610">
        <w:rPr>
          <w:rFonts w:eastAsiaTheme="minorEastAsia"/>
          <w:lang w:val="es-ES" w:eastAsia="ja-JP"/>
        </w:rPr>
        <w:t>relajar</w:t>
      </w:r>
      <w:r w:rsidRPr="00F006F7">
        <w:t xml:space="preserve"> </w:t>
      </w:r>
      <w:r>
        <w:t xml:space="preserve">el </w:t>
      </w:r>
      <w:r w:rsidRPr="00F006F7">
        <w:rPr>
          <w:rFonts w:eastAsiaTheme="minorEastAsia"/>
          <w:lang w:val="es-ES" w:eastAsia="ja-JP"/>
        </w:rPr>
        <w:t>nivel de dfp</w:t>
      </w:r>
      <w:r w:rsidR="00B32DF6" w:rsidRPr="00003B32">
        <w:rPr>
          <w:rFonts w:eastAsiaTheme="minorEastAsia"/>
          <w:lang w:val="es-ES" w:eastAsia="ja-JP"/>
        </w:rPr>
        <w:t xml:space="preserve"> </w:t>
      </w:r>
      <w:r>
        <w:rPr>
          <w:rFonts w:eastAsiaTheme="minorEastAsia"/>
          <w:lang w:val="es-ES" w:eastAsia="ja-JP"/>
        </w:rPr>
        <w:t>de la</w:t>
      </w:r>
      <w:r w:rsidR="00B32DF6" w:rsidRPr="00003B32">
        <w:rPr>
          <w:rFonts w:eastAsiaTheme="minorEastAsia"/>
          <w:lang w:val="es-ES" w:eastAsia="ja-JP"/>
        </w:rPr>
        <w:t xml:space="preserve"> </w:t>
      </w:r>
      <w:r>
        <w:rPr>
          <w:rFonts w:eastAsiaTheme="minorEastAsia"/>
          <w:lang w:val="es-ES" w:eastAsia="ja-JP"/>
        </w:rPr>
        <w:t>transmisión por satélite en la</w:t>
      </w:r>
      <w:r w:rsidRPr="00F006F7">
        <w:t xml:space="preserve"> </w:t>
      </w:r>
      <w:r w:rsidRPr="00F006F7">
        <w:rPr>
          <w:rFonts w:eastAsiaTheme="minorEastAsia"/>
          <w:lang w:val="es-ES" w:eastAsia="ja-JP"/>
        </w:rPr>
        <w:t>superficie terrestre</w:t>
      </w:r>
      <w:r>
        <w:rPr>
          <w:rFonts w:eastAsiaTheme="minorEastAsia"/>
          <w:lang w:val="es-ES" w:eastAsia="ja-JP"/>
        </w:rPr>
        <w:t xml:space="preserve"> a fin de permitir que un satélite aumente su potencia</w:t>
      </w:r>
      <w:r w:rsidR="00B32DF6" w:rsidRPr="00003B32">
        <w:rPr>
          <w:rFonts w:eastAsiaTheme="minorEastAsia"/>
          <w:lang w:val="es-ES" w:eastAsia="ja-JP"/>
        </w:rPr>
        <w:t>.</w:t>
      </w:r>
      <w:r>
        <w:rPr>
          <w:rFonts w:eastAsiaTheme="minorEastAsia"/>
          <w:lang w:val="es-ES" w:eastAsia="ja-JP"/>
        </w:rPr>
        <w:t xml:space="preserve"> La Opinión</w:t>
      </w:r>
      <w:r w:rsidR="00B32DF6" w:rsidRPr="00003B32">
        <w:rPr>
          <w:rFonts w:eastAsiaTheme="minorEastAsia"/>
          <w:lang w:val="es-ES" w:eastAsia="ja-JP"/>
        </w:rPr>
        <w:t xml:space="preserve"> 2 propo</w:t>
      </w:r>
      <w:r>
        <w:rPr>
          <w:rFonts w:eastAsiaTheme="minorEastAsia"/>
          <w:lang w:val="es-ES" w:eastAsia="ja-JP"/>
        </w:rPr>
        <w:t>ne que no se establezcan limitaciones reglamentarias en los servicios terrenales, porque las posibles interferencias pueden gestionarse mediante la coordinación o un proceso de consultas</w:t>
      </w:r>
      <w:r w:rsidR="00B32DF6" w:rsidRPr="00003B32">
        <w:rPr>
          <w:rFonts w:eastAsiaTheme="minorEastAsia"/>
          <w:lang w:val="es-ES" w:eastAsia="ja-JP"/>
        </w:rPr>
        <w:t xml:space="preserve"> </w:t>
      </w:r>
      <w:r>
        <w:rPr>
          <w:rFonts w:eastAsiaTheme="minorEastAsia"/>
          <w:lang w:val="es-ES" w:eastAsia="ja-JP"/>
        </w:rPr>
        <w:t xml:space="preserve">de ámbito </w:t>
      </w:r>
      <w:r w:rsidR="00B32DF6" w:rsidRPr="00003B32">
        <w:rPr>
          <w:rFonts w:eastAsiaTheme="minorEastAsia"/>
          <w:lang w:val="es-ES" w:eastAsia="ja-JP"/>
        </w:rPr>
        <w:t xml:space="preserve">bilateral/multilateral </w:t>
      </w:r>
      <w:r>
        <w:rPr>
          <w:rFonts w:eastAsiaTheme="minorEastAsia"/>
          <w:lang w:val="es-ES" w:eastAsia="ja-JP"/>
        </w:rPr>
        <w:t>y con la aplicación de medidas técnicas y operativa</w:t>
      </w:r>
      <w:r w:rsidR="00B32DF6" w:rsidRPr="00003B32">
        <w:rPr>
          <w:rFonts w:eastAsiaTheme="minorEastAsia"/>
          <w:lang w:val="es-ES" w:eastAsia="ja-JP"/>
        </w:rPr>
        <w:t>s.</w:t>
      </w:r>
    </w:p>
    <w:p w14:paraId="5DFDB9A9" w14:textId="07A1E097" w:rsidR="00B32DF6" w:rsidRPr="00003B32" w:rsidRDefault="00B32DF6" w:rsidP="00957D8E">
      <w:pPr>
        <w:rPr>
          <w:lang w:val="es-ES"/>
        </w:rPr>
      </w:pPr>
      <w:r w:rsidRPr="00003B32">
        <w:rPr>
          <w:lang w:val="es-ES"/>
        </w:rPr>
        <w:t xml:space="preserve">Debido a </w:t>
      </w:r>
      <w:r w:rsidR="00D57272" w:rsidRPr="00003B32">
        <w:rPr>
          <w:lang w:val="es-ES"/>
        </w:rPr>
        <w:t xml:space="preserve">las características </w:t>
      </w:r>
      <w:r w:rsidRPr="00003B32">
        <w:rPr>
          <w:lang w:val="es-ES"/>
        </w:rPr>
        <w:t>excepcional</w:t>
      </w:r>
      <w:r w:rsidR="00D57272">
        <w:rPr>
          <w:lang w:val="es-ES"/>
        </w:rPr>
        <w:t>es</w:t>
      </w:r>
      <w:r w:rsidRPr="00003B32">
        <w:rPr>
          <w:lang w:val="es-ES"/>
        </w:rPr>
        <w:t xml:space="preserve"> y variable</w:t>
      </w:r>
      <w:r w:rsidR="00D57272">
        <w:rPr>
          <w:lang w:val="es-ES"/>
        </w:rPr>
        <w:t>s</w:t>
      </w:r>
      <w:r w:rsidRPr="00003B32">
        <w:rPr>
          <w:lang w:val="es-ES"/>
        </w:rPr>
        <w:t xml:space="preserve"> de los sistemas y </w:t>
      </w:r>
      <w:r w:rsidR="00D57272">
        <w:rPr>
          <w:lang w:val="es-ES"/>
        </w:rPr>
        <w:t xml:space="preserve">de </w:t>
      </w:r>
      <w:r w:rsidRPr="00003B32">
        <w:rPr>
          <w:lang w:val="es-ES"/>
        </w:rPr>
        <w:t xml:space="preserve">las hipótesis de despliegue de las componentes terrenal y de satélite de las IMT en zonas geográficas adyacentes de diferentes países, los debates bilaterales/multilaterales entre las administraciones afectadas ofrecen una mayor flexibilidad operativa, </w:t>
      </w:r>
      <w:r w:rsidR="00B2135D">
        <w:rPr>
          <w:lang w:val="es-ES"/>
        </w:rPr>
        <w:t xml:space="preserve">al tiempo que </w:t>
      </w:r>
      <w:r w:rsidR="00D57272">
        <w:rPr>
          <w:lang w:val="es-ES"/>
        </w:rPr>
        <w:t xml:space="preserve">aseguran </w:t>
      </w:r>
      <w:r w:rsidRPr="00003B32">
        <w:rPr>
          <w:lang w:val="es-ES"/>
        </w:rPr>
        <w:t xml:space="preserve">la coexistencia </w:t>
      </w:r>
      <w:r w:rsidR="00D57272">
        <w:rPr>
          <w:lang w:val="es-ES"/>
        </w:rPr>
        <w:t xml:space="preserve">mediante las medidas </w:t>
      </w:r>
      <w:r w:rsidR="00D57272">
        <w:rPr>
          <w:lang w:val="es-ES"/>
        </w:rPr>
        <w:lastRenderedPageBreak/>
        <w:t>técnicas y operativas disponibles identificadas en el UIT-R</w:t>
      </w:r>
      <w:r w:rsidRPr="00003B32">
        <w:rPr>
          <w:lang w:val="es-ES"/>
        </w:rPr>
        <w:t>.</w:t>
      </w:r>
      <w:r w:rsidR="00F814FB">
        <w:rPr>
          <w:lang w:val="es-ES"/>
        </w:rPr>
        <w:t xml:space="preserve"> Por consiguiente, no es necesario modificar el RR.</w:t>
      </w:r>
    </w:p>
    <w:p w14:paraId="5016E050" w14:textId="351F4B04" w:rsidR="00B32DF6" w:rsidRPr="00003B32" w:rsidRDefault="00D57272" w:rsidP="00957D8E">
      <w:pPr>
        <w:rPr>
          <w:rFonts w:eastAsiaTheme="minorEastAsia"/>
          <w:lang w:val="es-ES" w:eastAsia="ja-JP"/>
        </w:rPr>
      </w:pPr>
      <w:r>
        <w:rPr>
          <w:rFonts w:eastAsiaTheme="minorEastAsia"/>
          <w:lang w:val="es-ES" w:eastAsia="ja-JP"/>
        </w:rPr>
        <w:t>Además</w:t>
      </w:r>
      <w:r w:rsidR="00B32DF6" w:rsidRPr="00003B32">
        <w:rPr>
          <w:rFonts w:eastAsiaTheme="minorEastAsia"/>
          <w:lang w:val="es-ES" w:eastAsia="ja-JP"/>
        </w:rPr>
        <w:t>, no</w:t>
      </w:r>
      <w:r>
        <w:rPr>
          <w:rFonts w:eastAsiaTheme="minorEastAsia"/>
          <w:lang w:val="es-ES" w:eastAsia="ja-JP"/>
        </w:rPr>
        <w:t xml:space="preserve"> se extrajo ninguna conclusión técnica en el UIT-R </w:t>
      </w:r>
      <w:r w:rsidR="00F814FB">
        <w:rPr>
          <w:rFonts w:eastAsiaTheme="minorEastAsia"/>
          <w:lang w:val="es-ES" w:eastAsia="ja-JP"/>
        </w:rPr>
        <w:t>a fin de</w:t>
      </w:r>
      <w:r>
        <w:rPr>
          <w:rFonts w:eastAsiaTheme="minorEastAsia"/>
          <w:lang w:val="es-ES" w:eastAsia="ja-JP"/>
        </w:rPr>
        <w:t xml:space="preserve"> ampliar el alcance de este tema más allá de la zona geográfica adyacente</w:t>
      </w:r>
      <w:r w:rsidR="00B32DF6" w:rsidRPr="00003B32">
        <w:rPr>
          <w:rFonts w:eastAsiaTheme="minorEastAsia"/>
          <w:lang w:val="es-ES" w:eastAsia="ja-JP"/>
        </w:rPr>
        <w:t>.</w:t>
      </w:r>
    </w:p>
    <w:p w14:paraId="0E91E12A" w14:textId="297349BC" w:rsidR="00B32DF6" w:rsidRPr="00003B32" w:rsidRDefault="00B32DF6" w:rsidP="00957D8E">
      <w:pPr>
        <w:pStyle w:val="Heading2"/>
        <w:rPr>
          <w:lang w:val="es-ES" w:eastAsia="ko-KR"/>
        </w:rPr>
      </w:pPr>
      <w:r w:rsidRPr="00003B32">
        <w:rPr>
          <w:lang w:val="es-ES" w:eastAsia="ko-KR"/>
        </w:rPr>
        <w:t>3.2</w:t>
      </w:r>
      <w:r w:rsidRPr="00003B32">
        <w:rPr>
          <w:lang w:val="es-ES" w:eastAsia="ko-KR"/>
        </w:rPr>
        <w:tab/>
      </w:r>
      <w:r w:rsidR="00704386">
        <w:rPr>
          <w:lang w:val="es-ES" w:eastAsia="ko-KR"/>
        </w:rPr>
        <w:t>Examen de los</w:t>
      </w:r>
      <w:r w:rsidRPr="00003B32">
        <w:rPr>
          <w:lang w:val="es-ES" w:eastAsia="ko-KR"/>
        </w:rPr>
        <w:t xml:space="preserve"> </w:t>
      </w:r>
      <w:r w:rsidR="00704386">
        <w:rPr>
          <w:lang w:val="es-ES" w:eastAsia="ko-KR"/>
        </w:rPr>
        <w:t>documentos</w:t>
      </w:r>
      <w:r w:rsidR="00704386" w:rsidRPr="00704386">
        <w:t xml:space="preserve"> </w:t>
      </w:r>
      <w:r w:rsidR="00704386" w:rsidRPr="00704386">
        <w:rPr>
          <w:lang w:val="es-ES" w:eastAsia="ko-KR"/>
        </w:rPr>
        <w:t>del UIT-R pertinentes</w:t>
      </w:r>
    </w:p>
    <w:p w14:paraId="0D77D3A4" w14:textId="206F83BC" w:rsidR="00B32DF6" w:rsidRPr="00003B32" w:rsidRDefault="00704386" w:rsidP="00957D8E">
      <w:pPr>
        <w:rPr>
          <w:rFonts w:eastAsiaTheme="minorEastAsia"/>
          <w:lang w:val="es-ES" w:eastAsia="ja-JP"/>
        </w:rPr>
      </w:pPr>
      <w:r>
        <w:rPr>
          <w:rFonts w:eastAsiaTheme="minorEastAsia"/>
          <w:lang w:val="es-ES" w:eastAsia="ja-JP"/>
        </w:rPr>
        <w:t xml:space="preserve">Se debería reconocer también que la </w:t>
      </w:r>
      <w:r w:rsidRPr="00003B32">
        <w:rPr>
          <w:rFonts w:eastAsiaTheme="minorEastAsia"/>
          <w:lang w:val="es-ES" w:eastAsia="ja-JP"/>
        </w:rPr>
        <w:t>Recomendación</w:t>
      </w:r>
      <w:r w:rsidR="00B32DF6" w:rsidRPr="00003B32">
        <w:rPr>
          <w:rFonts w:eastAsiaTheme="minorEastAsia"/>
          <w:lang w:val="es-ES" w:eastAsia="ja-JP"/>
        </w:rPr>
        <w:t xml:space="preserve"> </w:t>
      </w:r>
      <w:r>
        <w:rPr>
          <w:rFonts w:eastAsiaTheme="minorEastAsia"/>
          <w:lang w:val="es-ES" w:eastAsia="ja-JP"/>
        </w:rPr>
        <w:t>UIT</w:t>
      </w:r>
      <w:r w:rsidR="00B32DF6" w:rsidRPr="00003B32">
        <w:rPr>
          <w:rFonts w:eastAsiaTheme="minorEastAsia"/>
          <w:lang w:val="es-ES" w:eastAsia="ja-JP"/>
        </w:rPr>
        <w:t>-R M.818-2 «</w:t>
      </w:r>
      <w:r w:rsidRPr="00704386">
        <w:rPr>
          <w:rFonts w:eastAsiaTheme="minorEastAsia"/>
          <w:lang w:val="es-ES" w:eastAsia="ja-JP"/>
        </w:rPr>
        <w:t>Funcionamiento por satélite en las telecomunicaciones móviles internacionales-2000 (IMT-2000)</w:t>
      </w:r>
      <w:r w:rsidR="00B32DF6" w:rsidRPr="00003B32">
        <w:rPr>
          <w:rFonts w:eastAsiaTheme="minorEastAsia"/>
          <w:lang w:val="es-ES" w:eastAsia="ja-JP"/>
        </w:rPr>
        <w:t xml:space="preserve">» </w:t>
      </w:r>
      <w:r>
        <w:rPr>
          <w:rFonts w:eastAsiaTheme="minorEastAsia"/>
          <w:lang w:val="es-ES" w:eastAsia="ja-JP"/>
        </w:rPr>
        <w:t>contiene el</w:t>
      </w:r>
      <w:r w:rsidR="00B32DF6" w:rsidRPr="00003B32">
        <w:rPr>
          <w:rFonts w:eastAsiaTheme="minorEastAsia"/>
          <w:lang w:val="es-ES" w:eastAsia="ja-JP"/>
        </w:rPr>
        <w:t xml:space="preserve"> </w:t>
      </w:r>
      <w:r w:rsidR="00B32DF6" w:rsidRPr="00003B32">
        <w:rPr>
          <w:rFonts w:eastAsiaTheme="minorEastAsia"/>
          <w:i/>
          <w:lang w:val="es-ES" w:eastAsia="ja-JP"/>
        </w:rPr>
        <w:t>consider</w:t>
      </w:r>
      <w:r>
        <w:rPr>
          <w:rFonts w:eastAsiaTheme="minorEastAsia"/>
          <w:i/>
          <w:lang w:val="es-ES" w:eastAsia="ja-JP"/>
        </w:rPr>
        <w:t>ando</w:t>
      </w:r>
      <w:r w:rsidR="00B32DF6" w:rsidRPr="00003B32">
        <w:rPr>
          <w:rFonts w:eastAsiaTheme="minorEastAsia"/>
          <w:i/>
          <w:lang w:val="es-ES" w:eastAsia="ja-JP"/>
        </w:rPr>
        <w:t xml:space="preserve"> s) </w:t>
      </w:r>
      <w:r w:rsidRPr="00704386">
        <w:rPr>
          <w:rFonts w:eastAsiaTheme="minorEastAsia"/>
          <w:i/>
          <w:lang w:val="es-ES" w:eastAsia="ja-JP"/>
        </w:rPr>
        <w:t>el componente de satélite no debería tener efectos negativos en el diseño del componente terrenal de las IMT-2000</w:t>
      </w:r>
      <w:r w:rsidR="00B32DF6" w:rsidRPr="00003B32">
        <w:rPr>
          <w:rFonts w:eastAsiaTheme="minorEastAsia"/>
          <w:i/>
          <w:lang w:val="es-ES" w:eastAsia="ja-JP"/>
        </w:rPr>
        <w:t xml:space="preserve">. </w:t>
      </w:r>
      <w:r>
        <w:rPr>
          <w:rFonts w:eastAsiaTheme="minorEastAsia"/>
          <w:lang w:val="es-ES" w:eastAsia="ja-JP"/>
        </w:rPr>
        <w:t>Por lo tanto</w:t>
      </w:r>
      <w:r w:rsidR="00B32DF6" w:rsidRPr="00003B32">
        <w:rPr>
          <w:rFonts w:eastAsiaTheme="minorEastAsia"/>
          <w:lang w:val="es-ES" w:eastAsia="ja-JP"/>
        </w:rPr>
        <w:t xml:space="preserve">, </w:t>
      </w:r>
      <w:r>
        <w:rPr>
          <w:rFonts w:eastAsiaTheme="minorEastAsia"/>
          <w:lang w:val="es-ES" w:eastAsia="ja-JP"/>
        </w:rPr>
        <w:t>la posibilidad de imponer limitaciones reglamentarias a la estación terrenal para facilitar el funcionamiento de la componente de satélite de las</w:t>
      </w:r>
      <w:r w:rsidR="00B32DF6" w:rsidRPr="00003B32">
        <w:rPr>
          <w:rFonts w:eastAsiaTheme="minorEastAsia"/>
          <w:lang w:val="es-ES" w:eastAsia="ja-JP"/>
        </w:rPr>
        <w:t xml:space="preserve"> IMT </w:t>
      </w:r>
      <w:r>
        <w:rPr>
          <w:rFonts w:eastAsiaTheme="minorEastAsia"/>
          <w:lang w:val="es-ES" w:eastAsia="ja-JP"/>
        </w:rPr>
        <w:t>contravendría este concepto que ya fue acordado en el seno del UIT</w:t>
      </w:r>
      <w:r w:rsidR="00B32DF6" w:rsidRPr="00003B32">
        <w:rPr>
          <w:rFonts w:eastAsiaTheme="minorEastAsia"/>
          <w:lang w:val="es-ES" w:eastAsia="ja-JP"/>
        </w:rPr>
        <w:t>-R.</w:t>
      </w:r>
    </w:p>
    <w:p w14:paraId="48FEE3B7" w14:textId="493709BE" w:rsidR="00B32DF6" w:rsidRPr="00003B32" w:rsidRDefault="00B32DF6" w:rsidP="00957D8E">
      <w:pPr>
        <w:pStyle w:val="Heading2"/>
        <w:rPr>
          <w:lang w:val="es-ES" w:eastAsia="ja-JP"/>
        </w:rPr>
      </w:pPr>
      <w:r w:rsidRPr="00003B32">
        <w:rPr>
          <w:lang w:val="es-ES" w:eastAsia="ko-KR"/>
        </w:rPr>
        <w:t>3.</w:t>
      </w:r>
      <w:r w:rsidRPr="00003B32">
        <w:rPr>
          <w:lang w:val="es-ES" w:eastAsia="ja-JP"/>
        </w:rPr>
        <w:t>3</w:t>
      </w:r>
      <w:r w:rsidRPr="00003B32">
        <w:rPr>
          <w:lang w:val="es-ES" w:eastAsia="ko-KR"/>
        </w:rPr>
        <w:tab/>
      </w:r>
      <w:r w:rsidR="00704386">
        <w:rPr>
          <w:lang w:val="es-ES" w:eastAsia="ja-JP"/>
        </w:rPr>
        <w:t>Inadecuación</w:t>
      </w:r>
      <w:r w:rsidRPr="00003B32">
        <w:rPr>
          <w:rFonts w:eastAsiaTheme="minorEastAsia"/>
          <w:lang w:val="es-ES" w:eastAsia="ja-JP"/>
        </w:rPr>
        <w:t xml:space="preserve"> </w:t>
      </w:r>
      <w:r w:rsidR="00704386">
        <w:rPr>
          <w:rFonts w:eastAsiaTheme="minorEastAsia"/>
          <w:lang w:val="es-ES" w:eastAsia="ja-JP"/>
        </w:rPr>
        <w:t>de la Opinión</w:t>
      </w:r>
      <w:r w:rsidRPr="00003B32">
        <w:rPr>
          <w:rFonts w:eastAsiaTheme="minorEastAsia"/>
          <w:lang w:val="es-ES" w:eastAsia="ja-JP"/>
        </w:rPr>
        <w:t xml:space="preserve"> 1</w:t>
      </w:r>
    </w:p>
    <w:p w14:paraId="7572B29A" w14:textId="0DDFA15D" w:rsidR="00B32DF6" w:rsidRPr="00003B32" w:rsidRDefault="00704386" w:rsidP="00957D8E">
      <w:pPr>
        <w:rPr>
          <w:lang w:val="es-ES" w:eastAsia="ja-JP"/>
        </w:rPr>
      </w:pPr>
      <w:r>
        <w:rPr>
          <w:lang w:val="es-ES" w:eastAsia="ja-JP"/>
        </w:rPr>
        <w:t>La Opinión</w:t>
      </w:r>
      <w:r w:rsidR="00B32DF6" w:rsidRPr="00003B32">
        <w:rPr>
          <w:lang w:val="es-ES" w:eastAsia="ja-JP"/>
        </w:rPr>
        <w:t xml:space="preserve"> 1 propo</w:t>
      </w:r>
      <w:r>
        <w:rPr>
          <w:lang w:val="es-ES" w:eastAsia="ja-JP"/>
        </w:rPr>
        <w:t xml:space="preserve">ne </w:t>
      </w:r>
      <w:r w:rsidR="00F70AD2">
        <w:rPr>
          <w:lang w:val="es-ES" w:eastAsia="ja-JP"/>
        </w:rPr>
        <w:t>relajar</w:t>
      </w:r>
      <w:r>
        <w:rPr>
          <w:lang w:val="es-ES" w:eastAsia="ja-JP"/>
        </w:rPr>
        <w:t xml:space="preserve"> los </w:t>
      </w:r>
      <w:r w:rsidRPr="00704386">
        <w:rPr>
          <w:lang w:val="es-ES" w:eastAsia="ja-JP"/>
        </w:rPr>
        <w:t xml:space="preserve">niveles umbral de dfp </w:t>
      </w:r>
      <w:r>
        <w:rPr>
          <w:lang w:val="es-ES" w:eastAsia="ja-JP"/>
        </w:rPr>
        <w:t>para proteger los servicios terrenales</w:t>
      </w:r>
      <w:r w:rsidR="00B32DF6" w:rsidRPr="00003B32">
        <w:rPr>
          <w:lang w:val="es-ES" w:eastAsia="ja-JP"/>
        </w:rPr>
        <w:t xml:space="preserve">. </w:t>
      </w:r>
      <w:r>
        <w:rPr>
          <w:lang w:val="es-ES" w:eastAsia="ja-JP"/>
        </w:rPr>
        <w:t>Aunque el nivel de dfp que figura actualmente en el Apéndice</w:t>
      </w:r>
      <w:r w:rsidR="00B32DF6" w:rsidRPr="00003B32">
        <w:rPr>
          <w:lang w:val="es-ES" w:eastAsia="ja-JP"/>
        </w:rPr>
        <w:t xml:space="preserve"> </w:t>
      </w:r>
      <w:r w:rsidR="00B32DF6" w:rsidRPr="00003B32">
        <w:rPr>
          <w:b/>
          <w:bCs/>
          <w:lang w:val="es-ES" w:eastAsia="ja-JP"/>
        </w:rPr>
        <w:t>5</w:t>
      </w:r>
      <w:r w:rsidR="00B32DF6" w:rsidRPr="00003B32">
        <w:rPr>
          <w:lang w:val="es-ES" w:eastAsia="ja-JP"/>
        </w:rPr>
        <w:t xml:space="preserve"> </w:t>
      </w:r>
      <w:r>
        <w:rPr>
          <w:lang w:val="es-ES" w:eastAsia="ja-JP"/>
        </w:rPr>
        <w:t>del</w:t>
      </w:r>
      <w:r w:rsidR="00B32DF6" w:rsidRPr="00003B32">
        <w:rPr>
          <w:lang w:val="es-ES" w:eastAsia="ja-JP"/>
        </w:rPr>
        <w:t xml:space="preserve"> RR </w:t>
      </w:r>
      <w:r>
        <w:rPr>
          <w:lang w:val="es-ES" w:eastAsia="ja-JP"/>
        </w:rPr>
        <w:t>es de</w:t>
      </w:r>
      <w:r w:rsidR="00B32DF6" w:rsidRPr="00003B32">
        <w:rPr>
          <w:lang w:val="es-ES" w:eastAsia="ja-JP"/>
        </w:rPr>
        <w:t xml:space="preserve"> –128 dBW/m</w:t>
      </w:r>
      <w:r w:rsidR="00B32DF6" w:rsidRPr="00003B32">
        <w:rPr>
          <w:vertAlign w:val="superscript"/>
          <w:lang w:val="es-ES" w:eastAsia="ja-JP"/>
        </w:rPr>
        <w:t>2</w:t>
      </w:r>
      <w:r w:rsidR="00B32DF6" w:rsidRPr="00003B32">
        <w:rPr>
          <w:lang w:val="es-ES" w:eastAsia="ja-JP"/>
        </w:rPr>
        <w:t xml:space="preserve">/MHz </w:t>
      </w:r>
      <w:r>
        <w:rPr>
          <w:lang w:val="es-ES" w:eastAsia="ja-JP"/>
        </w:rPr>
        <w:t xml:space="preserve">a </w:t>
      </w:r>
      <w:r w:rsidRPr="00704386">
        <w:rPr>
          <w:lang w:val="es-ES" w:eastAsia="ja-JP"/>
        </w:rPr>
        <w:t>ángulos de elevación comprendidos entre 0 y 5 grados</w:t>
      </w:r>
      <w:r w:rsidR="00B32DF6" w:rsidRPr="00003B32">
        <w:rPr>
          <w:lang w:val="es-ES" w:eastAsia="ja-JP"/>
        </w:rPr>
        <w:t xml:space="preserve"> (</w:t>
      </w:r>
      <w:r>
        <w:rPr>
          <w:lang w:val="es-ES" w:eastAsia="ja-JP"/>
        </w:rPr>
        <w:t xml:space="preserve">véase el Anexo </w:t>
      </w:r>
      <w:r w:rsidR="00B32DF6" w:rsidRPr="00003B32">
        <w:rPr>
          <w:lang w:val="es-ES" w:eastAsia="ja-JP"/>
        </w:rPr>
        <w:t xml:space="preserve">1 </w:t>
      </w:r>
      <w:r>
        <w:rPr>
          <w:lang w:val="es-ES" w:eastAsia="ja-JP"/>
        </w:rPr>
        <w:t>del</w:t>
      </w:r>
      <w:r w:rsidR="00B32DF6" w:rsidRPr="00003B32">
        <w:rPr>
          <w:lang w:val="es-ES" w:eastAsia="ja-JP"/>
        </w:rPr>
        <w:t xml:space="preserve"> Add</w:t>
      </w:r>
      <w:r>
        <w:rPr>
          <w:lang w:val="es-ES" w:eastAsia="ja-JP"/>
        </w:rPr>
        <w:t>é</w:t>
      </w:r>
      <w:r w:rsidR="00B32DF6" w:rsidRPr="00003B32">
        <w:rPr>
          <w:lang w:val="es-ES" w:eastAsia="ja-JP"/>
        </w:rPr>
        <w:t xml:space="preserve">ndum 1 </w:t>
      </w:r>
      <w:r>
        <w:rPr>
          <w:lang w:val="es-ES" w:eastAsia="ja-JP"/>
        </w:rPr>
        <w:t>al</w:t>
      </w:r>
      <w:r w:rsidR="00B32DF6" w:rsidRPr="00003B32">
        <w:rPr>
          <w:lang w:val="es-ES" w:eastAsia="ja-JP"/>
        </w:rPr>
        <w:t xml:space="preserve"> </w:t>
      </w:r>
      <w:r w:rsidRPr="00003B32">
        <w:rPr>
          <w:lang w:val="es-ES" w:eastAsia="ja-JP"/>
        </w:rPr>
        <w:t>Documen</w:t>
      </w:r>
      <w:r>
        <w:rPr>
          <w:lang w:val="es-ES" w:eastAsia="ja-JP"/>
        </w:rPr>
        <w:t>t</w:t>
      </w:r>
      <w:r w:rsidRPr="00003B32">
        <w:rPr>
          <w:lang w:val="es-ES" w:eastAsia="ja-JP"/>
        </w:rPr>
        <w:t>o</w:t>
      </w:r>
      <w:r w:rsidR="00B32DF6" w:rsidRPr="00003B32">
        <w:rPr>
          <w:lang w:val="es-ES" w:eastAsia="ja-JP"/>
        </w:rPr>
        <w:t xml:space="preserve"> </w:t>
      </w:r>
      <w:r>
        <w:rPr>
          <w:lang w:val="es-ES" w:eastAsia="ja-JP"/>
        </w:rPr>
        <w:t>RPC</w:t>
      </w:r>
      <w:r w:rsidR="00B32DF6" w:rsidRPr="00003B32">
        <w:rPr>
          <w:lang w:val="es-ES" w:eastAsia="ja-JP"/>
        </w:rPr>
        <w:t>-15/4</w:t>
      </w:r>
      <w:r w:rsidR="00F70AD2">
        <w:rPr>
          <w:lang w:val="es-ES" w:eastAsia="ja-JP"/>
        </w:rPr>
        <w:t>; incluso para la componente terrenal de las</w:t>
      </w:r>
      <w:r w:rsidR="00B32DF6" w:rsidRPr="00003B32">
        <w:rPr>
          <w:lang w:val="es-ES" w:eastAsia="ja-JP"/>
        </w:rPr>
        <w:t xml:space="preserve"> IMT, </w:t>
      </w:r>
      <w:r w:rsidR="00F70AD2" w:rsidRPr="00F70AD2">
        <w:rPr>
          <w:lang w:val="es-ES" w:eastAsia="ja-JP"/>
        </w:rPr>
        <w:t xml:space="preserve">la práctica actual de la BR </w:t>
      </w:r>
      <w:r w:rsidR="00F70AD2">
        <w:rPr>
          <w:lang w:val="es-ES" w:eastAsia="ja-JP"/>
        </w:rPr>
        <w:t>consiste en aplicar los mismos niveles de dfp que figuran en el Apéndice</w:t>
      </w:r>
      <w:r w:rsidR="00B32DF6" w:rsidRPr="00003B32">
        <w:rPr>
          <w:lang w:val="es-ES" w:eastAsia="ja-JP"/>
        </w:rPr>
        <w:t xml:space="preserve"> </w:t>
      </w:r>
      <w:r w:rsidR="00B32DF6" w:rsidRPr="00003B32">
        <w:rPr>
          <w:b/>
          <w:bCs/>
          <w:lang w:val="es-ES" w:eastAsia="ja-JP"/>
        </w:rPr>
        <w:t>5</w:t>
      </w:r>
      <w:r w:rsidR="00B32DF6" w:rsidRPr="00003B32">
        <w:rPr>
          <w:lang w:val="es-ES" w:eastAsia="ja-JP"/>
        </w:rPr>
        <w:t xml:space="preserve"> </w:t>
      </w:r>
      <w:r w:rsidR="00F70AD2">
        <w:rPr>
          <w:lang w:val="es-ES" w:eastAsia="ja-JP"/>
        </w:rPr>
        <w:t>del</w:t>
      </w:r>
      <w:r w:rsidR="00B32DF6" w:rsidRPr="00003B32">
        <w:rPr>
          <w:lang w:val="es-ES" w:eastAsia="ja-JP"/>
        </w:rPr>
        <w:t xml:space="preserve"> RR)</w:t>
      </w:r>
      <w:r w:rsidR="00F70AD2">
        <w:rPr>
          <w:lang w:val="es-ES" w:eastAsia="ja-JP"/>
        </w:rPr>
        <w:t>, la Opinión</w:t>
      </w:r>
      <w:r w:rsidR="00B32DF6" w:rsidRPr="00003B32">
        <w:rPr>
          <w:lang w:val="es-ES" w:eastAsia="ja-JP"/>
        </w:rPr>
        <w:t xml:space="preserve"> 1 </w:t>
      </w:r>
      <w:r w:rsidR="00F70AD2">
        <w:rPr>
          <w:lang w:val="es-ES" w:eastAsia="ja-JP"/>
        </w:rPr>
        <w:t>propone el nivel relajado de</w:t>
      </w:r>
      <w:r w:rsidR="00B32DF6" w:rsidRPr="00003B32">
        <w:rPr>
          <w:lang w:val="es-ES" w:eastAsia="ja-JP"/>
        </w:rPr>
        <w:t xml:space="preserve"> –108</w:t>
      </w:r>
      <w:r w:rsidR="00F70AD2">
        <w:rPr>
          <w:lang w:val="es-ES" w:eastAsia="ja-JP"/>
        </w:rPr>
        <w:t>,</w:t>
      </w:r>
      <w:r w:rsidR="00B32DF6" w:rsidRPr="00003B32">
        <w:rPr>
          <w:lang w:val="es-ES" w:eastAsia="ja-JP"/>
        </w:rPr>
        <w:t>8 dBW/m</w:t>
      </w:r>
      <w:r w:rsidR="00B32DF6" w:rsidRPr="00003B32">
        <w:rPr>
          <w:vertAlign w:val="superscript"/>
          <w:lang w:val="es-ES" w:eastAsia="ja-JP"/>
        </w:rPr>
        <w:t>2</w:t>
      </w:r>
      <w:r w:rsidR="00B32DF6" w:rsidRPr="00003B32">
        <w:rPr>
          <w:lang w:val="es-ES" w:eastAsia="ja-JP"/>
        </w:rPr>
        <w:t xml:space="preserve">/MHz </w:t>
      </w:r>
      <w:r w:rsidR="00F70AD2">
        <w:rPr>
          <w:lang w:val="es-ES" w:eastAsia="ja-JP"/>
        </w:rPr>
        <w:t>con la misma elevación</w:t>
      </w:r>
      <w:r w:rsidR="00B32DF6" w:rsidRPr="00003B32">
        <w:rPr>
          <w:lang w:val="es-ES" w:eastAsia="ja-JP"/>
        </w:rPr>
        <w:t xml:space="preserve">. </w:t>
      </w:r>
      <w:r w:rsidR="00F70AD2">
        <w:rPr>
          <w:lang w:val="es-ES" w:eastAsia="ja-JP"/>
        </w:rPr>
        <w:t xml:space="preserve">Es una relajación aproximada de </w:t>
      </w:r>
      <w:r w:rsidR="00B32DF6" w:rsidRPr="00003B32">
        <w:rPr>
          <w:lang w:val="es-ES" w:eastAsia="ja-JP"/>
        </w:rPr>
        <w:t xml:space="preserve">20 dB. </w:t>
      </w:r>
      <w:r w:rsidR="00F70AD2">
        <w:rPr>
          <w:lang w:val="es-ES" w:eastAsia="ja-JP"/>
        </w:rPr>
        <w:t>Este nivel de dfp relajado no tiene en cuenta la protección de algunas estacione</w:t>
      </w:r>
      <w:r w:rsidR="007E65D9">
        <w:rPr>
          <w:lang w:val="es-ES" w:eastAsia="ja-JP"/>
        </w:rPr>
        <w:t>s</w:t>
      </w:r>
      <w:r w:rsidR="00F70AD2">
        <w:rPr>
          <w:lang w:val="es-ES" w:eastAsia="ja-JP"/>
        </w:rPr>
        <w:t xml:space="preserve"> terrenales, en particular el</w:t>
      </w:r>
      <w:r w:rsidR="00F70AD2" w:rsidRPr="00F70AD2">
        <w:t xml:space="preserve"> </w:t>
      </w:r>
      <w:r w:rsidR="00F70AD2" w:rsidRPr="00F70AD2">
        <w:rPr>
          <w:lang w:val="es-ES" w:eastAsia="ja-JP"/>
        </w:rPr>
        <w:t>equipo del usuario</w:t>
      </w:r>
      <w:r w:rsidR="00F70AD2">
        <w:rPr>
          <w:lang w:val="es-ES" w:eastAsia="ja-JP"/>
        </w:rPr>
        <w:t xml:space="preserve"> de tipo máquina de las IMT</w:t>
      </w:r>
      <w:r w:rsidR="00B32DF6" w:rsidRPr="00003B32">
        <w:rPr>
          <w:lang w:val="es-ES" w:eastAsia="ja-JP"/>
        </w:rPr>
        <w:t xml:space="preserve">. </w:t>
      </w:r>
      <w:r w:rsidR="00F70AD2">
        <w:rPr>
          <w:lang w:val="es-ES" w:eastAsia="ja-JP"/>
        </w:rPr>
        <w:t>Por lo tanto, el nivel de dpf relajado propuesto pondrá en peligro el funcionamiento actual y el futuro desarrollo de las redes terrenales</w:t>
      </w:r>
      <w:r w:rsidR="00B32DF6" w:rsidRPr="00003B32">
        <w:rPr>
          <w:lang w:val="es-ES" w:eastAsia="ja-JP"/>
        </w:rPr>
        <w:t xml:space="preserve">. </w:t>
      </w:r>
      <w:r w:rsidR="00F70AD2">
        <w:rPr>
          <w:lang w:val="es-ES" w:eastAsia="ja-JP"/>
        </w:rPr>
        <w:t xml:space="preserve">En consecuencia, el Japón propone mantener los actuales niveles de dfp que figuran en el Apéndice </w:t>
      </w:r>
      <w:r w:rsidR="00B32DF6" w:rsidRPr="00003B32">
        <w:rPr>
          <w:b/>
          <w:bCs/>
          <w:lang w:val="es-ES" w:eastAsia="ja-JP"/>
        </w:rPr>
        <w:t>5</w:t>
      </w:r>
      <w:r w:rsidR="00B32DF6" w:rsidRPr="00003B32">
        <w:rPr>
          <w:lang w:val="es-ES" w:eastAsia="ja-JP"/>
        </w:rPr>
        <w:t xml:space="preserve"> </w:t>
      </w:r>
      <w:r w:rsidR="00F70AD2">
        <w:rPr>
          <w:lang w:val="es-ES" w:eastAsia="ja-JP"/>
        </w:rPr>
        <w:t>del</w:t>
      </w:r>
      <w:r w:rsidR="00B32DF6" w:rsidRPr="00003B32">
        <w:rPr>
          <w:lang w:val="es-ES" w:eastAsia="ja-JP"/>
        </w:rPr>
        <w:t xml:space="preserve"> RR.</w:t>
      </w:r>
    </w:p>
    <w:p w14:paraId="4C3AB6F4" w14:textId="30F07F4B" w:rsidR="00B32DF6" w:rsidRPr="00003B32" w:rsidRDefault="007E65D9" w:rsidP="00957D8E">
      <w:pPr>
        <w:rPr>
          <w:lang w:val="es-ES" w:eastAsia="ja-JP"/>
        </w:rPr>
      </w:pPr>
      <w:r>
        <w:rPr>
          <w:lang w:val="es-ES" w:eastAsia="ja-JP"/>
        </w:rPr>
        <w:t xml:space="preserve">Además, el límite </w:t>
      </w:r>
      <w:r w:rsidRPr="007E65D9">
        <w:rPr>
          <w:lang w:val="es-ES" w:eastAsia="ja-JP"/>
        </w:rPr>
        <w:t>de p.i.r.e.</w:t>
      </w:r>
      <w:r>
        <w:rPr>
          <w:lang w:val="es-ES" w:eastAsia="ja-JP"/>
        </w:rPr>
        <w:t xml:space="preserve"> que la Opinión </w:t>
      </w:r>
      <w:r w:rsidR="00B32DF6" w:rsidRPr="00003B32">
        <w:rPr>
          <w:lang w:val="es-ES" w:eastAsia="ja-JP"/>
        </w:rPr>
        <w:t>1 propo</w:t>
      </w:r>
      <w:r>
        <w:rPr>
          <w:lang w:val="es-ES" w:eastAsia="ja-JP"/>
        </w:rPr>
        <w:t xml:space="preserve">ne para las estaciones terrenales se basa en una hipótesis poco realista del </w:t>
      </w:r>
      <w:r w:rsidRPr="007E65D9">
        <w:rPr>
          <w:lang w:val="es-ES" w:eastAsia="ja-JP"/>
        </w:rPr>
        <w:t>caso más desfavorable</w:t>
      </w:r>
      <w:r w:rsidR="00B32DF6" w:rsidRPr="00003B32">
        <w:rPr>
          <w:lang w:val="es-ES" w:eastAsia="ja-JP"/>
        </w:rPr>
        <w:t xml:space="preserve">. </w:t>
      </w:r>
      <w:r>
        <w:rPr>
          <w:lang w:val="es-ES" w:eastAsia="ja-JP"/>
        </w:rPr>
        <w:t xml:space="preserve">Sin embargo, se pretende aplicar este límite </w:t>
      </w:r>
      <w:r w:rsidR="00B32DF6" w:rsidRPr="00003B32">
        <w:rPr>
          <w:lang w:val="es-ES" w:eastAsia="ja-JP"/>
        </w:rPr>
        <w:t>uniform</w:t>
      </w:r>
      <w:r>
        <w:rPr>
          <w:lang w:val="es-ES" w:eastAsia="ja-JP"/>
        </w:rPr>
        <w:t>emente a todas las estaciones terrenales de las</w:t>
      </w:r>
      <w:r w:rsidR="00B32DF6" w:rsidRPr="00003B32">
        <w:rPr>
          <w:lang w:val="es-ES" w:eastAsia="ja-JP"/>
        </w:rPr>
        <w:t xml:space="preserve"> IMT</w:t>
      </w:r>
      <w:r>
        <w:rPr>
          <w:lang w:val="es-ES" w:eastAsia="ja-JP"/>
        </w:rPr>
        <w:t>, aunque los estudios del UIT</w:t>
      </w:r>
      <w:r w:rsidR="00B32DF6" w:rsidRPr="00003B32">
        <w:rPr>
          <w:lang w:val="es-ES" w:eastAsia="ja-JP"/>
        </w:rPr>
        <w:t xml:space="preserve">-R </w:t>
      </w:r>
      <w:r>
        <w:rPr>
          <w:lang w:val="es-ES" w:eastAsia="ja-JP"/>
        </w:rPr>
        <w:t>han mostrado una interferencia potencial mucho menor de la componente terrenal en la componente de satélite en casos realistas</w:t>
      </w:r>
      <w:r w:rsidR="00B32DF6" w:rsidRPr="00003B32">
        <w:rPr>
          <w:lang w:val="es-ES" w:eastAsia="ja-JP"/>
        </w:rPr>
        <w:t xml:space="preserve">. </w:t>
      </w:r>
    </w:p>
    <w:p w14:paraId="038995F9" w14:textId="77777777" w:rsidR="00B32DF6" w:rsidRPr="00003B32" w:rsidRDefault="00B32DF6" w:rsidP="00957D8E">
      <w:pPr>
        <w:rPr>
          <w:lang w:val="es-ES"/>
        </w:rPr>
      </w:pPr>
    </w:p>
    <w:p w14:paraId="504B1113" w14:textId="77777777" w:rsidR="00B32DF6" w:rsidRPr="00003B32" w:rsidRDefault="00B32DF6" w:rsidP="00957D8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003B32">
        <w:rPr>
          <w:lang w:val="es-ES"/>
        </w:rPr>
        <w:br w:type="page"/>
      </w:r>
    </w:p>
    <w:p w14:paraId="24346851" w14:textId="67AE7642" w:rsidR="00C94E91" w:rsidRPr="00003B32" w:rsidRDefault="00362A08" w:rsidP="00957D8E">
      <w:pPr>
        <w:pStyle w:val="Proposal"/>
        <w:rPr>
          <w:lang w:val="es-ES"/>
        </w:rPr>
      </w:pPr>
      <w:r w:rsidRPr="00003B32">
        <w:rPr>
          <w:lang w:val="es-ES"/>
        </w:rPr>
        <w:lastRenderedPageBreak/>
        <w:tab/>
        <w:t>J/80A21A1/1</w:t>
      </w:r>
    </w:p>
    <w:p w14:paraId="0992BB61" w14:textId="2908E1E5" w:rsidR="00C94E91" w:rsidRPr="00003B32" w:rsidRDefault="007E65D9" w:rsidP="00957D8E">
      <w:pPr>
        <w:rPr>
          <w:lang w:val="es-ES"/>
        </w:rPr>
      </w:pPr>
      <w:r>
        <w:rPr>
          <w:lang w:val="es-ES"/>
        </w:rPr>
        <w:t>Se propone no introducir ninguna modificación</w:t>
      </w:r>
      <w:r w:rsidR="00B32DF6" w:rsidRPr="00003B32">
        <w:rPr>
          <w:lang w:val="es-ES"/>
        </w:rPr>
        <w:t xml:space="preserve"> (NOC) </w:t>
      </w:r>
      <w:r>
        <w:rPr>
          <w:lang w:val="es-ES"/>
        </w:rPr>
        <w:t>en el Reglamento de Radiocomunicaciones</w:t>
      </w:r>
      <w:r w:rsidR="00B32DF6" w:rsidRPr="00003B32">
        <w:rPr>
          <w:lang w:val="es-ES"/>
        </w:rPr>
        <w:t xml:space="preserve"> </w:t>
      </w:r>
      <w:r>
        <w:rPr>
          <w:lang w:val="es-ES"/>
        </w:rPr>
        <w:t xml:space="preserve">respecto del </w:t>
      </w:r>
      <w:r w:rsidRPr="0000129C">
        <w:rPr>
          <w:lang w:val="es-ES"/>
        </w:rPr>
        <w:t>tema 9.1.1 del punto 9.1 del orden del día de la CMR-19</w:t>
      </w:r>
      <w:r w:rsidR="00B32DF6" w:rsidRPr="00003B32">
        <w:rPr>
          <w:lang w:val="es-ES"/>
        </w:rPr>
        <w:t>.</w:t>
      </w:r>
      <w:r>
        <w:rPr>
          <w:lang w:val="es-ES"/>
        </w:rPr>
        <w:t xml:space="preserve"> Únicamente debería actualizarse la</w:t>
      </w:r>
      <w:r w:rsidR="00B32DF6" w:rsidRPr="00003B32">
        <w:rPr>
          <w:lang w:val="es-ES"/>
        </w:rPr>
        <w:t xml:space="preserve"> </w:t>
      </w:r>
      <w:r w:rsidRPr="00003B32">
        <w:rPr>
          <w:lang w:val="es-ES"/>
        </w:rPr>
        <w:t>Resolución</w:t>
      </w:r>
      <w:r w:rsidR="00B32DF6" w:rsidRPr="00003B32">
        <w:rPr>
          <w:lang w:val="es-ES"/>
        </w:rPr>
        <w:t xml:space="preserve"> </w:t>
      </w:r>
      <w:r w:rsidR="00B32DF6" w:rsidRPr="00003B32">
        <w:rPr>
          <w:b/>
          <w:lang w:val="es-ES"/>
        </w:rPr>
        <w:t>212 (Rev.</w:t>
      </w:r>
      <w:r>
        <w:rPr>
          <w:b/>
          <w:lang w:val="es-ES"/>
        </w:rPr>
        <w:t>CMR</w:t>
      </w:r>
      <w:r w:rsidR="00B32DF6" w:rsidRPr="00003B32">
        <w:rPr>
          <w:b/>
          <w:lang w:val="es-ES"/>
        </w:rPr>
        <w:t>-15)</w:t>
      </w:r>
      <w:r w:rsidR="00B32DF6" w:rsidRPr="00003B32">
        <w:rPr>
          <w:lang w:val="es-ES"/>
        </w:rPr>
        <w:t xml:space="preserve"> </w:t>
      </w:r>
      <w:r>
        <w:rPr>
          <w:lang w:val="es-ES"/>
        </w:rPr>
        <w:t>para reflejar la finalización de los estudios</w:t>
      </w:r>
      <w:r w:rsidR="00B32DF6" w:rsidRPr="00003B32">
        <w:rPr>
          <w:lang w:val="es-ES"/>
        </w:rPr>
        <w:t>.</w:t>
      </w:r>
    </w:p>
    <w:p w14:paraId="5D2B2472" w14:textId="7E34EBDF" w:rsidR="00C94E91" w:rsidRPr="00003B32" w:rsidRDefault="00362A08" w:rsidP="00957D8E">
      <w:pPr>
        <w:pStyle w:val="Reasons"/>
        <w:rPr>
          <w:lang w:val="es-ES"/>
        </w:rPr>
      </w:pPr>
      <w:r w:rsidRPr="00003B32">
        <w:rPr>
          <w:b/>
          <w:lang w:val="es-ES"/>
        </w:rPr>
        <w:t>Motivos:</w:t>
      </w:r>
      <w:r w:rsidRPr="00003B32">
        <w:rPr>
          <w:lang w:val="es-ES"/>
        </w:rPr>
        <w:tab/>
      </w:r>
      <w:r w:rsidR="007E65D9">
        <w:rPr>
          <w:lang w:val="es-ES"/>
        </w:rPr>
        <w:t xml:space="preserve">La posible interferencia en todos los escenarios de interferencia entre las componentes terrenal y de satélite de las IMT podría gestionarse </w:t>
      </w:r>
      <w:r w:rsidR="007E65D9">
        <w:rPr>
          <w:rFonts w:eastAsiaTheme="minorEastAsia"/>
          <w:lang w:val="es-ES" w:eastAsia="ja-JP"/>
        </w:rPr>
        <w:t>mediante consultas</w:t>
      </w:r>
      <w:r w:rsidR="007E65D9" w:rsidRPr="00003B32">
        <w:rPr>
          <w:rFonts w:eastAsiaTheme="minorEastAsia"/>
          <w:lang w:val="es-ES" w:eastAsia="ja-JP"/>
        </w:rPr>
        <w:t xml:space="preserve"> bilateral</w:t>
      </w:r>
      <w:r w:rsidR="007E65D9">
        <w:rPr>
          <w:rFonts w:eastAsiaTheme="minorEastAsia"/>
          <w:lang w:val="es-ES" w:eastAsia="ja-JP"/>
        </w:rPr>
        <w:t>es</w:t>
      </w:r>
      <w:r w:rsidR="007E65D9" w:rsidRPr="00003B32">
        <w:rPr>
          <w:rFonts w:eastAsiaTheme="minorEastAsia"/>
          <w:lang w:val="es-ES" w:eastAsia="ja-JP"/>
        </w:rPr>
        <w:t>/multilateral</w:t>
      </w:r>
      <w:r w:rsidR="007E65D9">
        <w:rPr>
          <w:rFonts w:eastAsiaTheme="minorEastAsia"/>
          <w:lang w:val="es-ES" w:eastAsia="ja-JP"/>
        </w:rPr>
        <w:t>es en las que las administraciones pueden determinar bilateral</w:t>
      </w:r>
      <w:r w:rsidR="005E723B">
        <w:rPr>
          <w:rFonts w:eastAsiaTheme="minorEastAsia"/>
          <w:lang w:val="es-ES" w:eastAsia="ja-JP"/>
        </w:rPr>
        <w:t xml:space="preserve"> o </w:t>
      </w:r>
      <w:r w:rsidR="007E65D9">
        <w:rPr>
          <w:rFonts w:eastAsiaTheme="minorEastAsia"/>
          <w:lang w:val="es-ES" w:eastAsia="ja-JP"/>
        </w:rPr>
        <w:t>multilateral</w:t>
      </w:r>
      <w:r w:rsidR="005E723B">
        <w:rPr>
          <w:rFonts w:eastAsiaTheme="minorEastAsia"/>
          <w:lang w:val="es-ES" w:eastAsia="ja-JP"/>
        </w:rPr>
        <w:t>mente</w:t>
      </w:r>
      <w:r w:rsidR="007E65D9">
        <w:rPr>
          <w:rFonts w:eastAsiaTheme="minorEastAsia"/>
          <w:lang w:val="es-ES" w:eastAsia="ja-JP"/>
        </w:rPr>
        <w:t xml:space="preserve"> las </w:t>
      </w:r>
      <w:r w:rsidR="007E65D9" w:rsidRPr="007E65D9">
        <w:rPr>
          <w:rFonts w:eastAsiaTheme="minorEastAsia"/>
          <w:lang w:val="es-ES" w:eastAsia="ja-JP"/>
        </w:rPr>
        <w:t xml:space="preserve">técnicas de </w:t>
      </w:r>
      <w:r w:rsidR="005E723B">
        <w:rPr>
          <w:rFonts w:eastAsiaTheme="minorEastAsia"/>
          <w:lang w:val="es-ES" w:eastAsia="ja-JP"/>
        </w:rPr>
        <w:t>mitigación</w:t>
      </w:r>
      <w:r w:rsidR="007E65D9" w:rsidRPr="007E65D9">
        <w:rPr>
          <w:rFonts w:eastAsiaTheme="minorEastAsia"/>
          <w:lang w:val="es-ES" w:eastAsia="ja-JP"/>
        </w:rPr>
        <w:t xml:space="preserve"> adecuadas </w:t>
      </w:r>
      <w:r w:rsidR="007E65D9">
        <w:rPr>
          <w:rFonts w:eastAsiaTheme="minorEastAsia"/>
          <w:lang w:val="es-ES" w:eastAsia="ja-JP"/>
        </w:rPr>
        <w:t xml:space="preserve">caso por caso, sin perder la flexibilidad </w:t>
      </w:r>
      <w:r w:rsidR="005E723B">
        <w:rPr>
          <w:rFonts w:eastAsiaTheme="minorEastAsia"/>
          <w:lang w:val="es-ES" w:eastAsia="ja-JP"/>
        </w:rPr>
        <w:t>actual</w:t>
      </w:r>
      <w:r w:rsidR="007E65D9">
        <w:rPr>
          <w:rFonts w:eastAsiaTheme="minorEastAsia"/>
          <w:lang w:val="es-ES" w:eastAsia="ja-JP"/>
        </w:rPr>
        <w:t xml:space="preserve"> de cada Administración para la implantación de las componentes terrenales o de satélite de las IMT</w:t>
      </w:r>
      <w:r w:rsidR="00B32DF6" w:rsidRPr="00003B32">
        <w:rPr>
          <w:lang w:val="es-ES"/>
        </w:rPr>
        <w:t>.</w:t>
      </w:r>
    </w:p>
    <w:p w14:paraId="2572E390" w14:textId="77777777" w:rsidR="00B32DF6" w:rsidRPr="00003B32" w:rsidRDefault="00B32DF6" w:rsidP="00957D8E">
      <w:pPr>
        <w:jc w:val="center"/>
        <w:rPr>
          <w:lang w:val="es-ES"/>
        </w:rPr>
      </w:pPr>
      <w:r w:rsidRPr="00003B32">
        <w:rPr>
          <w:lang w:val="es-ES"/>
        </w:rPr>
        <w:t>______________</w:t>
      </w:r>
    </w:p>
    <w:sectPr w:rsidR="00B32DF6" w:rsidRPr="00003B3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B6E1" w14:textId="77777777" w:rsidR="003C0613" w:rsidRDefault="003C0613">
      <w:r>
        <w:separator/>
      </w:r>
    </w:p>
  </w:endnote>
  <w:endnote w:type="continuationSeparator" w:id="0">
    <w:p w14:paraId="20FBDAEB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E76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BFE390" w14:textId="78A346A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A798C">
      <w:rPr>
        <w:noProof/>
        <w:lang w:val="en-US"/>
      </w:rPr>
      <w:t>P:\ESP\ITU-R\CONF-R\CMR19\000\080ADD21ADD01S.docx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798C">
      <w:rPr>
        <w:noProof/>
      </w:rPr>
      <w:t>17.10.19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798C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9231" w14:textId="43F1DACE" w:rsidR="0077084A" w:rsidRDefault="00362A08" w:rsidP="00362A08">
    <w:pPr>
      <w:pStyle w:val="Footer"/>
      <w:rPr>
        <w:lang w:val="en-GB"/>
      </w:rPr>
    </w:pPr>
    <w:r>
      <w:fldChar w:fldCharType="begin"/>
    </w:r>
    <w:r w:rsidRPr="00362A08">
      <w:rPr>
        <w:lang w:val="en-GB"/>
      </w:rPr>
      <w:instrText xml:space="preserve"> FILENAME \p  \* MERGEFORMAT </w:instrText>
    </w:r>
    <w:r>
      <w:fldChar w:fldCharType="separate"/>
    </w:r>
    <w:r w:rsidR="004A798C">
      <w:rPr>
        <w:lang w:val="en-GB"/>
      </w:rPr>
      <w:t>P:\ESP\ITU-R\CONF-R\CMR19\000\080ADD21ADD01S.docx</w:t>
    </w:r>
    <w:r>
      <w:fldChar w:fldCharType="end"/>
    </w:r>
    <w:r w:rsidRPr="00362A08">
      <w:rPr>
        <w:lang w:val="en-GB"/>
      </w:rPr>
      <w:t xml:space="preserve"> (</w:t>
    </w:r>
    <w:r>
      <w:rPr>
        <w:lang w:val="en-GB"/>
      </w:rPr>
      <w:t>462170</w:t>
    </w:r>
    <w:r w:rsidRPr="00362A08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B0D4" w14:textId="0681C5C1" w:rsidR="00362A08" w:rsidRDefault="00362A08" w:rsidP="00362A08">
    <w:pPr>
      <w:pStyle w:val="Footer"/>
      <w:rPr>
        <w:lang w:val="en-GB"/>
      </w:rPr>
    </w:pPr>
    <w:r>
      <w:fldChar w:fldCharType="begin"/>
    </w:r>
    <w:r w:rsidRPr="00362A08">
      <w:rPr>
        <w:lang w:val="en-GB"/>
      </w:rPr>
      <w:instrText xml:space="preserve"> FILENAME \p  \* MERGEFORMAT </w:instrText>
    </w:r>
    <w:r>
      <w:fldChar w:fldCharType="separate"/>
    </w:r>
    <w:r w:rsidR="004A798C">
      <w:rPr>
        <w:lang w:val="en-GB"/>
      </w:rPr>
      <w:t>P:\ESP\ITU-R\CONF-R\CMR19\000\080ADD21ADD01S.docx</w:t>
    </w:r>
    <w:r>
      <w:fldChar w:fldCharType="end"/>
    </w:r>
    <w:r w:rsidRPr="00362A08">
      <w:rPr>
        <w:lang w:val="en-GB"/>
      </w:rPr>
      <w:t xml:space="preserve"> (</w:t>
    </w:r>
    <w:r>
      <w:rPr>
        <w:lang w:val="en-GB"/>
      </w:rPr>
      <w:t>462170</w:t>
    </w:r>
    <w:r w:rsidRPr="00362A08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6AA82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11107780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3A0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7610">
      <w:rPr>
        <w:rStyle w:val="PageNumber"/>
        <w:noProof/>
      </w:rPr>
      <w:t>4</w:t>
    </w:r>
    <w:r>
      <w:rPr>
        <w:rStyle w:val="PageNumber"/>
      </w:rPr>
      <w:fldChar w:fldCharType="end"/>
    </w:r>
  </w:p>
  <w:p w14:paraId="6D0FE01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80(Add.21)(Add.1)-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129C"/>
    <w:rsid w:val="00003B32"/>
    <w:rsid w:val="0002785D"/>
    <w:rsid w:val="000456A1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00A4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5466"/>
    <w:rsid w:val="002E701F"/>
    <w:rsid w:val="003248A9"/>
    <w:rsid w:val="00324FFA"/>
    <w:rsid w:val="0032680B"/>
    <w:rsid w:val="0034244A"/>
    <w:rsid w:val="00362A08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870E7"/>
    <w:rsid w:val="004A798C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E723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9596B"/>
    <w:rsid w:val="006C0E38"/>
    <w:rsid w:val="006D6E67"/>
    <w:rsid w:val="006E1A13"/>
    <w:rsid w:val="00701C20"/>
    <w:rsid w:val="00702F3D"/>
    <w:rsid w:val="00704386"/>
    <w:rsid w:val="0070518E"/>
    <w:rsid w:val="007354E9"/>
    <w:rsid w:val="007424E8"/>
    <w:rsid w:val="0074579D"/>
    <w:rsid w:val="0076009B"/>
    <w:rsid w:val="00765578"/>
    <w:rsid w:val="00766333"/>
    <w:rsid w:val="0077084A"/>
    <w:rsid w:val="007952C7"/>
    <w:rsid w:val="00797610"/>
    <w:rsid w:val="007C0B95"/>
    <w:rsid w:val="007C2317"/>
    <w:rsid w:val="007D330A"/>
    <w:rsid w:val="007E65D9"/>
    <w:rsid w:val="00817033"/>
    <w:rsid w:val="00866AE6"/>
    <w:rsid w:val="008750A8"/>
    <w:rsid w:val="008D3316"/>
    <w:rsid w:val="008E5AF2"/>
    <w:rsid w:val="0090121B"/>
    <w:rsid w:val="009144C9"/>
    <w:rsid w:val="0094091F"/>
    <w:rsid w:val="00957D8E"/>
    <w:rsid w:val="00962171"/>
    <w:rsid w:val="00973754"/>
    <w:rsid w:val="009A06B8"/>
    <w:rsid w:val="009C0BED"/>
    <w:rsid w:val="009E11EC"/>
    <w:rsid w:val="00A021CC"/>
    <w:rsid w:val="00A118DB"/>
    <w:rsid w:val="00A4450C"/>
    <w:rsid w:val="00A70423"/>
    <w:rsid w:val="00AA5E6C"/>
    <w:rsid w:val="00AE5677"/>
    <w:rsid w:val="00AE658F"/>
    <w:rsid w:val="00AF2F78"/>
    <w:rsid w:val="00B2135D"/>
    <w:rsid w:val="00B239FA"/>
    <w:rsid w:val="00B32DF6"/>
    <w:rsid w:val="00B372AB"/>
    <w:rsid w:val="00B47331"/>
    <w:rsid w:val="00B52D55"/>
    <w:rsid w:val="00B8288C"/>
    <w:rsid w:val="00B86034"/>
    <w:rsid w:val="00BE2E80"/>
    <w:rsid w:val="00BE5EDD"/>
    <w:rsid w:val="00BE6A1F"/>
    <w:rsid w:val="00BF7191"/>
    <w:rsid w:val="00C126C4"/>
    <w:rsid w:val="00C44E9E"/>
    <w:rsid w:val="00C47C11"/>
    <w:rsid w:val="00C63EB5"/>
    <w:rsid w:val="00C87DA7"/>
    <w:rsid w:val="00C94E91"/>
    <w:rsid w:val="00CC01E0"/>
    <w:rsid w:val="00CD5FEE"/>
    <w:rsid w:val="00CE60D2"/>
    <w:rsid w:val="00CE7431"/>
    <w:rsid w:val="00D00CA8"/>
    <w:rsid w:val="00D0288A"/>
    <w:rsid w:val="00D57272"/>
    <w:rsid w:val="00D72A5D"/>
    <w:rsid w:val="00D84D9C"/>
    <w:rsid w:val="00DA71A3"/>
    <w:rsid w:val="00DC629B"/>
    <w:rsid w:val="00DE1C31"/>
    <w:rsid w:val="00E05BFF"/>
    <w:rsid w:val="00E20292"/>
    <w:rsid w:val="00E262F1"/>
    <w:rsid w:val="00E3176A"/>
    <w:rsid w:val="00E36CE4"/>
    <w:rsid w:val="00E54754"/>
    <w:rsid w:val="00E56BD3"/>
    <w:rsid w:val="00E71D14"/>
    <w:rsid w:val="00E933F7"/>
    <w:rsid w:val="00EA77F0"/>
    <w:rsid w:val="00F006F7"/>
    <w:rsid w:val="00F32316"/>
    <w:rsid w:val="00F66597"/>
    <w:rsid w:val="00F666B6"/>
    <w:rsid w:val="00F675D0"/>
    <w:rsid w:val="00F70AD2"/>
    <w:rsid w:val="00F814FB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0E6D6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34244A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R16-WRC19-C-0080!A21-A1!MSW-S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2DFFB-A0A1-4EFB-AAC5-A2B95C2EBC6A}">
  <ds:schemaRefs>
    <ds:schemaRef ds:uri="http://purl.org/dc/terms/"/>
    <ds:schemaRef ds:uri="http://purl.org/dc/elements/1.1/"/>
    <ds:schemaRef ds:uri="http://www.w3.org/XML/1998/namespace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080E7C-5F37-44F5-AA9B-902F8CD8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1483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R16-WRC19-C-0080!A21-A1!MSW-S</vt:lpstr>
    </vt:vector>
  </TitlesOfParts>
  <Manager>Secretaría General - Pool</Manager>
  <Company>Unión Internacional de Telecomunicaciones (UIT)</Company>
  <LinksUpToDate>false</LinksUpToDate>
  <CharactersWithSpaces>9336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R16-WRC19-C-0080!A21-A1!MSW-S</dc:title>
  <dc:subject>Conferencia Mundial de Radiocomunicaciones - 2019</dc:subject>
  <dc:creator>Documents Proposals Manager (DPM)</dc:creator>
  <cp:keywords>DPM_v2019.10.11.1_prod</cp:keywords>
  <dc:description/>
  <cp:lastModifiedBy>Spanish</cp:lastModifiedBy>
  <cp:revision>8</cp:revision>
  <cp:lastPrinted>2019-10-17T07:08:00Z</cp:lastPrinted>
  <dcterms:created xsi:type="dcterms:W3CDTF">2019-10-17T07:04:00Z</dcterms:created>
  <dcterms:modified xsi:type="dcterms:W3CDTF">2019-10-17T07:15:00Z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