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582F55" w14:paraId="01CB5F2F" w14:textId="77777777" w:rsidTr="00F55E63">
        <w:trPr>
          <w:cantSplit/>
          <w:trHeight w:val="20"/>
        </w:trPr>
        <w:tc>
          <w:tcPr>
            <w:tcW w:w="6619" w:type="dxa"/>
          </w:tcPr>
          <w:p w14:paraId="7E832397" w14:textId="77777777" w:rsidR="00280E04" w:rsidRPr="00582F55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582F55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582F55">
              <w:rPr>
                <w:rFonts w:ascii="Verdana Bold" w:hAnsi="Verdana Bold"/>
                <w:sz w:val="27"/>
                <w:szCs w:val="40"/>
              </w:rPr>
              <w:t>(WRC-19)</w:t>
            </w:r>
            <w:r w:rsidRPr="00582F55">
              <w:rPr>
                <w:rtl/>
              </w:rPr>
              <w:br/>
            </w:r>
            <w:r w:rsidRPr="00582F55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582F55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582F55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582F55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582F55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582F55">
              <w:rPr>
                <w:rFonts w:ascii="Verdana Bold" w:hAnsi="Verdana Bold"/>
                <w:sz w:val="24"/>
                <w:szCs w:val="38"/>
              </w:rPr>
              <w:t>22</w:t>
            </w:r>
            <w:r w:rsidRPr="00582F55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582F55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582F55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7F94B53" w14:textId="77777777" w:rsidR="00280E04" w:rsidRPr="00582F55" w:rsidRDefault="00A375BD" w:rsidP="00D44350">
            <w:pPr>
              <w:rPr>
                <w:rtl/>
                <w:lang w:bidi="ar-EG"/>
              </w:rPr>
            </w:pPr>
            <w:r w:rsidRPr="00582F55">
              <w:rPr>
                <w:noProof/>
                <w:lang w:val="en-GB" w:eastAsia="zh-CN"/>
              </w:rPr>
              <w:drawing>
                <wp:inline distT="0" distB="0" distL="0" distR="0" wp14:anchorId="689C96D6" wp14:editId="5A536DD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582F55" w14:paraId="03309E6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20F521B" w14:textId="77777777" w:rsidR="00280E04" w:rsidRPr="00582F55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0CDD351" w14:textId="77777777" w:rsidR="00280E04" w:rsidRPr="00582F55" w:rsidRDefault="00280E04" w:rsidP="00D44350">
            <w:pPr>
              <w:rPr>
                <w:lang w:bidi="ar-EG"/>
              </w:rPr>
            </w:pPr>
          </w:p>
        </w:tc>
      </w:tr>
      <w:tr w:rsidR="00280E04" w:rsidRPr="00582F55" w14:paraId="7941381D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B3A6076" w14:textId="77777777" w:rsidR="00280E04" w:rsidRPr="00582F55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99376CC" w14:textId="77777777" w:rsidR="00280E04" w:rsidRPr="00582F55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582F55" w14:paraId="7C8FF516" w14:textId="77777777" w:rsidTr="00F55E63">
        <w:trPr>
          <w:cantSplit/>
        </w:trPr>
        <w:tc>
          <w:tcPr>
            <w:tcW w:w="6619" w:type="dxa"/>
          </w:tcPr>
          <w:p w14:paraId="56129FBA" w14:textId="77777777" w:rsidR="00A809E8" w:rsidRPr="00582F55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582F55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38691B1" w14:textId="75D2290A" w:rsidR="001D05BE" w:rsidRPr="00582F55" w:rsidRDefault="001D05BE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582F55">
              <w:rPr>
                <w:rFonts w:ascii="Verdana" w:eastAsia="SimSun" w:hAnsi="Verdana" w:hint="cs"/>
                <w:rtl/>
              </w:rPr>
              <w:t xml:space="preserve">الإضافة </w:t>
            </w:r>
            <w:r w:rsidRPr="00582F55">
              <w:rPr>
                <w:rFonts w:ascii="Verdana" w:eastAsia="SimSun" w:hAnsi="Verdana"/>
              </w:rPr>
              <w:t>1</w:t>
            </w:r>
            <w:r w:rsidRPr="00582F55">
              <w:rPr>
                <w:rFonts w:ascii="Verdana" w:eastAsia="SimSun" w:hAnsi="Verdana"/>
                <w:rtl/>
              </w:rPr>
              <w:br/>
            </w:r>
            <w:r w:rsidRPr="00582F55">
              <w:rPr>
                <w:rFonts w:ascii="Verdana" w:eastAsia="SimSun" w:hAnsi="Verdana" w:hint="cs"/>
                <w:rtl/>
              </w:rPr>
              <w:t xml:space="preserve">للوثيقة </w:t>
            </w:r>
            <w:r w:rsidRPr="00582F55">
              <w:rPr>
                <w:rFonts w:ascii="Verdana" w:eastAsia="SimSun" w:hAnsi="Verdana"/>
              </w:rPr>
              <w:t>80(Add.</w:t>
            </w:r>
            <w:proofErr w:type="gramStart"/>
            <w:r w:rsidRPr="00582F55">
              <w:rPr>
                <w:rFonts w:ascii="Verdana" w:eastAsia="SimSun" w:hAnsi="Verdana"/>
              </w:rPr>
              <w:t>21)-</w:t>
            </w:r>
            <w:proofErr w:type="gramEnd"/>
            <w:r w:rsidRPr="00582F55">
              <w:rPr>
                <w:rFonts w:ascii="Verdana" w:eastAsia="SimSun" w:hAnsi="Verdana"/>
              </w:rPr>
              <w:t>A</w:t>
            </w:r>
          </w:p>
        </w:tc>
      </w:tr>
      <w:tr w:rsidR="00A809E8" w:rsidRPr="00582F55" w14:paraId="313FEC16" w14:textId="77777777" w:rsidTr="00F55E63">
        <w:trPr>
          <w:cantSplit/>
        </w:trPr>
        <w:tc>
          <w:tcPr>
            <w:tcW w:w="6619" w:type="dxa"/>
          </w:tcPr>
          <w:p w14:paraId="39BA3944" w14:textId="77777777" w:rsidR="00A809E8" w:rsidRPr="00582F55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833AB50" w14:textId="77777777" w:rsidR="00A809E8" w:rsidRPr="00582F55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582F55">
              <w:rPr>
                <w:rFonts w:ascii="Verdana" w:eastAsia="SimSun" w:hAnsi="Verdana"/>
              </w:rPr>
              <w:t>9</w:t>
            </w:r>
            <w:r w:rsidRPr="00582F55">
              <w:rPr>
                <w:rFonts w:ascii="Verdana" w:eastAsia="SimSun" w:hAnsi="Verdana"/>
                <w:rtl/>
              </w:rPr>
              <w:t xml:space="preserve"> أكتوبر </w:t>
            </w:r>
            <w:r w:rsidRPr="00582F55">
              <w:rPr>
                <w:rFonts w:ascii="Verdana" w:eastAsia="SimSun" w:hAnsi="Verdana"/>
              </w:rPr>
              <w:t>2019</w:t>
            </w:r>
          </w:p>
        </w:tc>
      </w:tr>
      <w:tr w:rsidR="00A809E8" w:rsidRPr="00582F55" w14:paraId="15E176B4" w14:textId="77777777" w:rsidTr="00F55E63">
        <w:trPr>
          <w:cantSplit/>
        </w:trPr>
        <w:tc>
          <w:tcPr>
            <w:tcW w:w="6619" w:type="dxa"/>
          </w:tcPr>
          <w:p w14:paraId="7C50E187" w14:textId="77777777" w:rsidR="00A809E8" w:rsidRPr="00582F55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5E8FA91" w14:textId="77777777" w:rsidR="00A809E8" w:rsidRPr="00582F55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582F55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:rsidRPr="00582F55" w14:paraId="0862D6E7" w14:textId="77777777" w:rsidTr="00F55E63">
        <w:trPr>
          <w:cantSplit/>
        </w:trPr>
        <w:tc>
          <w:tcPr>
            <w:tcW w:w="9672" w:type="dxa"/>
            <w:gridSpan w:val="2"/>
          </w:tcPr>
          <w:p w14:paraId="05938BB2" w14:textId="77777777" w:rsidR="00764079" w:rsidRPr="00582F55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582F55" w14:paraId="37CDD42B" w14:textId="77777777" w:rsidTr="00F55E63">
        <w:trPr>
          <w:cantSplit/>
        </w:trPr>
        <w:tc>
          <w:tcPr>
            <w:tcW w:w="9672" w:type="dxa"/>
            <w:gridSpan w:val="2"/>
          </w:tcPr>
          <w:p w14:paraId="52DB07FA" w14:textId="77777777" w:rsidR="00764079" w:rsidRPr="00582F55" w:rsidRDefault="00F55E63" w:rsidP="00F55E63">
            <w:pPr>
              <w:pStyle w:val="Source"/>
              <w:rPr>
                <w:rtl/>
              </w:rPr>
            </w:pPr>
            <w:r w:rsidRPr="00582F55">
              <w:rPr>
                <w:rtl/>
              </w:rPr>
              <w:t>اليابان</w:t>
            </w:r>
          </w:p>
        </w:tc>
      </w:tr>
      <w:tr w:rsidR="00764079" w:rsidRPr="00582F55" w14:paraId="3E376C80" w14:textId="77777777" w:rsidTr="00F55E63">
        <w:trPr>
          <w:cantSplit/>
        </w:trPr>
        <w:tc>
          <w:tcPr>
            <w:tcW w:w="9672" w:type="dxa"/>
            <w:gridSpan w:val="2"/>
          </w:tcPr>
          <w:p w14:paraId="6E5140FF" w14:textId="77777777" w:rsidR="00764079" w:rsidRPr="00582F55" w:rsidRDefault="00F55E63" w:rsidP="00F55E63">
            <w:pPr>
              <w:pStyle w:val="Title1"/>
              <w:spacing w:before="240"/>
              <w:rPr>
                <w:rtl/>
              </w:rPr>
            </w:pPr>
            <w:r w:rsidRPr="00582F55">
              <w:rPr>
                <w:rtl/>
              </w:rPr>
              <w:t>مقترحات بشأن أعمال المؤتمر</w:t>
            </w:r>
          </w:p>
        </w:tc>
      </w:tr>
      <w:tr w:rsidR="00764079" w:rsidRPr="00582F55" w14:paraId="0D9461A5" w14:textId="77777777" w:rsidTr="00F55E63">
        <w:trPr>
          <w:cantSplit/>
        </w:trPr>
        <w:tc>
          <w:tcPr>
            <w:tcW w:w="9672" w:type="dxa"/>
            <w:gridSpan w:val="2"/>
          </w:tcPr>
          <w:p w14:paraId="6F4A39B2" w14:textId="77777777" w:rsidR="00764079" w:rsidRPr="00582F55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582F55" w14:paraId="1B650C82" w14:textId="77777777" w:rsidTr="00F55E63">
        <w:trPr>
          <w:cantSplit/>
        </w:trPr>
        <w:tc>
          <w:tcPr>
            <w:tcW w:w="9672" w:type="dxa"/>
            <w:gridSpan w:val="2"/>
          </w:tcPr>
          <w:p w14:paraId="1072B3B6" w14:textId="740A1AB4" w:rsidR="00764079" w:rsidRPr="00582F55" w:rsidRDefault="00DB4CC9" w:rsidP="00F55E63">
            <w:pPr>
              <w:pStyle w:val="Agendaitem"/>
              <w:rPr>
                <w:rtl/>
                <w:lang w:val="en-US"/>
              </w:rPr>
            </w:pPr>
            <w:r w:rsidRPr="00582F55">
              <w:rPr>
                <w:rtl/>
                <w:lang w:val="en-US"/>
              </w:rPr>
              <w:t>بند جدول الأعمال</w:t>
            </w:r>
            <w:r w:rsidR="001D05BE" w:rsidRPr="00582F55">
              <w:rPr>
                <w:rFonts w:hint="cs"/>
                <w:rtl/>
                <w:lang w:val="en-US"/>
              </w:rPr>
              <w:t xml:space="preserve"> </w:t>
            </w:r>
            <w:r w:rsidR="001D05BE" w:rsidRPr="00582F55">
              <w:rPr>
                <w:rFonts w:eastAsia="SimSun"/>
              </w:rPr>
              <w:t>(1.1.9)1.9</w:t>
            </w:r>
          </w:p>
        </w:tc>
      </w:tr>
    </w:tbl>
    <w:p w14:paraId="0E9DA455" w14:textId="77777777" w:rsidR="001D597A" w:rsidRPr="00582F55" w:rsidRDefault="001D05BE" w:rsidP="00F41176">
      <w:pPr>
        <w:spacing w:before="360"/>
        <w:rPr>
          <w:rFonts w:eastAsia="SimSun"/>
          <w:szCs w:val="22"/>
          <w:rtl/>
          <w:lang w:bidi="ar-SY"/>
        </w:rPr>
      </w:pPr>
      <w:r w:rsidRPr="00582F55">
        <w:rPr>
          <w:rFonts w:eastAsia="SimSun"/>
          <w:lang w:eastAsia="zh-CN" w:bidi="ar-SY"/>
        </w:rPr>
        <w:t>9</w:t>
      </w:r>
      <w:r w:rsidRPr="00582F55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582F55">
        <w:rPr>
          <w:rFonts w:eastAsia="SimSun"/>
          <w:lang w:eastAsia="zh-CN" w:bidi="ar-SY"/>
        </w:rPr>
        <w:t>7</w:t>
      </w:r>
      <w:r w:rsidRPr="00582F55">
        <w:rPr>
          <w:rFonts w:eastAsia="SimSun" w:hint="cs"/>
          <w:rtl/>
          <w:lang w:eastAsia="zh-CN"/>
        </w:rPr>
        <w:t xml:space="preserve"> من الاتفاقية:</w:t>
      </w:r>
    </w:p>
    <w:p w14:paraId="50B600D5" w14:textId="77777777" w:rsidR="001D597A" w:rsidRPr="00582F55" w:rsidRDefault="001D05BE" w:rsidP="00295A04">
      <w:pPr>
        <w:rPr>
          <w:rFonts w:eastAsia="SimSun"/>
          <w:szCs w:val="22"/>
          <w:rtl/>
          <w:lang w:bidi="ar-SY"/>
        </w:rPr>
      </w:pPr>
      <w:r w:rsidRPr="00582F55">
        <w:rPr>
          <w:rFonts w:eastAsia="SimSun"/>
          <w:lang w:eastAsia="zh-CN" w:bidi="ar-SY"/>
        </w:rPr>
        <w:t>1.9</w:t>
      </w:r>
      <w:r w:rsidRPr="00582F55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582F55">
        <w:rPr>
          <w:rFonts w:eastAsia="SimSun" w:hint="eastAsia"/>
          <w:rtl/>
          <w:lang w:eastAsia="zh-CN"/>
        </w:rPr>
        <w:t> </w:t>
      </w:r>
      <w:r w:rsidRPr="00582F55">
        <w:rPr>
          <w:rFonts w:eastAsia="SimSun"/>
          <w:lang w:eastAsia="zh-CN" w:bidi="ar-SY"/>
        </w:rPr>
        <w:t>2015</w:t>
      </w:r>
      <w:r w:rsidRPr="00582F55">
        <w:rPr>
          <w:rFonts w:eastAsia="SimSun" w:hint="cs"/>
          <w:rtl/>
          <w:lang w:eastAsia="zh-CN" w:bidi="ar-SY"/>
        </w:rPr>
        <w:t xml:space="preserve"> </w:t>
      </w:r>
      <w:r w:rsidRPr="00582F55">
        <w:rPr>
          <w:rFonts w:eastAsia="SimSun"/>
          <w:lang w:eastAsia="zh-CN" w:bidi="ar-SY"/>
        </w:rPr>
        <w:t>(WRC</w:t>
      </w:r>
      <w:r w:rsidRPr="00582F55">
        <w:rPr>
          <w:rFonts w:eastAsia="SimSun"/>
          <w:lang w:eastAsia="zh-CN" w:bidi="ar-SY"/>
        </w:rPr>
        <w:noBreakHyphen/>
        <w:t>15)</w:t>
      </w:r>
      <w:r w:rsidRPr="00582F55">
        <w:rPr>
          <w:rFonts w:eastAsia="SimSun" w:hint="cs"/>
          <w:rtl/>
          <w:lang w:eastAsia="zh-CN"/>
        </w:rPr>
        <w:t>؛</w:t>
      </w:r>
    </w:p>
    <w:p w14:paraId="714ACECE" w14:textId="77777777" w:rsidR="001D597A" w:rsidRPr="00582F55" w:rsidRDefault="001D05BE" w:rsidP="00CA2CD1">
      <w:pPr>
        <w:rPr>
          <w:rFonts w:eastAsia="SimSun"/>
          <w:szCs w:val="22"/>
          <w:rtl/>
          <w:lang w:bidi="ar-SY"/>
        </w:rPr>
      </w:pPr>
      <w:r w:rsidRPr="00582F55">
        <w:rPr>
          <w:rFonts w:eastAsia="SimSun"/>
        </w:rPr>
        <w:t xml:space="preserve"> (1.1.9)1.9</w:t>
      </w:r>
      <w:r w:rsidRPr="00582F55">
        <w:rPr>
          <w:rFonts w:eastAsia="SimSun"/>
        </w:rPr>
        <w:tab/>
      </w:r>
      <w:r w:rsidRPr="00582F55">
        <w:rPr>
          <w:rFonts w:eastAsia="SimSun" w:hint="cs"/>
          <w:rtl/>
        </w:rPr>
        <w:t>القـرار</w:t>
      </w:r>
      <w:r w:rsidRPr="00582F55">
        <w:rPr>
          <w:rFonts w:eastAsia="SimSun"/>
          <w:rtl/>
        </w:rPr>
        <w:t xml:space="preserve"> </w:t>
      </w:r>
      <w:r w:rsidRPr="00582F55">
        <w:rPr>
          <w:rFonts w:eastAsia="SimSun"/>
          <w:b/>
          <w:bCs/>
        </w:rPr>
        <w:t>212 (Rev.WRC-15)</w:t>
      </w:r>
      <w:r w:rsidRPr="00582F55">
        <w:rPr>
          <w:rFonts w:eastAsia="SimSun" w:hint="cs"/>
          <w:rtl/>
        </w:rPr>
        <w:t xml:space="preserve"> - تنفيذ</w:t>
      </w:r>
      <w:r w:rsidRPr="00582F55">
        <w:rPr>
          <w:rFonts w:eastAsia="SimSun"/>
          <w:rtl/>
        </w:rPr>
        <w:t xml:space="preserve"> </w:t>
      </w:r>
      <w:r w:rsidRPr="00582F55">
        <w:rPr>
          <w:rFonts w:eastAsia="SimSun" w:hint="cs"/>
          <w:rtl/>
        </w:rPr>
        <w:t>الاتصالات</w:t>
      </w:r>
      <w:r w:rsidRPr="00582F55">
        <w:rPr>
          <w:rFonts w:eastAsia="SimSun"/>
          <w:rtl/>
        </w:rPr>
        <w:t xml:space="preserve"> </w:t>
      </w:r>
      <w:r w:rsidRPr="00582F55">
        <w:rPr>
          <w:rFonts w:eastAsia="SimSun" w:hint="cs"/>
          <w:rtl/>
        </w:rPr>
        <w:t>المتنقلة</w:t>
      </w:r>
      <w:r w:rsidRPr="00582F55">
        <w:rPr>
          <w:rFonts w:eastAsia="SimSun"/>
          <w:rtl/>
        </w:rPr>
        <w:t xml:space="preserve"> </w:t>
      </w:r>
      <w:r w:rsidRPr="00582F55">
        <w:rPr>
          <w:rFonts w:eastAsia="SimSun" w:hint="cs"/>
          <w:rtl/>
        </w:rPr>
        <w:t>الدولية</w:t>
      </w:r>
      <w:r w:rsidRPr="00582F55">
        <w:rPr>
          <w:rFonts w:eastAsia="SimSun"/>
          <w:rtl/>
        </w:rPr>
        <w:t xml:space="preserve"> </w:t>
      </w:r>
      <w:r w:rsidRPr="00582F55">
        <w:rPr>
          <w:rFonts w:eastAsia="SimSun" w:hint="cs"/>
          <w:rtl/>
        </w:rPr>
        <w:t>في</w:t>
      </w:r>
      <w:r w:rsidRPr="00582F55">
        <w:rPr>
          <w:rFonts w:eastAsia="SimSun"/>
          <w:rtl/>
        </w:rPr>
        <w:t xml:space="preserve"> </w:t>
      </w:r>
      <w:r w:rsidRPr="00582F55">
        <w:rPr>
          <w:rFonts w:eastAsia="SimSun" w:hint="cs"/>
          <w:rtl/>
        </w:rPr>
        <w:t>نطاقَي</w:t>
      </w:r>
      <w:r w:rsidRPr="00582F55">
        <w:rPr>
          <w:rFonts w:eastAsia="SimSun"/>
          <w:rtl/>
        </w:rPr>
        <w:t xml:space="preserve"> </w:t>
      </w:r>
      <w:r w:rsidRPr="00582F55">
        <w:rPr>
          <w:rFonts w:eastAsia="SimSun" w:hint="cs"/>
          <w:rtl/>
        </w:rPr>
        <w:t>التردد</w:t>
      </w:r>
      <w:r w:rsidRPr="00582F55">
        <w:rPr>
          <w:rFonts w:eastAsia="SimSun"/>
          <w:rtl/>
        </w:rPr>
        <w:t xml:space="preserve"> </w:t>
      </w:r>
      <w:r w:rsidRPr="00582F55">
        <w:rPr>
          <w:rFonts w:eastAsia="SimSun"/>
        </w:rPr>
        <w:t>MHz 2 025-1 885</w:t>
      </w:r>
      <w:r w:rsidRPr="00582F55">
        <w:rPr>
          <w:rFonts w:eastAsia="SimSun"/>
          <w:rtl/>
        </w:rPr>
        <w:t xml:space="preserve"> </w:t>
      </w:r>
      <w:r w:rsidRPr="00582F55">
        <w:rPr>
          <w:rFonts w:eastAsia="SimSun" w:hint="cs"/>
          <w:rtl/>
        </w:rPr>
        <w:t>و</w:t>
      </w:r>
      <w:r w:rsidRPr="00582F55">
        <w:rPr>
          <w:rFonts w:eastAsia="SimSun"/>
        </w:rPr>
        <w:t>MHz 2 200</w:t>
      </w:r>
      <w:r w:rsidRPr="00582F55">
        <w:rPr>
          <w:rFonts w:eastAsia="SimSun"/>
        </w:rPr>
        <w:noBreakHyphen/>
        <w:t>2 110</w:t>
      </w:r>
    </w:p>
    <w:p w14:paraId="67188932" w14:textId="4D4F50B9" w:rsidR="001D05BE" w:rsidRPr="00582F55" w:rsidRDefault="001D05BE" w:rsidP="001D05BE">
      <w:pPr>
        <w:pStyle w:val="Heading1"/>
        <w:rPr>
          <w:rtl/>
        </w:rPr>
      </w:pPr>
      <w:r w:rsidRPr="00582F55">
        <w:t>1</w:t>
      </w:r>
      <w:r w:rsidRPr="00582F55">
        <w:rPr>
          <w:rtl/>
        </w:rPr>
        <w:tab/>
      </w:r>
      <w:r w:rsidRPr="00582F55">
        <w:rPr>
          <w:rFonts w:hint="cs"/>
          <w:rtl/>
        </w:rPr>
        <w:t>خلفية</w:t>
      </w:r>
    </w:p>
    <w:p w14:paraId="76D8AB96" w14:textId="02E3C605" w:rsidR="001D05BE" w:rsidRPr="00582F55" w:rsidRDefault="0085561D" w:rsidP="00F41176">
      <w:pPr>
        <w:rPr>
          <w:rtl/>
        </w:rPr>
      </w:pPr>
      <w:r w:rsidRPr="00582F55">
        <w:rPr>
          <w:rFonts w:hint="cs"/>
          <w:rtl/>
          <w:lang w:bidi="ar-EG"/>
        </w:rPr>
        <w:t xml:space="preserve">يدعو القرار </w:t>
      </w:r>
      <w:r w:rsidRPr="00582F55">
        <w:rPr>
          <w:b/>
          <w:bCs/>
          <w:lang w:val="en-GB" w:bidi="ar-EG"/>
        </w:rPr>
        <w:t>212 (Rev. WRC-15)</w:t>
      </w:r>
      <w:r w:rsidRPr="00582F55">
        <w:rPr>
          <w:rFonts w:hint="cs"/>
          <w:rtl/>
          <w:lang w:val="en-GB" w:bidi="ar-EG"/>
        </w:rPr>
        <w:t xml:space="preserve"> </w:t>
      </w:r>
      <w:r w:rsidR="001D05BE" w:rsidRPr="00582F55">
        <w:rPr>
          <w:rFonts w:hint="cs"/>
          <w:rtl/>
        </w:rPr>
        <w:t>إلى دراسة التدابير التقنية والتشغيلية الممكنة لضمان التعايش والتوافق بين المكو</w:t>
      </w:r>
      <w:r w:rsidR="00F41176">
        <w:rPr>
          <w:rFonts w:hint="cs"/>
          <w:rtl/>
        </w:rPr>
        <w:t>ّ</w:t>
      </w:r>
      <w:r w:rsidR="001D05BE" w:rsidRPr="00582F55">
        <w:rPr>
          <w:rFonts w:hint="cs"/>
          <w:rtl/>
        </w:rPr>
        <w:t xml:space="preserve">ن الأرضي للاتصالات المتنقلة الدولية (في الخدمة </w:t>
      </w:r>
      <w:r w:rsidR="001D05BE" w:rsidRPr="00582F55">
        <w:rPr>
          <w:rFonts w:hint="cs"/>
          <w:spacing w:val="10"/>
          <w:rtl/>
        </w:rPr>
        <w:t>المتنقلة) والمكو</w:t>
      </w:r>
      <w:r w:rsidR="00F41176">
        <w:rPr>
          <w:rFonts w:hint="cs"/>
          <w:spacing w:val="10"/>
          <w:rtl/>
        </w:rPr>
        <w:t>ّ</w:t>
      </w:r>
      <w:r w:rsidR="001D05BE" w:rsidRPr="00582F55">
        <w:rPr>
          <w:rFonts w:hint="cs"/>
          <w:spacing w:val="10"/>
          <w:rtl/>
        </w:rPr>
        <w:t>ن الساتلي لهذه الاتصالات (في الخدمة</w:t>
      </w:r>
      <w:r w:rsidR="0065088E">
        <w:rPr>
          <w:rFonts w:hint="cs"/>
          <w:spacing w:val="10"/>
          <w:rtl/>
        </w:rPr>
        <w:t xml:space="preserve"> المتنقلة</w:t>
      </w:r>
      <w:r w:rsidR="001D05BE" w:rsidRPr="00582F55">
        <w:rPr>
          <w:rFonts w:hint="cs"/>
          <w:spacing w:val="10"/>
          <w:rtl/>
        </w:rPr>
        <w:t xml:space="preserve"> </w:t>
      </w:r>
      <w:r w:rsidR="0065088E">
        <w:rPr>
          <w:rFonts w:hint="cs"/>
          <w:spacing w:val="10"/>
          <w:rtl/>
        </w:rPr>
        <w:t>و</w:t>
      </w:r>
      <w:r w:rsidR="001D05BE" w:rsidRPr="00582F55">
        <w:rPr>
          <w:rFonts w:hint="cs"/>
          <w:spacing w:val="10"/>
          <w:rtl/>
        </w:rPr>
        <w:t>المتنقلة الساتلية) في نطاقي التردد</w:t>
      </w:r>
      <w:r w:rsidR="001D05BE" w:rsidRPr="00582F55">
        <w:rPr>
          <w:rFonts w:hint="eastAsia"/>
          <w:spacing w:val="10"/>
          <w:rtl/>
        </w:rPr>
        <w:t> </w:t>
      </w:r>
      <w:r w:rsidR="001D05BE" w:rsidRPr="00582F55">
        <w:rPr>
          <w:spacing w:val="10"/>
        </w:rPr>
        <w:t>MHz 2 010</w:t>
      </w:r>
      <w:r w:rsidR="001D05BE" w:rsidRPr="00582F55">
        <w:rPr>
          <w:spacing w:val="10"/>
        </w:rPr>
        <w:noBreakHyphen/>
        <w:t>1 980</w:t>
      </w:r>
      <w:r w:rsidR="001D05BE" w:rsidRPr="00582F55">
        <w:rPr>
          <w:rtl/>
        </w:rPr>
        <w:t xml:space="preserve"> و</w:t>
      </w:r>
      <w:r w:rsidR="001D05BE" w:rsidRPr="00582F55">
        <w:t>MHz 2 200</w:t>
      </w:r>
      <w:r w:rsidR="001D05BE" w:rsidRPr="00582F55">
        <w:noBreakHyphen/>
        <w:t>2 170</w:t>
      </w:r>
      <w:r w:rsidR="001D05BE" w:rsidRPr="00582F55">
        <w:rPr>
          <w:rFonts w:hint="cs"/>
          <w:rtl/>
        </w:rPr>
        <w:t>، حيث تتقاسم نطاقَي التردد هذين الخدمتان المتنقلة والمتنقلة الساتلية في بلدان مختلفة، خاصة من أجل نشر المكونات الأرضية والساتلية المستقلة للاتصالات المتنقلة الدولية ولتسهيل تطوير هذه</w:t>
      </w:r>
      <w:r w:rsidR="00F41176">
        <w:rPr>
          <w:rFonts w:hint="eastAsia"/>
          <w:rtl/>
        </w:rPr>
        <w:t> </w:t>
      </w:r>
      <w:r w:rsidR="001D05BE" w:rsidRPr="00582F55">
        <w:rPr>
          <w:rFonts w:hint="cs"/>
          <w:rtl/>
        </w:rPr>
        <w:t>المكونات.</w:t>
      </w:r>
    </w:p>
    <w:p w14:paraId="2BCC4CC5" w14:textId="33C49B46" w:rsidR="001D05BE" w:rsidRPr="00582F55" w:rsidRDefault="0052569E" w:rsidP="00F41176">
      <w:pPr>
        <w:rPr>
          <w:rtl/>
          <w:lang w:bidi="ar-EG"/>
        </w:rPr>
      </w:pPr>
      <w:r w:rsidRPr="00582F55">
        <w:rPr>
          <w:rFonts w:hint="cs"/>
          <w:rtl/>
        </w:rPr>
        <w:t xml:space="preserve">وقد حدد المؤتمر الإداري العالمي للراديو لعام </w:t>
      </w:r>
      <w:r w:rsidRPr="00582F55">
        <w:rPr>
          <w:lang w:val="en-GB"/>
        </w:rPr>
        <w:t>1992</w:t>
      </w:r>
      <w:r w:rsidRPr="00582F55">
        <w:rPr>
          <w:rFonts w:hint="cs"/>
          <w:rtl/>
          <w:lang w:val="en-GB" w:bidi="ar-EG"/>
        </w:rPr>
        <w:t xml:space="preserve"> </w:t>
      </w:r>
      <w:r w:rsidR="00F41176">
        <w:rPr>
          <w:lang w:val="en-GB" w:bidi="ar-EG"/>
        </w:rPr>
        <w:t>(</w:t>
      </w:r>
      <w:r w:rsidRPr="00582F55">
        <w:rPr>
          <w:lang w:val="en-GB" w:bidi="ar-EG"/>
        </w:rPr>
        <w:t>WARC-92</w:t>
      </w:r>
      <w:r w:rsidR="00F41176">
        <w:rPr>
          <w:lang w:val="en-GB" w:bidi="ar-EG"/>
        </w:rPr>
        <w:t>)</w:t>
      </w:r>
      <w:r w:rsidRPr="00582F55">
        <w:rPr>
          <w:rFonts w:hint="cs"/>
          <w:rtl/>
        </w:rPr>
        <w:t xml:space="preserve"> بعض نطاقات التردد </w:t>
      </w:r>
      <w:r w:rsidR="00D3262D" w:rsidRPr="00582F55">
        <w:rPr>
          <w:rFonts w:hint="cs"/>
          <w:rtl/>
        </w:rPr>
        <w:t xml:space="preserve">لتضمينها خدمات متنقلة معينة، ويطلق عليها الآن الاتصالات المتنقلة الدولية. وقد </w:t>
      </w:r>
      <w:r w:rsidR="001D05BE" w:rsidRPr="00582F55">
        <w:rPr>
          <w:rFonts w:hint="cs"/>
          <w:rtl/>
          <w:lang w:bidi="ar-EG"/>
        </w:rPr>
        <w:t>ح</w:t>
      </w:r>
      <w:r w:rsidR="00D3262D" w:rsidRPr="00582F55">
        <w:rPr>
          <w:rFonts w:hint="cs"/>
          <w:rtl/>
          <w:lang w:bidi="ar-EG"/>
        </w:rPr>
        <w:t>ُ</w:t>
      </w:r>
      <w:r w:rsidR="001D05BE" w:rsidRPr="00582F55">
        <w:rPr>
          <w:rFonts w:hint="cs"/>
          <w:rtl/>
          <w:lang w:bidi="ar-EG"/>
        </w:rPr>
        <w:t xml:space="preserve">دد نطاقا التردد </w:t>
      </w:r>
      <w:r w:rsidR="001D05BE" w:rsidRPr="00582F55">
        <w:rPr>
          <w:lang w:bidi="ar-EG"/>
        </w:rPr>
        <w:t>MHz 2 025</w:t>
      </w:r>
      <w:r w:rsidR="001D05BE" w:rsidRPr="00582F55">
        <w:rPr>
          <w:lang w:bidi="ar-EG"/>
        </w:rPr>
        <w:noBreakHyphen/>
        <w:t>1 885</w:t>
      </w:r>
      <w:r w:rsidR="001D05BE" w:rsidRPr="00582F55">
        <w:rPr>
          <w:rFonts w:hint="cs"/>
          <w:rtl/>
          <w:lang w:bidi="ar-EG"/>
        </w:rPr>
        <w:t xml:space="preserve"> و</w:t>
      </w:r>
      <w:r w:rsidR="001D05BE" w:rsidRPr="00582F55">
        <w:rPr>
          <w:lang w:bidi="ar-EG"/>
        </w:rPr>
        <w:t>MHz 2 200</w:t>
      </w:r>
      <w:r w:rsidR="001D05BE" w:rsidRPr="00582F55">
        <w:rPr>
          <w:lang w:bidi="ar-EG"/>
        </w:rPr>
        <w:noBreakHyphen/>
        <w:t>2 110</w:t>
      </w:r>
      <w:r w:rsidR="001D05BE" w:rsidRPr="00582F55">
        <w:rPr>
          <w:rFonts w:hint="cs"/>
          <w:rtl/>
          <w:lang w:bidi="ar-EG"/>
        </w:rPr>
        <w:t xml:space="preserve"> في لوائح الراديو </w:t>
      </w:r>
      <w:r w:rsidR="001D05BE" w:rsidRPr="00582F55">
        <w:rPr>
          <w:lang w:bidi="ar-EG"/>
        </w:rPr>
        <w:t>(RR)</w:t>
      </w:r>
      <w:r w:rsidR="001D05BE" w:rsidRPr="00582F55">
        <w:rPr>
          <w:rFonts w:hint="cs"/>
          <w:rtl/>
        </w:rPr>
        <w:t xml:space="preserve"> </w:t>
      </w:r>
      <w:r w:rsidR="001D05BE" w:rsidRPr="00582F55">
        <w:rPr>
          <w:rFonts w:hint="cs"/>
          <w:rtl/>
          <w:lang w:bidi="ar-EG"/>
        </w:rPr>
        <w:t>لاستعمال الاتصالات المتنقلة الدولية. وفي</w:t>
      </w:r>
      <w:r w:rsidR="001D05BE" w:rsidRPr="00582F55">
        <w:rPr>
          <w:rFonts w:hint="eastAsia"/>
          <w:rtl/>
          <w:lang w:bidi="ar-EG"/>
        </w:rPr>
        <w:t> </w:t>
      </w:r>
      <w:r w:rsidR="001D05BE" w:rsidRPr="00582F55">
        <w:rPr>
          <w:rFonts w:hint="cs"/>
          <w:rtl/>
          <w:lang w:bidi="ar-EG"/>
        </w:rPr>
        <w:t>م</w:t>
      </w:r>
      <w:r w:rsidR="00F41176">
        <w:rPr>
          <w:rFonts w:hint="cs"/>
          <w:rtl/>
          <w:lang w:bidi="ar-EG"/>
        </w:rPr>
        <w:t>َ</w:t>
      </w:r>
      <w:r w:rsidR="001D05BE" w:rsidRPr="00582F55">
        <w:rPr>
          <w:rFonts w:hint="cs"/>
          <w:rtl/>
          <w:lang w:bidi="ar-EG"/>
        </w:rPr>
        <w:t xml:space="preserve">ديي </w:t>
      </w:r>
      <w:r w:rsidR="00D3262D" w:rsidRPr="00582F55">
        <w:rPr>
          <w:rFonts w:hint="cs"/>
          <w:rtl/>
          <w:lang w:bidi="ar-EG"/>
        </w:rPr>
        <w:t>ا</w:t>
      </w:r>
      <w:r w:rsidR="001D05BE" w:rsidRPr="00582F55">
        <w:rPr>
          <w:rFonts w:hint="cs"/>
          <w:rtl/>
          <w:lang w:bidi="ar-EG"/>
        </w:rPr>
        <w:t>لترددات</w:t>
      </w:r>
      <w:r w:rsidR="00D3262D" w:rsidRPr="00582F55">
        <w:rPr>
          <w:rFonts w:hint="cs"/>
          <w:rtl/>
          <w:lang w:bidi="ar-EG"/>
        </w:rPr>
        <w:t xml:space="preserve"> هذين</w:t>
      </w:r>
      <w:r w:rsidR="001D05BE" w:rsidRPr="00582F55">
        <w:rPr>
          <w:rFonts w:hint="cs"/>
          <w:rtl/>
          <w:lang w:bidi="ar-EG"/>
        </w:rPr>
        <w:t xml:space="preserve">، يوزع النطاقان </w:t>
      </w:r>
      <w:r w:rsidR="001D05BE" w:rsidRPr="00582F55">
        <w:rPr>
          <w:lang w:bidi="ar-EG"/>
        </w:rPr>
        <w:t>MHz 2 010</w:t>
      </w:r>
      <w:r w:rsidR="001D05BE" w:rsidRPr="00582F55">
        <w:rPr>
          <w:lang w:bidi="ar-EG"/>
        </w:rPr>
        <w:noBreakHyphen/>
        <w:t>1 980</w:t>
      </w:r>
      <w:r w:rsidR="001D05BE" w:rsidRPr="00582F55">
        <w:rPr>
          <w:rFonts w:hint="cs"/>
          <w:rtl/>
          <w:lang w:bidi="ar-EG"/>
        </w:rPr>
        <w:t xml:space="preserve"> و</w:t>
      </w:r>
      <w:r w:rsidR="001D05BE" w:rsidRPr="00582F55">
        <w:rPr>
          <w:lang w:bidi="ar-EG"/>
        </w:rPr>
        <w:t>MHz 2 200</w:t>
      </w:r>
      <w:r w:rsidR="001D05BE" w:rsidRPr="00582F55">
        <w:rPr>
          <w:lang w:bidi="ar-EG"/>
        </w:rPr>
        <w:noBreakHyphen/>
        <w:t>2 170</w:t>
      </w:r>
      <w:r w:rsidR="001D05BE" w:rsidRPr="00582F55">
        <w:rPr>
          <w:rFonts w:hint="cs"/>
          <w:rtl/>
          <w:lang w:bidi="ar-EG"/>
        </w:rPr>
        <w:t xml:space="preserve"> للخدمة الثابتة</w:t>
      </w:r>
      <w:r w:rsidR="00CD48CA">
        <w:rPr>
          <w:rFonts w:hint="eastAsia"/>
          <w:rtl/>
          <w:lang w:bidi="ar-EG"/>
        </w:rPr>
        <w:t> </w:t>
      </w:r>
      <w:r w:rsidR="00CD48CA">
        <w:rPr>
          <w:lang w:bidi="ar-EG"/>
        </w:rPr>
        <w:t>(FS)</w:t>
      </w:r>
      <w:r w:rsidR="00CD48CA">
        <w:rPr>
          <w:rFonts w:hint="cs"/>
          <w:rtl/>
          <w:lang w:bidi="ar-EG"/>
        </w:rPr>
        <w:t xml:space="preserve"> </w:t>
      </w:r>
      <w:r w:rsidR="001D05BE" w:rsidRPr="00582F55">
        <w:rPr>
          <w:rFonts w:hint="cs"/>
          <w:rtl/>
          <w:lang w:bidi="ar-EG"/>
        </w:rPr>
        <w:t>والخدمة المتنقلة</w:t>
      </w:r>
      <w:r w:rsidR="00CD48CA">
        <w:rPr>
          <w:rFonts w:hint="eastAsia"/>
          <w:rtl/>
          <w:lang w:bidi="ar-EG"/>
        </w:rPr>
        <w:t> </w:t>
      </w:r>
      <w:r w:rsidR="00CD48CA">
        <w:rPr>
          <w:lang w:bidi="ar-EG"/>
        </w:rPr>
        <w:t>(MS)</w:t>
      </w:r>
      <w:r w:rsidR="001D05BE" w:rsidRPr="00582F55">
        <w:rPr>
          <w:rFonts w:hint="cs"/>
          <w:rtl/>
          <w:lang w:bidi="ar-EG"/>
        </w:rPr>
        <w:t xml:space="preserve"> والخدمة المتنقلة الساتلية</w:t>
      </w:r>
      <w:r w:rsidR="00CD48CA">
        <w:rPr>
          <w:rFonts w:hint="eastAsia"/>
          <w:rtl/>
          <w:lang w:bidi="ar-EG"/>
        </w:rPr>
        <w:t> </w:t>
      </w:r>
      <w:r w:rsidR="00CD48CA">
        <w:rPr>
          <w:lang w:bidi="ar-EG"/>
        </w:rPr>
        <w:t>(MSS)</w:t>
      </w:r>
      <w:r w:rsidR="001D05BE" w:rsidRPr="00582F55">
        <w:rPr>
          <w:rFonts w:hint="cs"/>
          <w:rtl/>
          <w:lang w:bidi="ar-EG"/>
        </w:rPr>
        <w:t xml:space="preserve"> على أساس أولي مشترك</w:t>
      </w:r>
      <w:r w:rsidR="005B534C" w:rsidRPr="00582F55">
        <w:rPr>
          <w:rFonts w:hint="cs"/>
          <w:rtl/>
          <w:lang w:bidi="ar-EG"/>
        </w:rPr>
        <w:t>، بدون أي قيود على استعمال نطاق التردد للخدمة المتنقلة</w:t>
      </w:r>
      <w:r w:rsidR="001D05BE" w:rsidRPr="00582F55">
        <w:rPr>
          <w:rFonts w:hint="cs"/>
          <w:rtl/>
          <w:lang w:bidi="ar-EG"/>
        </w:rPr>
        <w:t xml:space="preserve">. ويوجد توزيع الخدمة المتنقلة الساتلية في الاتجاه أرض-فضاء في نطاق التردد </w:t>
      </w:r>
      <w:r w:rsidR="001D05BE" w:rsidRPr="00582F55">
        <w:rPr>
          <w:lang w:bidi="ar-EG"/>
        </w:rPr>
        <w:t>MHz 2 010</w:t>
      </w:r>
      <w:r w:rsidR="001D05BE" w:rsidRPr="00582F55">
        <w:rPr>
          <w:lang w:bidi="ar-EG"/>
        </w:rPr>
        <w:noBreakHyphen/>
        <w:t>1 980</w:t>
      </w:r>
      <w:r w:rsidR="001D05BE" w:rsidRPr="00582F55">
        <w:rPr>
          <w:rFonts w:hint="cs"/>
          <w:rtl/>
          <w:lang w:bidi="ar-EG"/>
        </w:rPr>
        <w:t xml:space="preserve">، </w:t>
      </w:r>
      <w:r w:rsidR="001D05BE" w:rsidRPr="00582F55">
        <w:rPr>
          <w:rFonts w:hint="cs"/>
          <w:rtl/>
          <w:lang w:bidi="ar-EG"/>
        </w:rPr>
        <w:lastRenderedPageBreak/>
        <w:t>وفي الاتجاه فضاء-أرض في</w:t>
      </w:r>
      <w:r w:rsidR="001D05BE" w:rsidRPr="00582F55">
        <w:rPr>
          <w:rFonts w:hint="eastAsia"/>
          <w:rtl/>
          <w:lang w:bidi="ar-EG"/>
        </w:rPr>
        <w:t> </w:t>
      </w:r>
      <w:r w:rsidR="001D05BE" w:rsidRPr="00582F55">
        <w:rPr>
          <w:rFonts w:hint="cs"/>
          <w:rtl/>
          <w:lang w:bidi="ar-EG"/>
        </w:rPr>
        <w:t>نطاق التردد</w:t>
      </w:r>
      <w:r w:rsidR="001D05BE" w:rsidRPr="00582F55">
        <w:rPr>
          <w:rFonts w:hint="eastAsia"/>
          <w:rtl/>
          <w:lang w:bidi="ar-EG"/>
        </w:rPr>
        <w:t> </w:t>
      </w:r>
      <w:r w:rsidR="001D05BE" w:rsidRPr="00582F55">
        <w:rPr>
          <w:lang w:bidi="ar-EG"/>
        </w:rPr>
        <w:t>MHz 2 200-2 170</w:t>
      </w:r>
      <w:r w:rsidR="001D05BE" w:rsidRPr="00582F55">
        <w:rPr>
          <w:rFonts w:hint="cs"/>
          <w:rtl/>
          <w:lang w:bidi="ar-EG"/>
        </w:rPr>
        <w:t xml:space="preserve">. وكل من المكونات الساتلية والأرضية للاتصالات المتنقلة الدولية </w:t>
      </w:r>
      <w:r w:rsidR="005B534C" w:rsidRPr="00582F55">
        <w:rPr>
          <w:rFonts w:hint="cs"/>
          <w:rtl/>
          <w:lang w:bidi="ar-EG"/>
        </w:rPr>
        <w:t xml:space="preserve">قد </w:t>
      </w:r>
      <w:r w:rsidR="001D05BE" w:rsidRPr="00582F55">
        <w:rPr>
          <w:rFonts w:hint="cs"/>
          <w:rtl/>
          <w:lang w:bidi="ar-EG"/>
        </w:rPr>
        <w:t xml:space="preserve">تم نشرها </w:t>
      </w:r>
      <w:r w:rsidR="005B534C" w:rsidRPr="00582F55">
        <w:rPr>
          <w:rFonts w:hint="cs"/>
          <w:rtl/>
          <w:lang w:bidi="ar-EG"/>
        </w:rPr>
        <w:t xml:space="preserve">بالفعل </w:t>
      </w:r>
      <w:r w:rsidR="001D05BE" w:rsidRPr="00582F55">
        <w:rPr>
          <w:rFonts w:hint="cs"/>
          <w:rtl/>
          <w:lang w:bidi="ar-EG"/>
        </w:rPr>
        <w:t>أو يُنظر في نشرها في</w:t>
      </w:r>
      <w:r w:rsidR="001D05BE" w:rsidRPr="00582F55">
        <w:rPr>
          <w:rFonts w:hint="eastAsia"/>
          <w:rtl/>
          <w:lang w:bidi="ar-EG"/>
        </w:rPr>
        <w:t> </w:t>
      </w:r>
      <w:r w:rsidR="001D05BE" w:rsidRPr="00582F55">
        <w:rPr>
          <w:rFonts w:hint="cs"/>
          <w:rtl/>
          <w:lang w:bidi="ar-EG"/>
        </w:rPr>
        <w:t>نطاقي التردد </w:t>
      </w:r>
      <w:r w:rsidR="001D05BE" w:rsidRPr="00582F55">
        <w:t>MHz 2 010</w:t>
      </w:r>
      <w:r w:rsidR="001D05BE" w:rsidRPr="00582F55">
        <w:noBreakHyphen/>
        <w:t>1 980</w:t>
      </w:r>
      <w:r w:rsidR="001D05BE" w:rsidRPr="00582F55">
        <w:rPr>
          <w:rtl/>
        </w:rPr>
        <w:t xml:space="preserve"> و</w:t>
      </w:r>
      <w:r w:rsidR="001D05BE" w:rsidRPr="00582F55">
        <w:t>MHz 2 200-2 170</w:t>
      </w:r>
      <w:r w:rsidR="001D05BE" w:rsidRPr="00582F55">
        <w:rPr>
          <w:rFonts w:hint="cs"/>
          <w:rtl/>
        </w:rPr>
        <w:t>.</w:t>
      </w:r>
    </w:p>
    <w:p w14:paraId="0DCE53E2" w14:textId="2AD621DA" w:rsidR="001D05BE" w:rsidRPr="00582F55" w:rsidRDefault="00FD173C" w:rsidP="001D05BE">
      <w:pPr>
        <w:rPr>
          <w:color w:val="000000"/>
        </w:rPr>
      </w:pPr>
      <w:r w:rsidRPr="00582F55">
        <w:rPr>
          <w:rFonts w:hint="cs"/>
          <w:spacing w:val="-2"/>
          <w:rtl/>
          <w:lang w:bidi="ar-EG"/>
        </w:rPr>
        <w:t xml:space="preserve">وقد لوحظ </w:t>
      </w:r>
      <w:r w:rsidR="001D05BE" w:rsidRPr="00582F55">
        <w:rPr>
          <w:rFonts w:hint="eastAsia"/>
          <w:spacing w:val="-2"/>
          <w:rtl/>
        </w:rPr>
        <w:t>أن</w:t>
      </w:r>
      <w:r w:rsidR="001D05BE" w:rsidRPr="00582F55">
        <w:rPr>
          <w:spacing w:val="-2"/>
          <w:rtl/>
        </w:rPr>
        <w:t xml:space="preserve"> </w:t>
      </w:r>
      <w:r w:rsidR="001D05BE" w:rsidRPr="00582F55">
        <w:rPr>
          <w:rFonts w:hint="eastAsia"/>
          <w:spacing w:val="-2"/>
          <w:rtl/>
        </w:rPr>
        <w:t>التغطية</w:t>
      </w:r>
      <w:r w:rsidR="001D05BE" w:rsidRPr="00582F55">
        <w:rPr>
          <w:spacing w:val="-2"/>
          <w:rtl/>
        </w:rPr>
        <w:t xml:space="preserve"> </w:t>
      </w:r>
      <w:r w:rsidR="001D05BE" w:rsidRPr="00582F55">
        <w:rPr>
          <w:rFonts w:hint="eastAsia"/>
          <w:spacing w:val="-2"/>
          <w:rtl/>
        </w:rPr>
        <w:t>المشتركة</w:t>
      </w:r>
      <w:r w:rsidR="001D05BE" w:rsidRPr="00582F55">
        <w:rPr>
          <w:spacing w:val="-2"/>
          <w:rtl/>
        </w:rPr>
        <w:t xml:space="preserve"> </w:t>
      </w:r>
      <w:r w:rsidR="001D05BE" w:rsidRPr="00582F55">
        <w:rPr>
          <w:rFonts w:hint="eastAsia"/>
          <w:spacing w:val="-2"/>
          <w:rtl/>
        </w:rPr>
        <w:t>و</w:t>
      </w:r>
      <w:r w:rsidR="001D05BE" w:rsidRPr="00582F55">
        <w:rPr>
          <w:color w:val="000000"/>
          <w:rtl/>
        </w:rPr>
        <w:t xml:space="preserve">النشر </w:t>
      </w:r>
      <w:r w:rsidR="001D05BE" w:rsidRPr="00582F55">
        <w:rPr>
          <w:rFonts w:hint="cs"/>
          <w:color w:val="000000"/>
          <w:rtl/>
        </w:rPr>
        <w:t xml:space="preserve">على ترددات مشتركة </w:t>
      </w:r>
      <w:r w:rsidR="001D05BE" w:rsidRPr="00582F55">
        <w:rPr>
          <w:color w:val="000000"/>
          <w:rtl/>
        </w:rPr>
        <w:t xml:space="preserve">لمكونات أرضية </w:t>
      </w:r>
      <w:proofErr w:type="spellStart"/>
      <w:r w:rsidR="001D05BE" w:rsidRPr="00582F55">
        <w:rPr>
          <w:rFonts w:hint="cs"/>
          <w:color w:val="000000"/>
          <w:rtl/>
        </w:rPr>
        <w:t>وساتلية</w:t>
      </w:r>
      <w:proofErr w:type="spellEnd"/>
      <w:r w:rsidR="001D05BE" w:rsidRPr="00582F55">
        <w:rPr>
          <w:rFonts w:hint="cs"/>
          <w:color w:val="000000"/>
          <w:rtl/>
        </w:rPr>
        <w:t xml:space="preserve"> </w:t>
      </w:r>
      <w:r w:rsidR="001D05BE" w:rsidRPr="00582F55">
        <w:rPr>
          <w:color w:val="000000"/>
          <w:rtl/>
        </w:rPr>
        <w:t xml:space="preserve">للاتصالات المتنقلة الدولية </w:t>
      </w:r>
      <w:r w:rsidRPr="00582F55">
        <w:rPr>
          <w:rFonts w:hint="cs"/>
          <w:color w:val="000000"/>
          <w:rtl/>
        </w:rPr>
        <w:t xml:space="preserve">في نفس المنطقة الجغرافية </w:t>
      </w:r>
      <w:r w:rsidR="001D05BE" w:rsidRPr="00582F55">
        <w:rPr>
          <w:color w:val="000000"/>
          <w:rtl/>
        </w:rPr>
        <w:t>غير</w:t>
      </w:r>
      <w:r w:rsidR="001D05BE" w:rsidRPr="00582F55">
        <w:rPr>
          <w:rFonts w:hint="cs"/>
          <w:color w:val="000000"/>
          <w:rtl/>
        </w:rPr>
        <w:t> </w:t>
      </w:r>
      <w:r w:rsidR="001D05BE" w:rsidRPr="00582F55">
        <w:rPr>
          <w:color w:val="000000"/>
          <w:rtl/>
        </w:rPr>
        <w:t>ممكن ما</w:t>
      </w:r>
      <w:r w:rsidR="001D05BE" w:rsidRPr="00582F55">
        <w:rPr>
          <w:rFonts w:hint="cs"/>
          <w:color w:val="000000"/>
          <w:rtl/>
        </w:rPr>
        <w:t> </w:t>
      </w:r>
      <w:r w:rsidR="001D05BE" w:rsidRPr="00582F55">
        <w:rPr>
          <w:color w:val="000000"/>
          <w:rtl/>
        </w:rPr>
        <w:t>لم</w:t>
      </w:r>
      <w:r w:rsidR="001D05BE" w:rsidRPr="00582F55">
        <w:rPr>
          <w:rFonts w:hint="cs"/>
          <w:color w:val="000000"/>
          <w:rtl/>
        </w:rPr>
        <w:t> </w:t>
      </w:r>
      <w:r w:rsidR="001D05BE" w:rsidRPr="00582F55">
        <w:rPr>
          <w:color w:val="000000"/>
          <w:rtl/>
        </w:rPr>
        <w:t>تطبق تقنيات مثل استعمال نطاق حارس مناسب أو</w:t>
      </w:r>
      <w:r w:rsidR="001D05BE" w:rsidRPr="00582F55">
        <w:rPr>
          <w:rFonts w:hint="cs"/>
          <w:color w:val="000000"/>
          <w:rtl/>
        </w:rPr>
        <w:t> </w:t>
      </w:r>
      <w:r w:rsidR="001D05BE" w:rsidRPr="00582F55">
        <w:rPr>
          <w:color w:val="000000"/>
          <w:rtl/>
        </w:rPr>
        <w:t xml:space="preserve">تقنيات تخفيف أخرى بهدف ضمان التعايش والتوافق بين المكونات الأرضية </w:t>
      </w:r>
      <w:r w:rsidR="001D05BE" w:rsidRPr="00582F55">
        <w:rPr>
          <w:rFonts w:hint="eastAsia"/>
          <w:color w:val="000000"/>
          <w:rtl/>
        </w:rPr>
        <w:t>والساتلية</w:t>
      </w:r>
      <w:r w:rsidR="001D05BE" w:rsidRPr="00582F55">
        <w:rPr>
          <w:color w:val="000000"/>
          <w:rtl/>
        </w:rPr>
        <w:t xml:space="preserve"> للاتصالات المتنقلة الدولية</w:t>
      </w:r>
      <w:r w:rsidRPr="00582F55">
        <w:rPr>
          <w:rFonts w:hint="cs"/>
          <w:color w:val="000000"/>
          <w:rtl/>
        </w:rPr>
        <w:t>.</w:t>
      </w:r>
    </w:p>
    <w:p w14:paraId="61F97624" w14:textId="66FC1E27" w:rsidR="001D05BE" w:rsidRPr="00582F55" w:rsidRDefault="00FD173C" w:rsidP="001D05BE">
      <w:pPr>
        <w:rPr>
          <w:rtl/>
          <w:lang w:val="en-GB" w:bidi="ar-EG"/>
        </w:rPr>
      </w:pPr>
      <w:r w:rsidRPr="00582F55">
        <w:rPr>
          <w:rFonts w:hint="cs"/>
          <w:rtl/>
          <w:lang w:bidi="ar-EG"/>
        </w:rPr>
        <w:t xml:space="preserve">كما لوحظ أن المكونات الساتلية والأرضية للاتصالات المتنقلة الدولية المنشورة في مناطق جغرافية متجاورة قد تتطلب تدابير تقنية وتشغيلية لتفادي التداخل الضار بينهما. وتتمتع </w:t>
      </w:r>
      <w:r w:rsidR="00F41176">
        <w:rPr>
          <w:rFonts w:hint="cs"/>
          <w:rtl/>
          <w:lang w:bidi="ar-EG"/>
        </w:rPr>
        <w:t>الإدارات حالي</w:t>
      </w:r>
      <w:r w:rsidR="00A422F1" w:rsidRPr="00582F55">
        <w:rPr>
          <w:rFonts w:hint="cs"/>
          <w:rtl/>
          <w:lang w:bidi="ar-EG"/>
        </w:rPr>
        <w:t>ا</w:t>
      </w:r>
      <w:r w:rsidR="00F41176">
        <w:rPr>
          <w:rFonts w:hint="cs"/>
          <w:rtl/>
          <w:lang w:bidi="ar-EG"/>
        </w:rPr>
        <w:t>ً</w:t>
      </w:r>
      <w:r w:rsidR="00A422F1" w:rsidRPr="00582F55">
        <w:rPr>
          <w:rFonts w:hint="cs"/>
          <w:rtl/>
          <w:lang w:bidi="ar-EG"/>
        </w:rPr>
        <w:t xml:space="preserve"> بمرونة للنظر في مختلف التدابير لهذا الغرض. ويُدعى قطاع الاتصالات الراديوية </w:t>
      </w:r>
      <w:r w:rsidR="00FA736D" w:rsidRPr="00582F55">
        <w:rPr>
          <w:rFonts w:hint="cs"/>
          <w:rtl/>
          <w:lang w:bidi="ar-EG"/>
        </w:rPr>
        <w:t>إلى تحديد التدابير</w:t>
      </w:r>
      <w:r w:rsidR="00F41176">
        <w:rPr>
          <w:rFonts w:hint="cs"/>
          <w:rtl/>
          <w:lang w:bidi="ar-EG"/>
        </w:rPr>
        <w:t xml:space="preserve"> التقنية والتشغيلية وفق</w:t>
      </w:r>
      <w:r w:rsidR="00FA736D" w:rsidRPr="00582F55">
        <w:rPr>
          <w:rFonts w:hint="cs"/>
          <w:rtl/>
          <w:lang w:bidi="ar-EG"/>
        </w:rPr>
        <w:t>ا</w:t>
      </w:r>
      <w:r w:rsidR="00F41176">
        <w:rPr>
          <w:rFonts w:hint="cs"/>
          <w:rtl/>
          <w:lang w:bidi="ar-EG"/>
        </w:rPr>
        <w:t>ً</w:t>
      </w:r>
      <w:r w:rsidR="00FA736D" w:rsidRPr="00582F55">
        <w:rPr>
          <w:rFonts w:hint="cs"/>
          <w:rtl/>
          <w:lang w:bidi="ar-EG"/>
        </w:rPr>
        <w:t xml:space="preserve"> للقرار </w:t>
      </w:r>
      <w:r w:rsidR="00FA736D" w:rsidRPr="00582F55">
        <w:rPr>
          <w:b/>
          <w:bCs/>
          <w:lang w:val="en-GB" w:bidi="ar-EG"/>
        </w:rPr>
        <w:t>212 (Rev.WRC-15)</w:t>
      </w:r>
      <w:r w:rsidR="00FA736D" w:rsidRPr="00582F55">
        <w:rPr>
          <w:rFonts w:hint="cs"/>
          <w:rtl/>
          <w:lang w:val="en-GB" w:bidi="ar-EG"/>
        </w:rPr>
        <w:t>.</w:t>
      </w:r>
    </w:p>
    <w:p w14:paraId="3F602975" w14:textId="1E5C3AEE" w:rsidR="001D05BE" w:rsidRPr="00582F55" w:rsidRDefault="001D05BE" w:rsidP="001D05BE">
      <w:pPr>
        <w:pStyle w:val="Heading1"/>
        <w:rPr>
          <w:rtl/>
        </w:rPr>
      </w:pPr>
      <w:r w:rsidRPr="00582F55">
        <w:t>2</w:t>
      </w:r>
      <w:r w:rsidRPr="00582F55">
        <w:rPr>
          <w:rtl/>
        </w:rPr>
        <w:tab/>
      </w:r>
      <w:r w:rsidR="00FA736D" w:rsidRPr="00582F55">
        <w:rPr>
          <w:rFonts w:hint="cs"/>
          <w:rtl/>
        </w:rPr>
        <w:t>حالة مناقشات قطاع الاتصالات الراديوية</w:t>
      </w:r>
    </w:p>
    <w:p w14:paraId="7C43ACB3" w14:textId="234F75A6" w:rsidR="001D05BE" w:rsidRPr="00582F55" w:rsidRDefault="005A0801" w:rsidP="001D05BE">
      <w:pPr>
        <w:rPr>
          <w:spacing w:val="4"/>
          <w:rtl/>
          <w:lang w:bidi="ar-EG"/>
        </w:rPr>
      </w:pPr>
      <w:r w:rsidRPr="00582F55">
        <w:rPr>
          <w:rFonts w:hint="cs"/>
          <w:rtl/>
          <w:lang w:bidi="ar-EG"/>
        </w:rPr>
        <w:t>اشتركت</w:t>
      </w:r>
      <w:r w:rsidR="00E10D02" w:rsidRPr="00582F55">
        <w:rPr>
          <w:rFonts w:hint="cs"/>
          <w:rtl/>
          <w:lang w:bidi="ar-EG"/>
        </w:rPr>
        <w:t xml:space="preserve"> فرقتا العمل </w:t>
      </w:r>
      <w:r w:rsidR="00E10D02" w:rsidRPr="00582F55">
        <w:rPr>
          <w:lang w:val="en-GB" w:bidi="ar-EG"/>
        </w:rPr>
        <w:t>4C</w:t>
      </w:r>
      <w:r w:rsidR="00E10D02" w:rsidRPr="00582F55">
        <w:rPr>
          <w:rFonts w:hint="cs"/>
          <w:rtl/>
          <w:lang w:val="en-GB" w:bidi="ar-EG"/>
        </w:rPr>
        <w:t xml:space="preserve"> و</w:t>
      </w:r>
      <w:r w:rsidR="00E10D02" w:rsidRPr="00582F55">
        <w:rPr>
          <w:lang w:val="en-GB" w:bidi="ar-EG"/>
        </w:rPr>
        <w:t>5D</w:t>
      </w:r>
      <w:r w:rsidR="00E10D02" w:rsidRPr="00582F55">
        <w:rPr>
          <w:rFonts w:hint="cs"/>
          <w:rtl/>
          <w:lang w:val="en-GB" w:bidi="ar-EG"/>
        </w:rPr>
        <w:t xml:space="preserve"> التابعتان لقطاع الاتصالات الراديوية، وهما المسؤولتان عن الدراسات، </w:t>
      </w:r>
      <w:r w:rsidRPr="00582F55">
        <w:rPr>
          <w:rFonts w:hint="cs"/>
          <w:rtl/>
          <w:lang w:val="en-GB" w:bidi="ar-EG"/>
        </w:rPr>
        <w:t xml:space="preserve">في </w:t>
      </w:r>
      <w:r w:rsidR="00E10D02" w:rsidRPr="00582F55">
        <w:rPr>
          <w:rFonts w:hint="cs"/>
          <w:rtl/>
          <w:lang w:bidi="ar-EG"/>
        </w:rPr>
        <w:t>وضع</w:t>
      </w:r>
      <w:r w:rsidR="001D05BE" w:rsidRPr="00582F55">
        <w:rPr>
          <w:rFonts w:hint="cs"/>
          <w:rtl/>
          <w:lang w:bidi="ar-EG"/>
        </w:rPr>
        <w:t xml:space="preserve"> </w:t>
      </w:r>
      <w:r w:rsidRPr="00582F55">
        <w:rPr>
          <w:rFonts w:hint="cs"/>
          <w:rtl/>
          <w:lang w:bidi="ar-EG"/>
        </w:rPr>
        <w:t xml:space="preserve">وثيقة العمل </w:t>
      </w:r>
      <w:r w:rsidR="001D05BE" w:rsidRPr="00582F55">
        <w:rPr>
          <w:rFonts w:hint="cs"/>
          <w:rtl/>
        </w:rPr>
        <w:t xml:space="preserve">للمشروع الأولي </w:t>
      </w:r>
      <w:r w:rsidRPr="00582F55">
        <w:rPr>
          <w:rFonts w:hint="cs"/>
          <w:rtl/>
        </w:rPr>
        <w:t>ل</w:t>
      </w:r>
      <w:r w:rsidR="001D05BE" w:rsidRPr="00582F55">
        <w:rPr>
          <w:rFonts w:hint="cs"/>
          <w:rtl/>
        </w:rPr>
        <w:t xml:space="preserve">لتقرير الجديد </w:t>
      </w:r>
      <w:r w:rsidR="001D05BE" w:rsidRPr="00582F55">
        <w:rPr>
          <w:lang w:val="en-GB"/>
        </w:rPr>
        <w:t xml:space="preserve">ITU-R </w:t>
      </w:r>
      <w:proofErr w:type="gramStart"/>
      <w:r w:rsidR="001D05BE" w:rsidRPr="00582F55">
        <w:rPr>
          <w:lang w:val="en-GB"/>
        </w:rPr>
        <w:t>M.[</w:t>
      </w:r>
      <w:proofErr w:type="gramEnd"/>
      <w:r w:rsidR="001D05BE" w:rsidRPr="00582F55">
        <w:rPr>
          <w:lang w:val="en-GB"/>
        </w:rPr>
        <w:t>MSS&amp;IMT-ADVANCED SHARING]</w:t>
      </w:r>
      <w:r w:rsidR="00FE3D9C" w:rsidRPr="00582F55">
        <w:rPr>
          <w:rFonts w:hint="cs"/>
          <w:spacing w:val="4"/>
          <w:rtl/>
          <w:lang w:val="en-GB"/>
        </w:rPr>
        <w:t xml:space="preserve">. وتقدم ورقة العمل هذه </w:t>
      </w:r>
      <w:r w:rsidR="001D05BE" w:rsidRPr="00582F55">
        <w:rPr>
          <w:rFonts w:hint="cs"/>
          <w:spacing w:val="4"/>
          <w:rtl/>
          <w:lang w:val="en-GB"/>
        </w:rPr>
        <w:t>دراسات قطاع الاتصالات الراديوية التي أجريت بشأن التعايش والتوافق بين المكون الساتلي للاتصالات</w:t>
      </w:r>
      <w:r w:rsidR="001D05BE" w:rsidRPr="00582F55">
        <w:rPr>
          <w:rFonts w:hint="eastAsia"/>
          <w:spacing w:val="4"/>
          <w:rtl/>
          <w:lang w:val="en-GB"/>
        </w:rPr>
        <w:t> </w:t>
      </w:r>
      <w:r w:rsidR="001D05BE" w:rsidRPr="00582F55">
        <w:rPr>
          <w:spacing w:val="4"/>
          <w:rtl/>
        </w:rPr>
        <w:t>المتنقلة الدولية</w:t>
      </w:r>
      <w:r w:rsidR="001D05BE" w:rsidRPr="00582F55">
        <w:rPr>
          <w:rFonts w:hint="cs"/>
          <w:spacing w:val="4"/>
          <w:rtl/>
        </w:rPr>
        <w:t xml:space="preserve"> </w:t>
      </w:r>
      <w:r w:rsidR="001D05BE" w:rsidRPr="00582F55">
        <w:rPr>
          <w:rFonts w:hint="cs"/>
          <w:spacing w:val="4"/>
          <w:rtl/>
          <w:lang w:bidi="ar-EG"/>
        </w:rPr>
        <w:t>والمكون الأرضي لهذه الاتصالات في مناطق جغرافية مجاورة في بلدان مختلفة في نطاقي التردد</w:t>
      </w:r>
      <w:r w:rsidR="001D05BE" w:rsidRPr="00582F55">
        <w:rPr>
          <w:rFonts w:hint="eastAsia"/>
          <w:spacing w:val="4"/>
          <w:rtl/>
          <w:lang w:bidi="ar-EG"/>
        </w:rPr>
        <w:t> </w:t>
      </w:r>
      <w:r w:rsidR="001D05BE" w:rsidRPr="00582F55">
        <w:rPr>
          <w:spacing w:val="4"/>
          <w:lang w:bidi="ar-EG"/>
        </w:rPr>
        <w:t>MHz 2 010</w:t>
      </w:r>
      <w:r w:rsidR="001D05BE" w:rsidRPr="00582F55">
        <w:rPr>
          <w:spacing w:val="4"/>
          <w:lang w:bidi="ar-EG"/>
        </w:rPr>
        <w:noBreakHyphen/>
        <w:t>1 980</w:t>
      </w:r>
      <w:r w:rsidR="001D05BE" w:rsidRPr="00582F55">
        <w:rPr>
          <w:rFonts w:hint="cs"/>
          <w:spacing w:val="4"/>
          <w:rtl/>
          <w:lang w:bidi="ar-EG"/>
        </w:rPr>
        <w:t xml:space="preserve"> و</w:t>
      </w:r>
      <w:r w:rsidR="001D05BE" w:rsidRPr="00582F55">
        <w:rPr>
          <w:spacing w:val="4"/>
          <w:lang w:bidi="ar-EG"/>
        </w:rPr>
        <w:t>MHz 2 200</w:t>
      </w:r>
      <w:r w:rsidR="001D05BE" w:rsidRPr="00582F55">
        <w:rPr>
          <w:spacing w:val="4"/>
          <w:lang w:bidi="ar-EG"/>
        </w:rPr>
        <w:noBreakHyphen/>
        <w:t>2 170</w:t>
      </w:r>
      <w:r w:rsidR="001D05BE" w:rsidRPr="00582F55">
        <w:rPr>
          <w:rFonts w:hint="cs"/>
          <w:spacing w:val="4"/>
          <w:rtl/>
          <w:lang w:bidi="ar-EG"/>
        </w:rPr>
        <w:t>.</w:t>
      </w:r>
      <w:r w:rsidR="00FE3D9C" w:rsidRPr="00582F55">
        <w:rPr>
          <w:rFonts w:hint="cs"/>
          <w:spacing w:val="4"/>
          <w:rtl/>
          <w:lang w:bidi="ar-EG"/>
        </w:rPr>
        <w:t xml:space="preserve"> وقد وجدت دراسات قطاع الاتصالات الراديوية المذكورة أعلاه </w:t>
      </w:r>
      <w:r w:rsidR="007C0593" w:rsidRPr="00582F55">
        <w:rPr>
          <w:rFonts w:hint="cs"/>
          <w:spacing w:val="4"/>
          <w:rtl/>
          <w:lang w:bidi="ar-EG"/>
        </w:rPr>
        <w:t>بعض التدابير التقنية والتشغيلية التي يمكن تنفيذها، مع أخذ خصائص النشر الفعلية بعين الاعتبار، على أساس التشاور الثنائي بدون قيود ت</w:t>
      </w:r>
      <w:r w:rsidR="00485210">
        <w:rPr>
          <w:rFonts w:hint="cs"/>
          <w:spacing w:val="4"/>
          <w:rtl/>
          <w:lang w:bidi="ar-EG"/>
        </w:rPr>
        <w:t>نظيمية إضافية في لوائح الراديو.</w:t>
      </w:r>
    </w:p>
    <w:p w14:paraId="4F382784" w14:textId="3A9379B4" w:rsidR="001D05BE" w:rsidRPr="00582F55" w:rsidRDefault="007C0593" w:rsidP="00485210">
      <w:pPr>
        <w:rPr>
          <w:rtl/>
          <w:lang w:val="en-GB" w:bidi="ar-EG"/>
        </w:rPr>
      </w:pPr>
      <w:r w:rsidRPr="00582F55">
        <w:rPr>
          <w:rFonts w:hint="cs"/>
          <w:rtl/>
          <w:lang w:bidi="ar-EG"/>
        </w:rPr>
        <w:t xml:space="preserve">ومع أخذ هذه الدراسات في الاعتبار، أصدر قطاع الاتصالات الراديوية تقرير الاجتماع التحضيري للمؤتمر، مما سيساعد الإدارات على النظر في هذه المسألة في المؤتمر العالمي للاتصالات الراديوية </w:t>
      </w:r>
      <w:r w:rsidR="007336DA" w:rsidRPr="00582F55">
        <w:rPr>
          <w:rFonts w:hint="cs"/>
          <w:rtl/>
          <w:lang w:bidi="ar-EG"/>
        </w:rPr>
        <w:t xml:space="preserve">لعام </w:t>
      </w:r>
      <w:r w:rsidR="007336DA" w:rsidRPr="00582F55">
        <w:rPr>
          <w:lang w:val="en-GB" w:bidi="ar-EG"/>
        </w:rPr>
        <w:t>2019</w:t>
      </w:r>
      <w:r w:rsidR="007336DA" w:rsidRPr="00582F55">
        <w:rPr>
          <w:rFonts w:hint="cs"/>
          <w:rtl/>
          <w:lang w:val="en-GB" w:bidi="ar-EG"/>
        </w:rPr>
        <w:t xml:space="preserve"> </w:t>
      </w:r>
      <w:r w:rsidR="00485210">
        <w:rPr>
          <w:lang w:val="en-GB" w:bidi="ar-EG"/>
        </w:rPr>
        <w:t>(</w:t>
      </w:r>
      <w:r w:rsidR="007336DA" w:rsidRPr="00582F55">
        <w:rPr>
          <w:lang w:val="en-GB" w:bidi="ar-EG"/>
        </w:rPr>
        <w:t>WRC-19</w:t>
      </w:r>
      <w:r w:rsidR="00485210">
        <w:rPr>
          <w:lang w:val="en-GB" w:bidi="ar-EG"/>
        </w:rPr>
        <w:t>)</w:t>
      </w:r>
      <w:r w:rsidR="00485210">
        <w:rPr>
          <w:rFonts w:hint="cs"/>
          <w:rtl/>
          <w:lang w:val="en-GB" w:bidi="ar-EG"/>
        </w:rPr>
        <w:t>.</w:t>
      </w:r>
    </w:p>
    <w:p w14:paraId="5F0ACC20" w14:textId="5CA7DC05" w:rsidR="001D05BE" w:rsidRPr="00582F55" w:rsidRDefault="001D05BE" w:rsidP="001D05BE">
      <w:pPr>
        <w:pStyle w:val="Heading1"/>
        <w:rPr>
          <w:rtl/>
        </w:rPr>
      </w:pPr>
      <w:r w:rsidRPr="00582F55">
        <w:t>3</w:t>
      </w:r>
      <w:r w:rsidRPr="00582F55">
        <w:rPr>
          <w:rtl/>
        </w:rPr>
        <w:tab/>
      </w:r>
      <w:r w:rsidR="007336DA" w:rsidRPr="00582F55">
        <w:rPr>
          <w:rFonts w:hint="cs"/>
          <w:rtl/>
        </w:rPr>
        <w:t>المناقشات</w:t>
      </w:r>
    </w:p>
    <w:p w14:paraId="02BF497E" w14:textId="50312E2D" w:rsidR="007336DA" w:rsidRPr="00582F55" w:rsidRDefault="007336DA" w:rsidP="001D05BE">
      <w:pPr>
        <w:rPr>
          <w:spacing w:val="4"/>
          <w:rtl/>
          <w:lang w:val="en-GB" w:bidi="ar-EG"/>
        </w:rPr>
      </w:pPr>
      <w:r w:rsidRPr="00582F55">
        <w:rPr>
          <w:rFonts w:hint="cs"/>
          <w:spacing w:val="4"/>
          <w:rtl/>
          <w:lang w:val="en-GB" w:bidi="ar-EG"/>
        </w:rPr>
        <w:t xml:space="preserve">تجدر ملاحظة أن </w:t>
      </w:r>
      <w:r w:rsidR="00FE6D76" w:rsidRPr="00582F55">
        <w:rPr>
          <w:rFonts w:hint="cs"/>
          <w:spacing w:val="4"/>
          <w:rtl/>
          <w:lang w:val="en-GB"/>
        </w:rPr>
        <w:t xml:space="preserve">القرار </w:t>
      </w:r>
      <w:r w:rsidR="00FE6D76" w:rsidRPr="00582F55">
        <w:rPr>
          <w:b/>
          <w:bCs/>
          <w:spacing w:val="4"/>
          <w:lang w:val="en-GB"/>
        </w:rPr>
        <w:t>212 (Rev.WRC-15)</w:t>
      </w:r>
      <w:r w:rsidR="00C4390D" w:rsidRPr="00582F55">
        <w:rPr>
          <w:rFonts w:hint="cs"/>
          <w:spacing w:val="4"/>
          <w:rtl/>
          <w:lang w:val="en-GB"/>
        </w:rPr>
        <w:t xml:space="preserve">، وهو القرار المتعلق بالمسألة </w:t>
      </w:r>
      <w:r w:rsidR="00C4390D" w:rsidRPr="00582F55">
        <w:rPr>
          <w:spacing w:val="4"/>
          <w:lang w:val="en-GB"/>
        </w:rPr>
        <w:t>1.1.9</w:t>
      </w:r>
      <w:r w:rsidR="00C4390D" w:rsidRPr="00582F55">
        <w:rPr>
          <w:rFonts w:hint="cs"/>
          <w:spacing w:val="4"/>
          <w:rtl/>
          <w:lang w:val="en-GB" w:bidi="ar-EG"/>
        </w:rPr>
        <w:t xml:space="preserve"> من البند </w:t>
      </w:r>
      <w:r w:rsidR="00C4390D" w:rsidRPr="00582F55">
        <w:rPr>
          <w:spacing w:val="4"/>
          <w:lang w:val="en-GB" w:bidi="ar-EG"/>
        </w:rPr>
        <w:t>1.9</w:t>
      </w:r>
      <w:r w:rsidR="00C4390D" w:rsidRPr="00582F55">
        <w:rPr>
          <w:rFonts w:hint="cs"/>
          <w:spacing w:val="4"/>
          <w:rtl/>
          <w:lang w:val="en-GB" w:bidi="ar-EG"/>
        </w:rPr>
        <w:t xml:space="preserve"> من جدول أعمال المؤتمر العالمي للاتصالات الراديوية لعام </w:t>
      </w:r>
      <w:r w:rsidR="00C4390D" w:rsidRPr="00582F55">
        <w:rPr>
          <w:spacing w:val="4"/>
          <w:lang w:val="en-GB" w:bidi="ar-EG"/>
        </w:rPr>
        <w:t>2019</w:t>
      </w:r>
      <w:r w:rsidR="00C4390D" w:rsidRPr="00582F55">
        <w:rPr>
          <w:rFonts w:hint="cs"/>
          <w:spacing w:val="4"/>
          <w:rtl/>
          <w:lang w:val="en-GB" w:bidi="ar-EG"/>
        </w:rPr>
        <w:t>،</w:t>
      </w:r>
      <w:r w:rsidR="00FE6D76" w:rsidRPr="00582F55">
        <w:rPr>
          <w:rFonts w:hint="cs"/>
          <w:spacing w:val="4"/>
          <w:rtl/>
          <w:lang w:val="en-GB"/>
        </w:rPr>
        <w:t xml:space="preserve"> يقتصر على دراسة </w:t>
      </w:r>
      <w:r w:rsidR="00C4390D" w:rsidRPr="00582F55">
        <w:rPr>
          <w:rFonts w:hint="cs"/>
          <w:spacing w:val="4"/>
          <w:rtl/>
          <w:lang w:val="en-GB"/>
        </w:rPr>
        <w:t>"</w:t>
      </w:r>
      <w:r w:rsidR="00FE6D76" w:rsidRPr="00582F55">
        <w:rPr>
          <w:rFonts w:hint="cs"/>
          <w:spacing w:val="4"/>
          <w:rtl/>
          <w:lang w:val="en-GB"/>
        </w:rPr>
        <w:t xml:space="preserve">التدابير التقنية والتشغيلية </w:t>
      </w:r>
      <w:r w:rsidR="00C4390D" w:rsidRPr="00582F55">
        <w:rPr>
          <w:rFonts w:hint="cs"/>
          <w:spacing w:val="4"/>
          <w:rtl/>
          <w:lang w:val="en-GB"/>
        </w:rPr>
        <w:t xml:space="preserve">الممكنة </w:t>
      </w:r>
      <w:r w:rsidR="00FE6D76" w:rsidRPr="00582F55">
        <w:rPr>
          <w:rFonts w:hint="cs"/>
          <w:spacing w:val="4"/>
          <w:rtl/>
          <w:lang w:val="en-GB"/>
        </w:rPr>
        <w:t>لضمان التعايش والتوافق بين المكو</w:t>
      </w:r>
      <w:r w:rsidR="00485210">
        <w:rPr>
          <w:rFonts w:hint="cs"/>
          <w:spacing w:val="4"/>
          <w:rtl/>
          <w:lang w:val="en-GB"/>
        </w:rPr>
        <w:t>ّ</w:t>
      </w:r>
      <w:r w:rsidR="00FE6D76" w:rsidRPr="00582F55">
        <w:rPr>
          <w:rFonts w:hint="cs"/>
          <w:spacing w:val="4"/>
          <w:rtl/>
          <w:lang w:val="en-GB"/>
        </w:rPr>
        <w:t>ن الأرضي للاتصالات</w:t>
      </w:r>
      <w:r w:rsidR="00852986" w:rsidRPr="00582F55">
        <w:rPr>
          <w:rFonts w:hint="cs"/>
          <w:spacing w:val="4"/>
          <w:rtl/>
          <w:lang w:val="en-GB"/>
        </w:rPr>
        <w:t xml:space="preserve"> المتنقلة الدولية</w:t>
      </w:r>
      <w:r w:rsidR="009F4F27" w:rsidRPr="00582F55">
        <w:rPr>
          <w:rFonts w:hint="cs"/>
          <w:spacing w:val="4"/>
          <w:rtl/>
          <w:lang w:val="en-GB"/>
        </w:rPr>
        <w:t xml:space="preserve"> (في الخدم</w:t>
      </w:r>
      <w:r w:rsidR="00485210">
        <w:rPr>
          <w:rFonts w:hint="cs"/>
          <w:spacing w:val="4"/>
          <w:rtl/>
          <w:lang w:val="en-GB"/>
        </w:rPr>
        <w:t>ة</w:t>
      </w:r>
      <w:r w:rsidR="009F4F27" w:rsidRPr="00582F55">
        <w:rPr>
          <w:rFonts w:hint="cs"/>
          <w:spacing w:val="4"/>
          <w:rtl/>
          <w:lang w:val="en-GB"/>
        </w:rPr>
        <w:t xml:space="preserve"> المتنقلة) والمكو</w:t>
      </w:r>
      <w:r w:rsidR="00485210">
        <w:rPr>
          <w:rFonts w:hint="cs"/>
          <w:spacing w:val="4"/>
          <w:rtl/>
          <w:lang w:val="en-GB"/>
        </w:rPr>
        <w:t>ّ</w:t>
      </w:r>
      <w:r w:rsidR="009F4F27" w:rsidRPr="00582F55">
        <w:rPr>
          <w:rFonts w:hint="cs"/>
          <w:spacing w:val="4"/>
          <w:rtl/>
          <w:lang w:val="en-GB"/>
        </w:rPr>
        <w:t>ن الساتلي لهذه الاتصالات (في الخدمتين المتنقلة والمتنقلة الساتلية)". ومن ثم، فلا ينبغي أن تشمل نتيجة مناقشة هذه المسألة أي تغييرات تنظيمية، وهو الأمر الذي يقع خارج نطاق هذه المسألة</w:t>
      </w:r>
      <w:r w:rsidR="00FE6D76" w:rsidRPr="00582F55">
        <w:rPr>
          <w:rFonts w:hint="cs"/>
          <w:spacing w:val="4"/>
          <w:rtl/>
          <w:lang w:val="en-GB"/>
        </w:rPr>
        <w:t>.</w:t>
      </w:r>
    </w:p>
    <w:p w14:paraId="70CE9CAD" w14:textId="556EE992" w:rsidR="00C976B6" w:rsidRPr="00582F55" w:rsidRDefault="001D05BE" w:rsidP="001D05BE">
      <w:pPr>
        <w:rPr>
          <w:spacing w:val="4"/>
          <w:rtl/>
          <w:lang w:val="en-GB" w:bidi="ar-EG"/>
        </w:rPr>
      </w:pPr>
      <w:r w:rsidRPr="00582F55">
        <w:rPr>
          <w:rFonts w:hint="cs"/>
          <w:spacing w:val="4"/>
          <w:rtl/>
          <w:lang w:val="en-GB"/>
        </w:rPr>
        <w:t xml:space="preserve">وإلى جانب ذلك، </w:t>
      </w:r>
      <w:r w:rsidR="008E5173" w:rsidRPr="00582F55">
        <w:rPr>
          <w:rFonts w:hint="cs"/>
          <w:spacing w:val="4"/>
          <w:rtl/>
          <w:lang w:val="en-GB"/>
        </w:rPr>
        <w:t xml:space="preserve">لا يوجد </w:t>
      </w:r>
      <w:r w:rsidR="00C976B6" w:rsidRPr="00582F55">
        <w:rPr>
          <w:rFonts w:hint="cs"/>
          <w:spacing w:val="4"/>
          <w:rtl/>
          <w:lang w:val="en-GB"/>
        </w:rPr>
        <w:t xml:space="preserve">دليل واضح على أن نقص </w:t>
      </w:r>
      <w:r w:rsidRPr="00582F55">
        <w:rPr>
          <w:rFonts w:hint="cs"/>
          <w:spacing w:val="4"/>
          <w:rtl/>
          <w:lang w:val="en-GB"/>
        </w:rPr>
        <w:t xml:space="preserve">أي قيود تنظيمية </w:t>
      </w:r>
      <w:r w:rsidR="00C976B6" w:rsidRPr="00582F55">
        <w:rPr>
          <w:rFonts w:hint="cs"/>
          <w:spacing w:val="4"/>
          <w:rtl/>
          <w:lang w:val="en-GB"/>
        </w:rPr>
        <w:t>على المكو</w:t>
      </w:r>
      <w:r w:rsidR="00485210">
        <w:rPr>
          <w:rFonts w:hint="cs"/>
          <w:spacing w:val="4"/>
          <w:rtl/>
          <w:lang w:val="en-GB"/>
        </w:rPr>
        <w:t>ّ</w:t>
      </w:r>
      <w:r w:rsidR="00C976B6" w:rsidRPr="00582F55">
        <w:rPr>
          <w:rFonts w:hint="cs"/>
          <w:spacing w:val="4"/>
          <w:rtl/>
          <w:lang w:val="en-GB"/>
        </w:rPr>
        <w:t xml:space="preserve">ن الأرضي للاتصالات المتنقلة الدولية قد أعاق </w:t>
      </w:r>
      <w:r w:rsidR="008E5173" w:rsidRPr="00582F55">
        <w:rPr>
          <w:rFonts w:hint="cs"/>
          <w:spacing w:val="4"/>
          <w:rtl/>
          <w:lang w:val="en-GB"/>
        </w:rPr>
        <w:t>نشر أي</w:t>
      </w:r>
      <w:r w:rsidR="00485210">
        <w:rPr>
          <w:rFonts w:hint="cs"/>
          <w:spacing w:val="4"/>
          <w:rtl/>
          <w:lang w:val="en-GB"/>
        </w:rPr>
        <w:t>ّ</w:t>
      </w:r>
      <w:r w:rsidR="008E5173" w:rsidRPr="00582F55">
        <w:rPr>
          <w:rFonts w:hint="cs"/>
          <w:spacing w:val="4"/>
          <w:rtl/>
          <w:lang w:val="en-GB"/>
        </w:rPr>
        <w:t xml:space="preserve"> المكو</w:t>
      </w:r>
      <w:r w:rsidR="00485210">
        <w:rPr>
          <w:rFonts w:hint="cs"/>
          <w:spacing w:val="4"/>
          <w:rtl/>
          <w:lang w:val="en-GB"/>
        </w:rPr>
        <w:t>ّ</w:t>
      </w:r>
      <w:r w:rsidR="008E5173" w:rsidRPr="00582F55">
        <w:rPr>
          <w:rFonts w:hint="cs"/>
          <w:spacing w:val="4"/>
          <w:rtl/>
          <w:lang w:val="en-GB"/>
        </w:rPr>
        <w:t>نين الساتلي أو الأرضي للاتصالات ا</w:t>
      </w:r>
      <w:r w:rsidR="00485210">
        <w:rPr>
          <w:rFonts w:hint="cs"/>
          <w:spacing w:val="4"/>
          <w:rtl/>
          <w:lang w:val="en-GB"/>
        </w:rPr>
        <w:t>لمتنقلة الدولية بكفاءة وفعالية.</w:t>
      </w:r>
    </w:p>
    <w:p w14:paraId="275AB4D2" w14:textId="62D59F16" w:rsidR="001D05BE" w:rsidRPr="00582F55" w:rsidRDefault="0080059F" w:rsidP="00485210">
      <w:pPr>
        <w:rPr>
          <w:spacing w:val="4"/>
          <w:rtl/>
          <w:lang w:val="en-GB" w:bidi="ar-EG"/>
        </w:rPr>
      </w:pPr>
      <w:r w:rsidRPr="00582F55">
        <w:rPr>
          <w:rFonts w:hint="cs"/>
          <w:spacing w:val="4"/>
          <w:rtl/>
          <w:lang w:val="en-GB"/>
        </w:rPr>
        <w:t xml:space="preserve">وبالإضافة إلى ذلك، </w:t>
      </w:r>
      <w:r w:rsidR="001D05BE" w:rsidRPr="00582F55">
        <w:rPr>
          <w:rFonts w:hint="cs"/>
          <w:spacing w:val="4"/>
          <w:rtl/>
          <w:lang w:val="en-GB"/>
        </w:rPr>
        <w:t xml:space="preserve">وبناءً على </w:t>
      </w:r>
      <w:r w:rsidRPr="00582F55">
        <w:rPr>
          <w:rFonts w:hint="cs"/>
          <w:spacing w:val="4"/>
          <w:rtl/>
          <w:lang w:val="en-GB"/>
        </w:rPr>
        <w:t xml:space="preserve">حالة دراسات قطاع الاتصالات الراديوية، ينبغي تأييد الرأي </w:t>
      </w:r>
      <w:r w:rsidRPr="00582F55">
        <w:rPr>
          <w:spacing w:val="4"/>
          <w:lang w:val="en-GB"/>
        </w:rPr>
        <w:t>2</w:t>
      </w:r>
      <w:r w:rsidRPr="00582F55">
        <w:rPr>
          <w:rFonts w:hint="cs"/>
          <w:spacing w:val="4"/>
          <w:rtl/>
          <w:lang w:val="en-GB" w:bidi="ar-EG"/>
        </w:rPr>
        <w:t xml:space="preserve"> (</w:t>
      </w:r>
      <w:r w:rsidR="00ED09AD" w:rsidRPr="00582F55">
        <w:rPr>
          <w:rFonts w:hint="cs"/>
          <w:spacing w:val="4"/>
          <w:rtl/>
          <w:lang w:val="en-GB" w:bidi="ar-EG"/>
        </w:rPr>
        <w:t xml:space="preserve">عدم إجراء أي تغيير </w:t>
      </w:r>
      <w:r w:rsidR="00485210">
        <w:rPr>
          <w:spacing w:val="4"/>
          <w:lang w:val="en-GB" w:bidi="ar-EG"/>
        </w:rPr>
        <w:t>(</w:t>
      </w:r>
      <w:r w:rsidR="00ED09AD" w:rsidRPr="00582F55">
        <w:rPr>
          <w:spacing w:val="4"/>
          <w:lang w:val="en-GB" w:bidi="ar-EG"/>
        </w:rPr>
        <w:t>NOC</w:t>
      </w:r>
      <w:r w:rsidR="00485210">
        <w:rPr>
          <w:spacing w:val="4"/>
          <w:lang w:val="en-GB" w:bidi="ar-EG"/>
        </w:rPr>
        <w:t>)</w:t>
      </w:r>
      <w:r w:rsidRPr="00582F55">
        <w:rPr>
          <w:rFonts w:hint="cs"/>
          <w:spacing w:val="4"/>
          <w:rtl/>
          <w:lang w:val="en-GB" w:bidi="ar-EG"/>
        </w:rPr>
        <w:t xml:space="preserve">) من تقرير الاجتماع التحضيري للمؤتمر </w:t>
      </w:r>
      <w:r w:rsidR="00ED09AD" w:rsidRPr="00582F55">
        <w:rPr>
          <w:rFonts w:hint="cs"/>
          <w:spacing w:val="4"/>
          <w:rtl/>
          <w:lang w:val="en-GB" w:bidi="ar-EG"/>
        </w:rPr>
        <w:t>على النحو الموضح أدناه.</w:t>
      </w:r>
    </w:p>
    <w:p w14:paraId="134EEB6E" w14:textId="0ABE3E71" w:rsidR="001D05BE" w:rsidRPr="00582F55" w:rsidRDefault="001D05BE" w:rsidP="001D05BE">
      <w:pPr>
        <w:pStyle w:val="Heading2"/>
        <w:rPr>
          <w:rtl/>
        </w:rPr>
      </w:pPr>
      <w:r w:rsidRPr="00582F55">
        <w:t>1.3</w:t>
      </w:r>
      <w:r w:rsidRPr="00582F55">
        <w:rPr>
          <w:rtl/>
        </w:rPr>
        <w:tab/>
      </w:r>
      <w:r w:rsidR="00ED09AD" w:rsidRPr="00582F55">
        <w:rPr>
          <w:rFonts w:hint="cs"/>
          <w:rtl/>
        </w:rPr>
        <w:t>الحالة الحالية لدراسة قطاع الاتصالات الراديوية بشأن هذه المسألة</w:t>
      </w:r>
    </w:p>
    <w:p w14:paraId="0B10E401" w14:textId="0525EA82" w:rsidR="001D05BE" w:rsidRPr="00582F55" w:rsidRDefault="00ED09AD" w:rsidP="001D05BE">
      <w:pPr>
        <w:rPr>
          <w:rtl/>
          <w:lang w:val="en-GB" w:bidi="ar-EG"/>
        </w:rPr>
      </w:pPr>
      <w:r w:rsidRPr="00582F55">
        <w:rPr>
          <w:rFonts w:hint="cs"/>
          <w:rtl/>
          <w:lang w:bidi="ar-EG"/>
        </w:rPr>
        <w:t xml:space="preserve">يحوي تقرير الاجتماع التحضيري للمؤتمر رأيين. </w:t>
      </w:r>
      <w:r w:rsidR="001B675A" w:rsidRPr="00582F55">
        <w:rPr>
          <w:rFonts w:hint="cs"/>
          <w:rtl/>
          <w:lang w:bidi="ar-EG"/>
        </w:rPr>
        <w:t xml:space="preserve">يقترح الرأي </w:t>
      </w:r>
      <w:r w:rsidR="001B675A" w:rsidRPr="00582F55">
        <w:rPr>
          <w:lang w:val="en-GB" w:bidi="ar-EG"/>
        </w:rPr>
        <w:t>1</w:t>
      </w:r>
      <w:r w:rsidR="001B675A" w:rsidRPr="00582F55">
        <w:rPr>
          <w:rFonts w:hint="cs"/>
          <w:rtl/>
          <w:lang w:val="en-GB" w:bidi="ar-EG"/>
        </w:rPr>
        <w:t xml:space="preserve"> وضع قيود تنظيمية على خدمات الأرض، مثل </w:t>
      </w:r>
      <w:r w:rsidR="002C782B" w:rsidRPr="00582F55">
        <w:rPr>
          <w:rFonts w:hint="cs"/>
          <w:i/>
          <w:iCs/>
          <w:rtl/>
          <w:lang w:val="en-GB" w:bidi="ar-EG"/>
        </w:rPr>
        <w:t>’</w:t>
      </w:r>
      <w:proofErr w:type="gramStart"/>
      <w:r w:rsidR="002C782B" w:rsidRPr="00582F55">
        <w:rPr>
          <w:i/>
          <w:iCs/>
          <w:lang w:val="en-GB" w:bidi="ar-EG"/>
        </w:rPr>
        <w:t>1</w:t>
      </w:r>
      <w:r w:rsidR="002C782B" w:rsidRPr="00582F55">
        <w:rPr>
          <w:rFonts w:hint="cs"/>
          <w:i/>
          <w:iCs/>
          <w:rtl/>
          <w:lang w:val="en-GB" w:bidi="ar-EG"/>
        </w:rPr>
        <w:t>‘</w:t>
      </w:r>
      <w:r w:rsidR="002C782B" w:rsidRPr="00582F55">
        <w:rPr>
          <w:rFonts w:hint="cs"/>
          <w:rtl/>
          <w:lang w:val="en-GB" w:bidi="ar-EG"/>
        </w:rPr>
        <w:t xml:space="preserve"> تحديد</w:t>
      </w:r>
      <w:proofErr w:type="gramEnd"/>
      <w:r w:rsidR="002C782B" w:rsidRPr="00582F55">
        <w:rPr>
          <w:rFonts w:hint="cs"/>
          <w:rtl/>
          <w:lang w:val="en-GB" w:bidi="ar-EG"/>
        </w:rPr>
        <w:t xml:space="preserve"> القدرة المشع</w:t>
      </w:r>
      <w:r w:rsidR="00485210">
        <w:rPr>
          <w:rFonts w:hint="cs"/>
          <w:rtl/>
          <w:lang w:val="en-GB"/>
        </w:rPr>
        <w:t>ّ</w:t>
      </w:r>
      <w:r w:rsidR="002C782B" w:rsidRPr="00582F55">
        <w:rPr>
          <w:rFonts w:hint="cs"/>
          <w:rtl/>
          <w:lang w:val="en-GB" w:bidi="ar-EG"/>
        </w:rPr>
        <w:t xml:space="preserve">ة المتناحية المكافئة للإرسال الأرضي من أجل خفض </w:t>
      </w:r>
      <w:r w:rsidR="00F94C4A" w:rsidRPr="00582F55">
        <w:rPr>
          <w:rFonts w:hint="cs"/>
          <w:rtl/>
          <w:lang w:val="en-GB" w:bidi="ar-EG"/>
        </w:rPr>
        <w:t>قدرة الإرسال للأرض، و</w:t>
      </w:r>
      <w:r w:rsidR="00F94C4A" w:rsidRPr="00582F55">
        <w:rPr>
          <w:rFonts w:hint="cs"/>
          <w:i/>
          <w:iCs/>
          <w:rtl/>
          <w:lang w:val="en-GB" w:bidi="ar-EG"/>
        </w:rPr>
        <w:t>’</w:t>
      </w:r>
      <w:r w:rsidR="00F94C4A" w:rsidRPr="00582F55">
        <w:rPr>
          <w:i/>
          <w:iCs/>
          <w:lang w:val="en-GB" w:bidi="ar-EG"/>
        </w:rPr>
        <w:t>2</w:t>
      </w:r>
      <w:r w:rsidR="00F94C4A" w:rsidRPr="00582F55">
        <w:rPr>
          <w:rFonts w:hint="cs"/>
          <w:i/>
          <w:iCs/>
          <w:rtl/>
          <w:lang w:val="en-GB" w:bidi="ar-EG"/>
        </w:rPr>
        <w:t>‘</w:t>
      </w:r>
      <w:r w:rsidR="00F94C4A" w:rsidRPr="00582F55">
        <w:rPr>
          <w:rFonts w:hint="cs"/>
          <w:rtl/>
          <w:lang w:val="en-GB" w:bidi="ar-EG"/>
        </w:rPr>
        <w:t xml:space="preserve"> خفض مستوى كثافة تدفق القدرة </w:t>
      </w:r>
      <w:r w:rsidR="00077B39" w:rsidRPr="00582F55">
        <w:rPr>
          <w:rFonts w:hint="cs"/>
          <w:rtl/>
          <w:lang w:val="en-GB" w:bidi="ar-EG"/>
        </w:rPr>
        <w:t xml:space="preserve">للإرسال الساتلي على سطح الأرض من أجل تمكين الساتل من زيادة قدرته. ويقترح الرأي </w:t>
      </w:r>
      <w:r w:rsidR="00077B39" w:rsidRPr="00582F55">
        <w:rPr>
          <w:lang w:val="en-GB" w:bidi="ar-EG"/>
        </w:rPr>
        <w:t>2</w:t>
      </w:r>
      <w:r w:rsidR="00077B39" w:rsidRPr="00582F55">
        <w:rPr>
          <w:rFonts w:hint="cs"/>
          <w:rtl/>
          <w:lang w:val="en-GB" w:bidi="ar-EG"/>
        </w:rPr>
        <w:t xml:space="preserve"> "عدم فرض أي قيود تنظيمية" على خدمات الأرض </w:t>
      </w:r>
      <w:r w:rsidR="00485210">
        <w:rPr>
          <w:rFonts w:hint="cs"/>
          <w:rtl/>
          <w:lang w:val="en-GB" w:bidi="ar-EG"/>
        </w:rPr>
        <w:t>نظر</w:t>
      </w:r>
      <w:r w:rsidR="00A32A65" w:rsidRPr="00582F55">
        <w:rPr>
          <w:rFonts w:hint="cs"/>
          <w:rtl/>
          <w:lang w:val="en-GB" w:bidi="ar-EG"/>
        </w:rPr>
        <w:t>ا</w:t>
      </w:r>
      <w:r w:rsidR="00485210">
        <w:rPr>
          <w:rFonts w:hint="cs"/>
          <w:rtl/>
          <w:lang w:val="en-GB" w:bidi="ar-EG"/>
        </w:rPr>
        <w:t>ً</w:t>
      </w:r>
      <w:r w:rsidR="00A32A65" w:rsidRPr="00582F55">
        <w:rPr>
          <w:rFonts w:hint="cs"/>
          <w:rtl/>
          <w:lang w:val="en-GB" w:bidi="ar-EG"/>
        </w:rPr>
        <w:t xml:space="preserve"> لإمكانية إدارة التداخل المحتمل من خلال</w:t>
      </w:r>
      <w:r w:rsidR="00485210">
        <w:rPr>
          <w:rFonts w:hint="cs"/>
          <w:rtl/>
          <w:lang w:val="en-GB" w:bidi="ar-EG"/>
        </w:rPr>
        <w:t xml:space="preserve"> تنسيق ثنائي/</w:t>
      </w:r>
      <w:r w:rsidR="00A32A65" w:rsidRPr="00582F55">
        <w:rPr>
          <w:rFonts w:hint="cs"/>
          <w:rtl/>
          <w:lang w:val="en-GB" w:bidi="ar-EG"/>
        </w:rPr>
        <w:t>متعدد ا</w:t>
      </w:r>
      <w:r w:rsidR="00485210">
        <w:rPr>
          <w:rFonts w:hint="cs"/>
          <w:rtl/>
          <w:lang w:val="en-GB" w:bidi="ar-EG"/>
        </w:rPr>
        <w:t>لأطراف أو عملية تشاورية ثنائية/</w:t>
      </w:r>
      <w:r w:rsidR="00A32A65" w:rsidRPr="00582F55">
        <w:rPr>
          <w:rFonts w:hint="cs"/>
          <w:rtl/>
          <w:lang w:val="en-GB" w:bidi="ar-EG"/>
        </w:rPr>
        <w:t>متعددة الأطراف وبتطبيق تدابير تقنية وتشغيلية.</w:t>
      </w:r>
    </w:p>
    <w:p w14:paraId="2BC39FCF" w14:textId="188AD70E" w:rsidR="001D05BE" w:rsidRPr="00582F55" w:rsidRDefault="001D05BE" w:rsidP="00485210">
      <w:pPr>
        <w:rPr>
          <w:rtl/>
          <w:lang w:val="en-GB" w:bidi="ar-EG"/>
        </w:rPr>
      </w:pPr>
      <w:r w:rsidRPr="00582F55">
        <w:rPr>
          <w:rFonts w:hint="cs"/>
          <w:rtl/>
          <w:lang w:val="en-GB" w:bidi="ar-EG"/>
        </w:rPr>
        <w:lastRenderedPageBreak/>
        <w:t>وبسبب الطابع المتفر</w:t>
      </w:r>
      <w:r w:rsidR="00485210">
        <w:rPr>
          <w:rFonts w:hint="cs"/>
          <w:rtl/>
          <w:lang w:val="en-GB" w:bidi="ar-EG"/>
        </w:rPr>
        <w:t>ّ</w:t>
      </w:r>
      <w:r w:rsidRPr="00582F55">
        <w:rPr>
          <w:rFonts w:hint="cs"/>
          <w:rtl/>
          <w:lang w:val="en-GB" w:bidi="ar-EG"/>
        </w:rPr>
        <w:t>د والمتغي</w:t>
      </w:r>
      <w:r w:rsidR="00485210">
        <w:rPr>
          <w:rFonts w:hint="cs"/>
          <w:rtl/>
          <w:lang w:val="en-GB" w:bidi="ar-EG"/>
        </w:rPr>
        <w:t>ّ</w:t>
      </w:r>
      <w:r w:rsidRPr="00582F55">
        <w:rPr>
          <w:rFonts w:hint="cs"/>
          <w:rtl/>
          <w:lang w:val="en-GB" w:bidi="ar-EG"/>
        </w:rPr>
        <w:t>ر لخصائص النظام وسيناريوهات النشر للمكونين الساتلي والأرضي للاتصالات</w:t>
      </w:r>
      <w:r w:rsidR="00A32A65" w:rsidRPr="00582F55">
        <w:rPr>
          <w:rFonts w:hint="cs"/>
          <w:rtl/>
          <w:lang w:val="en-GB" w:bidi="ar-EG"/>
        </w:rPr>
        <w:t xml:space="preserve"> المتنقلة الدولية</w:t>
      </w:r>
      <w:r w:rsidRPr="00582F55">
        <w:rPr>
          <w:rFonts w:hint="cs"/>
          <w:rtl/>
          <w:lang w:val="en-GB" w:bidi="ar-EG"/>
        </w:rPr>
        <w:t xml:space="preserve"> في</w:t>
      </w:r>
      <w:r w:rsidR="00485210">
        <w:rPr>
          <w:rFonts w:hint="eastAsia"/>
          <w:rtl/>
          <w:lang w:val="en-GB" w:bidi="ar-EG"/>
        </w:rPr>
        <w:t> </w:t>
      </w:r>
      <w:r w:rsidRPr="00582F55">
        <w:rPr>
          <w:rFonts w:hint="cs"/>
          <w:rtl/>
          <w:lang w:val="en-GB" w:bidi="ar-EG"/>
        </w:rPr>
        <w:t xml:space="preserve">المناطق الجغرافية المتجاورة في بلدان مختلفة، فإن من شأن المناقشات الثنائية/متعددة الأطراف بين الإدارات المتأثرة أن توفر المزيد من المرونة التشغيلية مع ضمان التعايش </w:t>
      </w:r>
      <w:r w:rsidR="00FA08D7" w:rsidRPr="00582F55">
        <w:rPr>
          <w:rFonts w:hint="cs"/>
          <w:rtl/>
          <w:lang w:val="en-GB" w:bidi="ar-EG"/>
        </w:rPr>
        <w:t>باستخدام التدابير التقنية والتشغيلية المتاحة المحددة في قطاع الاتصالات الراديوية. وعليه، لا توجد حاجة لإجراء أي تغييرات على لوائح الراديو</w:t>
      </w:r>
      <w:r w:rsidRPr="00582F55">
        <w:rPr>
          <w:rFonts w:hint="cs"/>
          <w:rtl/>
          <w:lang w:val="en-GB" w:bidi="ar-EG"/>
        </w:rPr>
        <w:t>.</w:t>
      </w:r>
    </w:p>
    <w:p w14:paraId="3F4229C6" w14:textId="53B8AC41" w:rsidR="001D05BE" w:rsidRPr="00582F55" w:rsidRDefault="00FA08D7" w:rsidP="001D05BE">
      <w:pPr>
        <w:rPr>
          <w:rtl/>
          <w:lang w:bidi="ar-EG"/>
        </w:rPr>
      </w:pPr>
      <w:r w:rsidRPr="00582F55">
        <w:rPr>
          <w:rFonts w:hint="cs"/>
          <w:rtl/>
          <w:lang w:bidi="ar-EG"/>
        </w:rPr>
        <w:t>وإضافة</w:t>
      </w:r>
      <w:r w:rsidR="00485210">
        <w:rPr>
          <w:rFonts w:hint="cs"/>
          <w:rtl/>
          <w:lang w:bidi="ar-EG"/>
        </w:rPr>
        <w:t>ً</w:t>
      </w:r>
      <w:r w:rsidRPr="00582F55">
        <w:rPr>
          <w:rFonts w:hint="cs"/>
          <w:rtl/>
          <w:lang w:bidi="ar-EG"/>
        </w:rPr>
        <w:t xml:space="preserve"> إلى ذلك، </w:t>
      </w:r>
      <w:r w:rsidR="00D37799" w:rsidRPr="00582F55">
        <w:rPr>
          <w:rFonts w:hint="cs"/>
          <w:rtl/>
          <w:lang w:bidi="ar-EG"/>
        </w:rPr>
        <w:t>لم يتم التوصل إلى أي</w:t>
      </w:r>
      <w:r w:rsidR="00485210">
        <w:rPr>
          <w:rFonts w:hint="cs"/>
          <w:rtl/>
          <w:lang w:bidi="ar-EG"/>
        </w:rPr>
        <w:t>ّ</w:t>
      </w:r>
      <w:r w:rsidR="00D37799" w:rsidRPr="00582F55">
        <w:rPr>
          <w:rFonts w:hint="cs"/>
          <w:rtl/>
          <w:lang w:bidi="ar-EG"/>
        </w:rPr>
        <w:t xml:space="preserve"> استنتاج تقني في قطاع الاتصالات الراديوية لتوسيع نطاق هذه المسألة فيما وراء المنطقة الجغرافية المجاورة.</w:t>
      </w:r>
    </w:p>
    <w:p w14:paraId="169E7E89" w14:textId="09F9916E" w:rsidR="001D05BE" w:rsidRPr="00582F55" w:rsidRDefault="001D05BE" w:rsidP="001D05BE">
      <w:pPr>
        <w:pStyle w:val="Heading2"/>
        <w:rPr>
          <w:rtl/>
        </w:rPr>
      </w:pPr>
      <w:r w:rsidRPr="00582F55">
        <w:t>2.3</w:t>
      </w:r>
      <w:r w:rsidRPr="00582F55">
        <w:rPr>
          <w:rtl/>
        </w:rPr>
        <w:tab/>
      </w:r>
      <w:r w:rsidR="00D37799" w:rsidRPr="00582F55">
        <w:rPr>
          <w:rFonts w:hint="cs"/>
          <w:rtl/>
        </w:rPr>
        <w:t>النظر في الوثائق ذات الصلة لقطاع الاتصالات الراديوية</w:t>
      </w:r>
    </w:p>
    <w:p w14:paraId="59691493" w14:textId="46D4373B" w:rsidR="001D05BE" w:rsidRPr="00582F55" w:rsidRDefault="00D37799" w:rsidP="00485210">
      <w:pPr>
        <w:rPr>
          <w:rtl/>
          <w:lang w:val="en-GB" w:bidi="ar-EG"/>
        </w:rPr>
      </w:pPr>
      <w:r w:rsidRPr="00582F55">
        <w:rPr>
          <w:rFonts w:hint="cs"/>
          <w:rtl/>
          <w:lang w:bidi="ar-EG"/>
        </w:rPr>
        <w:t xml:space="preserve">يجدر الاعتراف بأن التوصية </w:t>
      </w:r>
      <w:r w:rsidRPr="00582F55">
        <w:rPr>
          <w:lang w:val="en-GB" w:bidi="ar-EG"/>
        </w:rPr>
        <w:t>ITU-R M.818-2</w:t>
      </w:r>
      <w:r w:rsidRPr="00582F55">
        <w:rPr>
          <w:rFonts w:hint="cs"/>
          <w:rtl/>
          <w:lang w:val="en-GB" w:bidi="ar-EG"/>
        </w:rPr>
        <w:t xml:space="preserve"> "تشغيل الساتل في الاتصالات المتنقلة الدولية-</w:t>
      </w:r>
      <w:r w:rsidRPr="00582F55">
        <w:rPr>
          <w:lang w:val="en-GB" w:bidi="ar-EG"/>
        </w:rPr>
        <w:t>20</w:t>
      </w:r>
      <w:r w:rsidR="0088522B" w:rsidRPr="00582F55">
        <w:rPr>
          <w:lang w:val="en-GB" w:bidi="ar-EG"/>
        </w:rPr>
        <w:t>0</w:t>
      </w:r>
      <w:r w:rsidRPr="00582F55">
        <w:rPr>
          <w:lang w:val="en-GB" w:bidi="ar-EG"/>
        </w:rPr>
        <w:t>0</w:t>
      </w:r>
      <w:r w:rsidRPr="00582F55">
        <w:rPr>
          <w:rFonts w:hint="cs"/>
          <w:rtl/>
          <w:lang w:val="en-GB" w:bidi="ar-EG"/>
        </w:rPr>
        <w:t xml:space="preserve"> </w:t>
      </w:r>
      <w:r w:rsidR="00485210">
        <w:rPr>
          <w:lang w:val="en-GB" w:bidi="ar-EG"/>
        </w:rPr>
        <w:t>(</w:t>
      </w:r>
      <w:r w:rsidRPr="00582F55">
        <w:rPr>
          <w:lang w:val="en-GB" w:bidi="ar-EG"/>
        </w:rPr>
        <w:t>IMT-20</w:t>
      </w:r>
      <w:r w:rsidR="0088522B" w:rsidRPr="00582F55">
        <w:rPr>
          <w:lang w:val="en-GB" w:bidi="ar-EG"/>
        </w:rPr>
        <w:t>0</w:t>
      </w:r>
      <w:r w:rsidRPr="00582F55">
        <w:rPr>
          <w:lang w:val="en-GB" w:bidi="ar-EG"/>
        </w:rPr>
        <w:t>0</w:t>
      </w:r>
      <w:r w:rsidR="00485210">
        <w:rPr>
          <w:lang w:val="en-GB" w:bidi="ar-EG"/>
        </w:rPr>
        <w:t>)</w:t>
      </w:r>
      <w:r w:rsidR="00FC006B" w:rsidRPr="00582F55">
        <w:rPr>
          <w:rFonts w:hint="cs"/>
          <w:rtl/>
          <w:lang w:val="en-GB" w:bidi="ar-EG"/>
        </w:rPr>
        <w:t xml:space="preserve">" تحوي </w:t>
      </w:r>
      <w:r w:rsidR="0088522B" w:rsidRPr="00582F55">
        <w:rPr>
          <w:rFonts w:hint="cs"/>
          <w:i/>
          <w:iCs/>
          <w:rtl/>
          <w:lang w:val="en-GB" w:bidi="ar-EG"/>
        </w:rPr>
        <w:t>الفقرة</w:t>
      </w:r>
      <w:r w:rsidR="00485210">
        <w:rPr>
          <w:rFonts w:hint="eastAsia"/>
          <w:i/>
          <w:iCs/>
          <w:lang w:val="en-GB" w:bidi="ar-EG"/>
        </w:rPr>
        <w:t> </w:t>
      </w:r>
      <w:r w:rsidR="0088522B" w:rsidRPr="00582F55">
        <w:rPr>
          <w:rFonts w:hint="cs"/>
          <w:i/>
          <w:iCs/>
          <w:rtl/>
          <w:lang w:val="en-GB" w:bidi="ar-EG"/>
        </w:rPr>
        <w:t>ق) من "</w:t>
      </w:r>
      <w:r w:rsidR="00485210">
        <w:rPr>
          <w:rFonts w:hint="cs"/>
          <w:i/>
          <w:iCs/>
          <w:rtl/>
          <w:lang w:val="en-GB" w:bidi="ar-EG"/>
        </w:rPr>
        <w:t xml:space="preserve">إذ </w:t>
      </w:r>
      <w:r w:rsidR="0088522B" w:rsidRPr="00582F55">
        <w:rPr>
          <w:rFonts w:hint="cs"/>
          <w:i/>
          <w:iCs/>
          <w:rtl/>
          <w:lang w:val="en-GB" w:bidi="ar-EG"/>
        </w:rPr>
        <w:t>يضع في اعتباره" أن تصميم المكون الأرضي للاتصالات المتنقلة الدولية-</w:t>
      </w:r>
      <w:r w:rsidR="0088522B" w:rsidRPr="00582F55">
        <w:rPr>
          <w:i/>
          <w:iCs/>
          <w:lang w:val="en-GB" w:bidi="ar-EG"/>
        </w:rPr>
        <w:t>2000</w:t>
      </w:r>
      <w:r w:rsidR="00485210">
        <w:rPr>
          <w:rFonts w:hint="cs"/>
          <w:i/>
          <w:iCs/>
          <w:rtl/>
          <w:lang w:val="en-GB" w:bidi="ar-EG"/>
        </w:rPr>
        <w:t xml:space="preserve"> ينبغي ألا يتأثر عكسي</w:t>
      </w:r>
      <w:r w:rsidR="0088522B" w:rsidRPr="00582F55">
        <w:rPr>
          <w:rFonts w:hint="cs"/>
          <w:i/>
          <w:iCs/>
          <w:rtl/>
          <w:lang w:val="en-GB" w:bidi="ar-EG"/>
        </w:rPr>
        <w:t>ا</w:t>
      </w:r>
      <w:r w:rsidR="00485210">
        <w:rPr>
          <w:rFonts w:hint="cs"/>
          <w:i/>
          <w:iCs/>
          <w:rtl/>
          <w:lang w:val="en-GB" w:bidi="ar-EG"/>
        </w:rPr>
        <w:t>ً</w:t>
      </w:r>
      <w:r w:rsidR="0088522B" w:rsidRPr="00582F55">
        <w:rPr>
          <w:rFonts w:hint="cs"/>
          <w:i/>
          <w:iCs/>
          <w:rtl/>
          <w:lang w:val="en-GB" w:bidi="ar-EG"/>
        </w:rPr>
        <w:t xml:space="preserve"> بالمكون الساتلي.</w:t>
      </w:r>
      <w:r w:rsidR="0088522B" w:rsidRPr="00582F55">
        <w:rPr>
          <w:rFonts w:hint="cs"/>
          <w:rtl/>
          <w:lang w:val="en-GB" w:bidi="ar-EG"/>
        </w:rPr>
        <w:t xml:space="preserve"> وعليه، من شأن النظر في القيود التنظيمية على محطة الأرض لتيسير تشغيل المكو</w:t>
      </w:r>
      <w:r w:rsidR="00485210">
        <w:rPr>
          <w:rFonts w:hint="cs"/>
          <w:rtl/>
          <w:lang w:val="en-GB" w:bidi="ar-EG"/>
        </w:rPr>
        <w:t>ّ</w:t>
      </w:r>
      <w:r w:rsidR="0088522B" w:rsidRPr="00582F55">
        <w:rPr>
          <w:rFonts w:hint="cs"/>
          <w:rtl/>
          <w:lang w:val="en-GB" w:bidi="ar-EG"/>
        </w:rPr>
        <w:t>ن الساتلي للاتصالات المتنقلة الدولية أن يضاد</w:t>
      </w:r>
      <w:r w:rsidR="00485210">
        <w:rPr>
          <w:rFonts w:hint="cs"/>
          <w:rtl/>
          <w:lang w:val="en-GB" w:bidi="ar-EG"/>
        </w:rPr>
        <w:t>ّ</w:t>
      </w:r>
      <w:r w:rsidR="0088522B" w:rsidRPr="00582F55">
        <w:rPr>
          <w:rFonts w:hint="cs"/>
          <w:rtl/>
          <w:lang w:val="en-GB" w:bidi="ar-EG"/>
        </w:rPr>
        <w:t xml:space="preserve"> </w:t>
      </w:r>
      <w:r w:rsidR="00D12E09" w:rsidRPr="00582F55">
        <w:rPr>
          <w:rFonts w:hint="cs"/>
          <w:rtl/>
          <w:lang w:val="en-GB" w:bidi="ar-EG"/>
        </w:rPr>
        <w:t>هذا المفهوم الذي ات</w:t>
      </w:r>
      <w:r w:rsidR="00485210">
        <w:rPr>
          <w:rFonts w:hint="cs"/>
          <w:rtl/>
          <w:lang w:val="en-GB" w:bidi="ar-EG"/>
        </w:rPr>
        <w:t>ُّ</w:t>
      </w:r>
      <w:r w:rsidR="00D12E09" w:rsidRPr="00582F55">
        <w:rPr>
          <w:rFonts w:hint="cs"/>
          <w:rtl/>
          <w:lang w:val="en-GB" w:bidi="ar-EG"/>
        </w:rPr>
        <w:t xml:space="preserve">فق عليه بالفعل في قطاع الاتصالات </w:t>
      </w:r>
      <w:r w:rsidR="00A81D0F" w:rsidRPr="00582F55">
        <w:rPr>
          <w:rFonts w:hint="cs"/>
          <w:rtl/>
          <w:lang w:val="en-GB" w:bidi="ar-EG"/>
        </w:rPr>
        <w:t>الراديوية</w:t>
      </w:r>
      <w:r w:rsidR="00D12E09" w:rsidRPr="00582F55">
        <w:rPr>
          <w:rFonts w:hint="cs"/>
          <w:rtl/>
          <w:lang w:val="en-GB" w:bidi="ar-EG"/>
        </w:rPr>
        <w:t>.</w:t>
      </w:r>
    </w:p>
    <w:p w14:paraId="6C094E24" w14:textId="1E762B72" w:rsidR="001D05BE" w:rsidRPr="00582F55" w:rsidRDefault="001D05BE" w:rsidP="001D05BE">
      <w:pPr>
        <w:pStyle w:val="Heading2"/>
        <w:rPr>
          <w:rtl/>
          <w:lang w:val="en-GB"/>
        </w:rPr>
      </w:pPr>
      <w:r w:rsidRPr="00582F55">
        <w:t>3.3</w:t>
      </w:r>
      <w:r w:rsidRPr="00582F55">
        <w:rPr>
          <w:rtl/>
        </w:rPr>
        <w:tab/>
      </w:r>
      <w:r w:rsidR="00D12E09" w:rsidRPr="00582F55">
        <w:rPr>
          <w:rFonts w:hint="cs"/>
          <w:rtl/>
        </w:rPr>
        <w:t xml:space="preserve">عدم ملاءمة الرأي </w:t>
      </w:r>
      <w:r w:rsidR="00D12E09" w:rsidRPr="00582F55">
        <w:rPr>
          <w:lang w:val="en-GB"/>
        </w:rPr>
        <w:t>1</w:t>
      </w:r>
    </w:p>
    <w:p w14:paraId="3C07B955" w14:textId="08699B11" w:rsidR="001D05BE" w:rsidRPr="00582F55" w:rsidRDefault="00D12E09" w:rsidP="001D05BE">
      <w:pPr>
        <w:rPr>
          <w:rtl/>
          <w:lang w:val="en-GB" w:bidi="ar-EG"/>
        </w:rPr>
      </w:pPr>
      <w:r w:rsidRPr="00582F55">
        <w:rPr>
          <w:rFonts w:hint="cs"/>
          <w:rtl/>
          <w:lang w:bidi="ar-EG"/>
        </w:rPr>
        <w:t xml:space="preserve">يقترح الرأي </w:t>
      </w:r>
      <w:r w:rsidRPr="00582F55">
        <w:rPr>
          <w:lang w:val="en-GB" w:bidi="ar-EG"/>
        </w:rPr>
        <w:t>1</w:t>
      </w:r>
      <w:r w:rsidRPr="00582F55">
        <w:rPr>
          <w:rFonts w:hint="cs"/>
          <w:rtl/>
          <w:lang w:val="en-GB" w:bidi="ar-EG"/>
        </w:rPr>
        <w:t xml:space="preserve"> خفض مستويات عتبة كثافة تدفق القدرة لحماية خدمات الأرض. وفي حين أن المستوى الحالي لكثافة تدفق القدرة الوارد في التذييل </w:t>
      </w:r>
      <w:r w:rsidRPr="00485210">
        <w:rPr>
          <w:b/>
          <w:bCs/>
          <w:lang w:val="en-GB" w:bidi="ar-EG"/>
        </w:rPr>
        <w:t>5</w:t>
      </w:r>
      <w:r w:rsidRPr="00582F55">
        <w:rPr>
          <w:rFonts w:hint="cs"/>
          <w:rtl/>
          <w:lang w:val="en-GB" w:bidi="ar-EG"/>
        </w:rPr>
        <w:t xml:space="preserve"> من لوائح الراديو هو </w:t>
      </w:r>
      <w:proofErr w:type="spellStart"/>
      <w:r w:rsidRPr="00582F55">
        <w:rPr>
          <w:lang w:eastAsia="ja-JP"/>
        </w:rPr>
        <w:t>dBW</w:t>
      </w:r>
      <w:proofErr w:type="spellEnd"/>
      <w:r w:rsidRPr="00582F55">
        <w:rPr>
          <w:rFonts w:hint="eastAsia"/>
          <w:lang w:eastAsia="ja-JP"/>
        </w:rPr>
        <w:t>/m</w:t>
      </w:r>
      <w:r w:rsidRPr="00582F55">
        <w:rPr>
          <w:vertAlign w:val="superscript"/>
          <w:lang w:eastAsia="ja-JP"/>
        </w:rPr>
        <w:t>2</w:t>
      </w:r>
      <w:r w:rsidRPr="00582F55">
        <w:rPr>
          <w:rFonts w:hint="eastAsia"/>
          <w:lang w:eastAsia="ja-JP"/>
        </w:rPr>
        <w:t>/MHz</w:t>
      </w:r>
      <w:r w:rsidR="00B54082">
        <w:rPr>
          <w:lang w:eastAsia="ja-JP"/>
        </w:rPr>
        <w:t> 128</w:t>
      </w:r>
      <w:r w:rsidR="00B54082" w:rsidRPr="00582F55">
        <w:rPr>
          <w:lang w:eastAsia="ja-JP"/>
        </w:rPr>
        <w:t>–</w:t>
      </w:r>
      <w:r w:rsidRPr="00582F55">
        <w:rPr>
          <w:rFonts w:hint="cs"/>
          <w:rtl/>
          <w:lang w:val="en-GB" w:eastAsia="ja-JP" w:bidi="ar-EG"/>
        </w:rPr>
        <w:t xml:space="preserve"> عند زوايا ارتفاع بين </w:t>
      </w:r>
      <w:r w:rsidRPr="00582F55">
        <w:rPr>
          <w:lang w:val="en-GB" w:eastAsia="ja-JP" w:bidi="ar-EG"/>
        </w:rPr>
        <w:t>0</w:t>
      </w:r>
      <w:r w:rsidRPr="00582F55">
        <w:rPr>
          <w:rFonts w:hint="cs"/>
          <w:rtl/>
          <w:lang w:val="en-GB" w:eastAsia="ja-JP" w:bidi="ar-EG"/>
        </w:rPr>
        <w:t xml:space="preserve"> و</w:t>
      </w:r>
      <w:r w:rsidRPr="00582F55">
        <w:rPr>
          <w:lang w:val="en-GB" w:eastAsia="ja-JP" w:bidi="ar-EG"/>
        </w:rPr>
        <w:t>5</w:t>
      </w:r>
      <w:r w:rsidRPr="00582F55">
        <w:rPr>
          <w:rFonts w:hint="cs"/>
          <w:rtl/>
          <w:lang w:val="en-GB" w:eastAsia="ja-JP" w:bidi="ar-EG"/>
        </w:rPr>
        <w:t xml:space="preserve"> درجات (ت</w:t>
      </w:r>
      <w:r w:rsidR="004B417B">
        <w:rPr>
          <w:rFonts w:hint="cs"/>
          <w:rtl/>
          <w:lang w:val="en-GB" w:eastAsia="ja-JP" w:bidi="ar-EG"/>
        </w:rPr>
        <w:t>ُ</w:t>
      </w:r>
      <w:r w:rsidRPr="00582F55">
        <w:rPr>
          <w:rFonts w:hint="cs"/>
          <w:rtl/>
          <w:lang w:val="en-GB" w:eastAsia="ja-JP" w:bidi="ar-EG"/>
        </w:rPr>
        <w:t xml:space="preserve">رجى الإحالة إلى الملحق </w:t>
      </w:r>
      <w:r w:rsidRPr="00582F55">
        <w:rPr>
          <w:lang w:val="en-GB" w:eastAsia="ja-JP" w:bidi="ar-EG"/>
        </w:rPr>
        <w:t>1</w:t>
      </w:r>
      <w:r w:rsidRPr="00582F55">
        <w:rPr>
          <w:rFonts w:hint="cs"/>
          <w:rtl/>
          <w:lang w:val="en-GB" w:eastAsia="ja-JP" w:bidi="ar-EG"/>
        </w:rPr>
        <w:t xml:space="preserve"> بالإضافة </w:t>
      </w:r>
      <w:r w:rsidRPr="00582F55">
        <w:rPr>
          <w:lang w:val="en-GB" w:eastAsia="ja-JP" w:bidi="ar-EG"/>
        </w:rPr>
        <w:t>1</w:t>
      </w:r>
      <w:r w:rsidRPr="00582F55">
        <w:rPr>
          <w:rFonts w:hint="cs"/>
          <w:rtl/>
          <w:lang w:val="en-GB" w:eastAsia="ja-JP" w:bidi="ar-EG"/>
        </w:rPr>
        <w:t xml:space="preserve"> </w:t>
      </w:r>
      <w:r w:rsidR="009F6DEB" w:rsidRPr="00582F55">
        <w:rPr>
          <w:rFonts w:hint="cs"/>
          <w:rtl/>
          <w:lang w:val="en-GB" w:eastAsia="ja-JP" w:bidi="ar-EG"/>
        </w:rPr>
        <w:t xml:space="preserve">للوثيقة </w:t>
      </w:r>
      <w:r w:rsidR="009F6DEB" w:rsidRPr="00582F55">
        <w:rPr>
          <w:rFonts w:hint="eastAsia"/>
          <w:lang w:eastAsia="ja-JP"/>
        </w:rPr>
        <w:t>CMR</w:t>
      </w:r>
      <w:r w:rsidR="009F6DEB" w:rsidRPr="00582F55">
        <w:rPr>
          <w:lang w:eastAsia="ja-JP"/>
        </w:rPr>
        <w:t>-</w:t>
      </w:r>
      <w:r w:rsidR="009F6DEB" w:rsidRPr="00582F55">
        <w:rPr>
          <w:rFonts w:hint="eastAsia"/>
          <w:lang w:eastAsia="ja-JP"/>
        </w:rPr>
        <w:t>15/4</w:t>
      </w:r>
      <w:r w:rsidR="009F6DEB" w:rsidRPr="00582F55">
        <w:rPr>
          <w:rFonts w:hint="cs"/>
          <w:rtl/>
          <w:lang w:val="en-GB" w:eastAsia="ja-JP" w:bidi="ar-EG"/>
        </w:rPr>
        <w:t>. حتى بالنسبة للمكو</w:t>
      </w:r>
      <w:r w:rsidR="004B417B">
        <w:rPr>
          <w:rFonts w:hint="cs"/>
          <w:rtl/>
          <w:lang w:val="en-GB" w:eastAsia="ja-JP" w:bidi="ar-EG"/>
        </w:rPr>
        <w:t>ّ</w:t>
      </w:r>
      <w:r w:rsidR="009F6DEB" w:rsidRPr="00582F55">
        <w:rPr>
          <w:rFonts w:hint="cs"/>
          <w:rtl/>
          <w:lang w:val="en-GB" w:eastAsia="ja-JP" w:bidi="ar-EG"/>
        </w:rPr>
        <w:t xml:space="preserve">ن الأرضي للاتصالات المتنقلة الدولية، فإن الممارسة الحالية لمكتب الاتصالات الراديوية هي تطبيق نفس مستويات كثافة تدفق القدرة كما وردت في التذييل </w:t>
      </w:r>
      <w:r w:rsidR="009F6DEB" w:rsidRPr="004B417B">
        <w:rPr>
          <w:b/>
          <w:bCs/>
          <w:lang w:val="en-GB" w:eastAsia="ja-JP" w:bidi="ar-EG"/>
        </w:rPr>
        <w:t>5</w:t>
      </w:r>
      <w:r w:rsidR="009F6DEB" w:rsidRPr="00582F55">
        <w:rPr>
          <w:rFonts w:hint="cs"/>
          <w:rtl/>
          <w:lang w:val="en-GB" w:eastAsia="ja-JP" w:bidi="ar-EG"/>
        </w:rPr>
        <w:t xml:space="preserve"> من لوائح الراديو)، يقترح الرأي </w:t>
      </w:r>
      <w:r w:rsidR="009F6DEB" w:rsidRPr="00582F55">
        <w:rPr>
          <w:lang w:val="en-GB" w:eastAsia="ja-JP" w:bidi="ar-EG"/>
        </w:rPr>
        <w:t>1</w:t>
      </w:r>
      <w:r w:rsidR="009F6DEB" w:rsidRPr="00582F55">
        <w:rPr>
          <w:rFonts w:hint="cs"/>
          <w:rtl/>
          <w:lang w:val="en-GB" w:eastAsia="ja-JP" w:bidi="ar-EG"/>
        </w:rPr>
        <w:t xml:space="preserve"> </w:t>
      </w:r>
      <w:r w:rsidR="00D94B8C" w:rsidRPr="00582F55">
        <w:rPr>
          <w:rFonts w:hint="cs"/>
          <w:rtl/>
          <w:lang w:val="en-GB" w:eastAsia="ja-JP" w:bidi="ar-EG"/>
        </w:rPr>
        <w:t xml:space="preserve">خفض </w:t>
      </w:r>
      <w:r w:rsidR="009F6DEB" w:rsidRPr="00582F55">
        <w:rPr>
          <w:rFonts w:hint="cs"/>
          <w:rtl/>
          <w:lang w:val="en-GB" w:eastAsia="ja-JP" w:bidi="ar-EG"/>
        </w:rPr>
        <w:t xml:space="preserve">المستوى </w:t>
      </w:r>
      <w:r w:rsidR="00D94B8C" w:rsidRPr="00582F55">
        <w:rPr>
          <w:rFonts w:hint="cs"/>
          <w:rtl/>
          <w:lang w:val="en-GB" w:eastAsia="ja-JP" w:bidi="ar-EG"/>
        </w:rPr>
        <w:t xml:space="preserve">إلى </w:t>
      </w:r>
      <w:proofErr w:type="spellStart"/>
      <w:r w:rsidR="009F6DEB" w:rsidRPr="00582F55">
        <w:rPr>
          <w:lang w:eastAsia="ja-JP"/>
        </w:rPr>
        <w:t>dBW</w:t>
      </w:r>
      <w:proofErr w:type="spellEnd"/>
      <w:r w:rsidR="009F6DEB" w:rsidRPr="00582F55">
        <w:rPr>
          <w:rFonts w:hint="eastAsia"/>
          <w:lang w:eastAsia="ja-JP"/>
        </w:rPr>
        <w:t>/m</w:t>
      </w:r>
      <w:r w:rsidR="009F6DEB" w:rsidRPr="00582F55">
        <w:rPr>
          <w:vertAlign w:val="superscript"/>
          <w:lang w:eastAsia="ja-JP"/>
        </w:rPr>
        <w:t>2</w:t>
      </w:r>
      <w:r w:rsidR="009F6DEB" w:rsidRPr="00582F55">
        <w:rPr>
          <w:rFonts w:hint="eastAsia"/>
          <w:lang w:eastAsia="ja-JP"/>
        </w:rPr>
        <w:t>/MHz</w:t>
      </w:r>
      <w:r w:rsidR="00B54082">
        <w:rPr>
          <w:lang w:eastAsia="ja-JP"/>
        </w:rPr>
        <w:t> 108,8</w:t>
      </w:r>
      <w:r w:rsidR="00B54082" w:rsidRPr="00582F55">
        <w:rPr>
          <w:lang w:eastAsia="ja-JP"/>
        </w:rPr>
        <w:t>–</w:t>
      </w:r>
      <w:r w:rsidR="009F6DEB" w:rsidRPr="00582F55">
        <w:rPr>
          <w:rFonts w:hint="cs"/>
          <w:rtl/>
          <w:lang w:eastAsia="ja-JP"/>
        </w:rPr>
        <w:t xml:space="preserve"> عند نفس الارتفاع. </w:t>
      </w:r>
      <w:r w:rsidR="00D94B8C" w:rsidRPr="00582F55">
        <w:rPr>
          <w:rFonts w:hint="cs"/>
          <w:rtl/>
          <w:lang w:eastAsia="ja-JP"/>
        </w:rPr>
        <w:t xml:space="preserve">وهو خفض بنحو </w:t>
      </w:r>
      <w:r w:rsidR="00B54082">
        <w:rPr>
          <w:lang w:eastAsia="ja-JP"/>
        </w:rPr>
        <w:t>dB 20</w:t>
      </w:r>
      <w:r w:rsidR="00D94B8C" w:rsidRPr="00582F55">
        <w:rPr>
          <w:rFonts w:hint="cs"/>
          <w:rtl/>
          <w:lang w:val="en-GB" w:eastAsia="ja-JP" w:bidi="ar-EG"/>
        </w:rPr>
        <w:t xml:space="preserve">. ولا يأخذ هذا المستوى المخفض لكثافة تدفق القدرة بعين الاعتبار حماية بعض محطات الأرض، ولا سيما </w:t>
      </w:r>
      <w:r w:rsidR="0069021C" w:rsidRPr="00582F55">
        <w:rPr>
          <w:rFonts w:hint="cs"/>
          <w:rtl/>
          <w:lang w:val="en-GB" w:eastAsia="ja-JP" w:bidi="ar-EG"/>
        </w:rPr>
        <w:t>معدات المستخدمين للاتصالات من آلة إلى آلة. ولذلك،</w:t>
      </w:r>
      <w:r w:rsidR="00A81D0F" w:rsidRPr="00582F55">
        <w:rPr>
          <w:rFonts w:hint="cs"/>
          <w:rtl/>
          <w:lang w:val="en-GB" w:eastAsia="ja-JP" w:bidi="ar-EG"/>
        </w:rPr>
        <w:t xml:space="preserve"> سيعرض </w:t>
      </w:r>
      <w:r w:rsidR="0069021C" w:rsidRPr="00582F55">
        <w:rPr>
          <w:rFonts w:hint="cs"/>
          <w:rtl/>
          <w:lang w:val="en-GB" w:eastAsia="ja-JP" w:bidi="ar-EG"/>
        </w:rPr>
        <w:t xml:space="preserve">المستوى المخفض المقترح لكثافة تدفق القدرة التشغيل الحالي لشبكات الأرض وتطويرها المستقبلي للخطر. وعليه، تقترح اليابان الحفاظ على المستويات الحالية لكثافة تدفق القدرة المبينة في التذييل </w:t>
      </w:r>
      <w:r w:rsidR="0069021C" w:rsidRPr="004B417B">
        <w:rPr>
          <w:b/>
          <w:bCs/>
          <w:lang w:val="en-GB" w:eastAsia="ja-JP" w:bidi="ar-EG"/>
        </w:rPr>
        <w:t>5</w:t>
      </w:r>
      <w:r w:rsidR="0069021C" w:rsidRPr="00582F55">
        <w:rPr>
          <w:rFonts w:hint="cs"/>
          <w:rtl/>
          <w:lang w:val="en-GB" w:eastAsia="ja-JP" w:bidi="ar-EG"/>
        </w:rPr>
        <w:t xml:space="preserve"> من لوائح الراديو.</w:t>
      </w:r>
    </w:p>
    <w:p w14:paraId="0940D0FF" w14:textId="21680ABB" w:rsidR="001D05BE" w:rsidRDefault="0069021C" w:rsidP="001D05BE">
      <w:pPr>
        <w:rPr>
          <w:rtl/>
          <w:lang w:val="en-GB" w:bidi="ar-EG"/>
        </w:rPr>
      </w:pPr>
      <w:r w:rsidRPr="00582F55">
        <w:rPr>
          <w:rFonts w:hint="cs"/>
          <w:rtl/>
          <w:lang w:bidi="ar-EG"/>
        </w:rPr>
        <w:t>وإضافة</w:t>
      </w:r>
      <w:r w:rsidR="004B417B">
        <w:rPr>
          <w:rFonts w:hint="cs"/>
          <w:rtl/>
          <w:lang w:bidi="ar-EG"/>
        </w:rPr>
        <w:t>ً</w:t>
      </w:r>
      <w:r w:rsidRPr="00582F55">
        <w:rPr>
          <w:rFonts w:hint="cs"/>
          <w:rtl/>
          <w:lang w:bidi="ar-EG"/>
        </w:rPr>
        <w:t xml:space="preserve"> إلى ذلك، </w:t>
      </w:r>
      <w:r w:rsidR="00C56BF3" w:rsidRPr="00582F55">
        <w:rPr>
          <w:rFonts w:hint="cs"/>
          <w:rtl/>
          <w:lang w:bidi="ar-EG"/>
        </w:rPr>
        <w:t>يستند حد</w:t>
      </w:r>
      <w:r w:rsidR="004B417B">
        <w:rPr>
          <w:rFonts w:hint="cs"/>
          <w:rtl/>
          <w:lang w:bidi="ar-EG"/>
        </w:rPr>
        <w:t>ّ</w:t>
      </w:r>
      <w:r w:rsidR="00C56BF3" w:rsidRPr="00582F55">
        <w:rPr>
          <w:rFonts w:hint="cs"/>
          <w:rtl/>
          <w:lang w:bidi="ar-EG"/>
        </w:rPr>
        <w:t xml:space="preserve"> القدرة المشع</w:t>
      </w:r>
      <w:r w:rsidR="004B417B">
        <w:rPr>
          <w:rFonts w:hint="cs"/>
          <w:rtl/>
          <w:lang w:bidi="ar-EG"/>
        </w:rPr>
        <w:t>ّ</w:t>
      </w:r>
      <w:r w:rsidR="00C56BF3" w:rsidRPr="00582F55">
        <w:rPr>
          <w:rFonts w:hint="cs"/>
          <w:rtl/>
          <w:lang w:bidi="ar-EG"/>
        </w:rPr>
        <w:t xml:space="preserve">ة المتناحية المكافئة الذي يقترحه الرأي </w:t>
      </w:r>
      <w:r w:rsidR="00C56BF3" w:rsidRPr="00582F55">
        <w:rPr>
          <w:lang w:val="en-GB" w:bidi="ar-EG"/>
        </w:rPr>
        <w:t>1</w:t>
      </w:r>
      <w:r w:rsidR="00C56BF3" w:rsidRPr="00582F55">
        <w:rPr>
          <w:rFonts w:hint="cs"/>
          <w:rtl/>
          <w:lang w:val="en-GB" w:bidi="ar-EG"/>
        </w:rPr>
        <w:t xml:space="preserve"> لمحطات الأرض إلى افتراض غير واقعي للحالة الأسوأ. ولكن المقصود من هذا الحد هو الانطباق المنتظم على جميع </w:t>
      </w:r>
      <w:r w:rsidR="00762D27" w:rsidRPr="00582F55">
        <w:rPr>
          <w:rFonts w:hint="cs"/>
          <w:rtl/>
          <w:lang w:val="en-GB" w:bidi="ar-EG"/>
        </w:rPr>
        <w:t xml:space="preserve">محطات الأرض للاتصالات المتنقلة الدولية، وإن كانت دراسات قطاع الاتصالات الراديوية قد أظهرت احتمالية أقل بكثير للتداخل من </w:t>
      </w:r>
      <w:r w:rsidR="00A81D0F" w:rsidRPr="00582F55">
        <w:rPr>
          <w:rFonts w:hint="cs"/>
          <w:rtl/>
          <w:lang w:val="en-GB" w:bidi="ar-EG"/>
        </w:rPr>
        <w:t>المكو</w:t>
      </w:r>
      <w:r w:rsidR="004B417B">
        <w:rPr>
          <w:rFonts w:hint="cs"/>
          <w:rtl/>
          <w:lang w:val="en-GB" w:bidi="ar-EG"/>
        </w:rPr>
        <w:t>ّ</w:t>
      </w:r>
      <w:r w:rsidR="00A81D0F" w:rsidRPr="00582F55">
        <w:rPr>
          <w:rFonts w:hint="cs"/>
          <w:rtl/>
          <w:lang w:val="en-GB" w:bidi="ar-EG"/>
        </w:rPr>
        <w:t xml:space="preserve">ن </w:t>
      </w:r>
      <w:r w:rsidR="00762D27" w:rsidRPr="00582F55">
        <w:rPr>
          <w:rFonts w:hint="cs"/>
          <w:rtl/>
          <w:lang w:val="en-GB" w:bidi="ar-EG"/>
        </w:rPr>
        <w:t xml:space="preserve">الأرضي إلى </w:t>
      </w:r>
      <w:r w:rsidR="00A81D0F" w:rsidRPr="00582F55">
        <w:rPr>
          <w:rFonts w:hint="cs"/>
          <w:rtl/>
          <w:lang w:val="en-GB" w:bidi="ar-EG"/>
        </w:rPr>
        <w:t>المكو</w:t>
      </w:r>
      <w:r w:rsidR="004B417B">
        <w:rPr>
          <w:rFonts w:hint="cs"/>
          <w:rtl/>
          <w:lang w:val="en-GB" w:bidi="ar-EG"/>
        </w:rPr>
        <w:t>ّ</w:t>
      </w:r>
      <w:r w:rsidR="00A81D0F" w:rsidRPr="00582F55">
        <w:rPr>
          <w:rFonts w:hint="cs"/>
          <w:rtl/>
          <w:lang w:val="en-GB" w:bidi="ar-EG"/>
        </w:rPr>
        <w:t xml:space="preserve">ن </w:t>
      </w:r>
      <w:r w:rsidR="00762D27" w:rsidRPr="00582F55">
        <w:rPr>
          <w:rFonts w:hint="cs"/>
          <w:rtl/>
          <w:lang w:val="en-GB" w:bidi="ar-EG"/>
        </w:rPr>
        <w:t>الساتلي في الحالات الواقعية.</w:t>
      </w:r>
    </w:p>
    <w:p w14:paraId="2F706693" w14:textId="77777777" w:rsidR="004B417B" w:rsidRPr="00582F55" w:rsidRDefault="004B417B" w:rsidP="001D05BE">
      <w:pPr>
        <w:rPr>
          <w:rtl/>
          <w:lang w:val="en-GB" w:bidi="ar-EG"/>
        </w:rPr>
      </w:pPr>
    </w:p>
    <w:p w14:paraId="713AE32B" w14:textId="7B29D3B1" w:rsidR="001D05BE" w:rsidRPr="00582F55" w:rsidRDefault="001D05BE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EG"/>
        </w:rPr>
      </w:pPr>
      <w:r w:rsidRPr="00582F55">
        <w:rPr>
          <w:rtl/>
          <w:lang w:bidi="ar-EG"/>
        </w:rPr>
        <w:br w:type="page"/>
      </w:r>
    </w:p>
    <w:p w14:paraId="442777B8" w14:textId="06C24D34" w:rsidR="0025797A" w:rsidRPr="00582F55" w:rsidRDefault="001D05BE">
      <w:pPr>
        <w:pStyle w:val="Proposal"/>
      </w:pPr>
      <w:r w:rsidRPr="00582F55">
        <w:lastRenderedPageBreak/>
        <w:tab/>
        <w:t>J/80A21A1/1</w:t>
      </w:r>
    </w:p>
    <w:p w14:paraId="351D02BE" w14:textId="5CF0FAA4" w:rsidR="003516B4" w:rsidRPr="00582F55" w:rsidRDefault="003516B4" w:rsidP="004B417B">
      <w:pPr>
        <w:rPr>
          <w:rFonts w:hAnsi="Times New Roman Bold"/>
          <w:rtl/>
          <w:lang w:val="en-GB" w:bidi="ar-EG"/>
        </w:rPr>
      </w:pPr>
      <w:r w:rsidRPr="00582F55">
        <w:rPr>
          <w:rStyle w:val="Artdef"/>
          <w:rFonts w:ascii="Times New Roman" w:hint="cs"/>
          <w:b w:val="0"/>
          <w:bCs w:val="0"/>
          <w:rtl/>
        </w:rPr>
        <w:t>ي</w:t>
      </w:r>
      <w:r w:rsidR="004B417B">
        <w:rPr>
          <w:rStyle w:val="Artdef"/>
          <w:rFonts w:ascii="Times New Roman" w:hint="cs"/>
          <w:b w:val="0"/>
          <w:bCs w:val="0"/>
          <w:rtl/>
        </w:rPr>
        <w:t>ُ</w:t>
      </w:r>
      <w:r w:rsidRPr="00582F55">
        <w:rPr>
          <w:rStyle w:val="Artdef"/>
          <w:rFonts w:ascii="Times New Roman" w:hint="cs"/>
          <w:b w:val="0"/>
          <w:bCs w:val="0"/>
          <w:rtl/>
        </w:rPr>
        <w:t>قترح</w:t>
      </w:r>
      <w:r w:rsidRPr="00582F55">
        <w:rPr>
          <w:rStyle w:val="Artdef"/>
          <w:rFonts w:ascii="Times New Roman" w:hint="cs"/>
          <w:rtl/>
        </w:rPr>
        <w:t xml:space="preserve"> </w:t>
      </w:r>
      <w:r w:rsidRPr="00582F55">
        <w:rPr>
          <w:rStyle w:val="Artdef"/>
          <w:rFonts w:ascii="Times New Roman" w:hint="cs"/>
          <w:b w:val="0"/>
          <w:bCs w:val="0"/>
          <w:rtl/>
        </w:rPr>
        <w:t xml:space="preserve">عدم إجراء أي تغيير </w:t>
      </w:r>
      <w:r w:rsidR="004B417B">
        <w:rPr>
          <w:rStyle w:val="Artdef"/>
          <w:rFonts w:ascii="Times New Roman"/>
          <w:b w:val="0"/>
          <w:bCs w:val="0"/>
        </w:rPr>
        <w:t>(</w:t>
      </w:r>
      <w:r w:rsidRPr="00582F55">
        <w:rPr>
          <w:rStyle w:val="Artdef"/>
          <w:rFonts w:ascii="Times New Roman"/>
          <w:b w:val="0"/>
          <w:bCs w:val="0"/>
          <w:lang w:val="en-GB"/>
        </w:rPr>
        <w:t>NOC</w:t>
      </w:r>
      <w:r w:rsidR="004B417B">
        <w:rPr>
          <w:rStyle w:val="Artdef"/>
          <w:rFonts w:ascii="Times New Roman"/>
          <w:b w:val="0"/>
          <w:bCs w:val="0"/>
          <w:lang w:val="en-GB"/>
        </w:rPr>
        <w:t>)</w:t>
      </w:r>
      <w:r w:rsidRPr="00582F55">
        <w:rPr>
          <w:rStyle w:val="Artdef"/>
          <w:rFonts w:ascii="Times New Roman" w:hint="cs"/>
          <w:b w:val="0"/>
          <w:bCs w:val="0"/>
          <w:rtl/>
        </w:rPr>
        <w:t xml:space="preserve"> </w:t>
      </w:r>
      <w:r w:rsidRPr="00542261">
        <w:rPr>
          <w:rStyle w:val="Artdef"/>
          <w:rFonts w:ascii="Times New Roman" w:hint="cs"/>
          <w:b w:val="0"/>
          <w:bCs w:val="0"/>
          <w:rtl/>
        </w:rPr>
        <w:t xml:space="preserve">على لوائح الراديو بشأن المسألة </w:t>
      </w:r>
      <w:r w:rsidRPr="00542261">
        <w:rPr>
          <w:rStyle w:val="Artdef"/>
          <w:rFonts w:ascii="Times New Roman"/>
          <w:b w:val="0"/>
          <w:bCs w:val="0"/>
          <w:lang w:val="en-GB"/>
        </w:rPr>
        <w:t>1.1.9</w:t>
      </w:r>
      <w:r w:rsidRPr="00542261">
        <w:rPr>
          <w:rStyle w:val="Artdef"/>
          <w:rFonts w:ascii="Times New Roman" w:hint="cs"/>
          <w:b w:val="0"/>
          <w:bCs w:val="0"/>
          <w:rtl/>
          <w:lang w:val="en-GB" w:bidi="ar-EG"/>
        </w:rPr>
        <w:t xml:space="preserve"> من البند </w:t>
      </w:r>
      <w:r w:rsidRPr="00542261">
        <w:rPr>
          <w:rStyle w:val="Artdef"/>
          <w:rFonts w:ascii="Times New Roman"/>
          <w:b w:val="0"/>
          <w:bCs w:val="0"/>
          <w:lang w:val="en-GB" w:bidi="ar-EG"/>
        </w:rPr>
        <w:t>1.9</w:t>
      </w:r>
      <w:r w:rsidRPr="00542261">
        <w:rPr>
          <w:rStyle w:val="Artdef"/>
          <w:rFonts w:ascii="Times New Roman" w:hint="cs"/>
          <w:b w:val="0"/>
          <w:bCs w:val="0"/>
          <w:rtl/>
          <w:lang w:val="en-GB" w:bidi="ar-EG"/>
        </w:rPr>
        <w:t xml:space="preserve"> من جدول أعمال المؤتمر العالمي للاتصالات الراديوية لعام </w:t>
      </w:r>
      <w:r w:rsidRPr="00542261">
        <w:rPr>
          <w:rStyle w:val="Artdef"/>
          <w:rFonts w:ascii="Times New Roman"/>
          <w:b w:val="0"/>
          <w:bCs w:val="0"/>
          <w:lang w:val="en-GB" w:bidi="ar-EG"/>
        </w:rPr>
        <w:t>2019</w:t>
      </w:r>
      <w:r w:rsidRPr="00542261">
        <w:rPr>
          <w:rStyle w:val="Artdef"/>
          <w:rFonts w:ascii="Times New Roman" w:hint="cs"/>
          <w:b w:val="0"/>
          <w:bCs w:val="0"/>
          <w:rtl/>
          <w:lang w:val="en-GB" w:bidi="ar-EG"/>
        </w:rPr>
        <w:t xml:space="preserve"> </w:t>
      </w:r>
      <w:r w:rsidR="004B417B" w:rsidRPr="00542261">
        <w:rPr>
          <w:rStyle w:val="Artdef"/>
          <w:rFonts w:ascii="Times New Roman"/>
          <w:b w:val="0"/>
          <w:bCs w:val="0"/>
          <w:lang w:val="en-GB" w:bidi="ar-EG"/>
        </w:rPr>
        <w:t>(</w:t>
      </w:r>
      <w:r w:rsidR="004B417B" w:rsidRPr="00542261">
        <w:t>WRC-19)</w:t>
      </w:r>
      <w:r w:rsidRPr="00542261">
        <w:rPr>
          <w:rStyle w:val="Artdef"/>
          <w:rFonts w:ascii="Times New Roman" w:hint="cs"/>
          <w:b w:val="0"/>
          <w:bCs w:val="0"/>
          <w:rtl/>
          <w:lang w:val="en-GB" w:bidi="ar-EG"/>
        </w:rPr>
        <w:t>. وينبغي</w:t>
      </w:r>
      <w:r w:rsidRPr="00582F55">
        <w:rPr>
          <w:rStyle w:val="Artdef"/>
          <w:rFonts w:ascii="Times New Roman" w:hint="cs"/>
          <w:b w:val="0"/>
          <w:bCs w:val="0"/>
          <w:rtl/>
          <w:lang w:val="en-GB" w:bidi="ar-EG"/>
        </w:rPr>
        <w:t xml:space="preserve"> فقط تحديث القرار </w:t>
      </w:r>
      <w:r w:rsidRPr="00582F55">
        <w:rPr>
          <w:rStyle w:val="Artdef"/>
          <w:rFonts w:ascii="Times New Roman"/>
          <w:lang w:val="en-GB" w:bidi="ar-EG"/>
        </w:rPr>
        <w:t>212 (Rev. WRC-15)</w:t>
      </w:r>
      <w:r w:rsidRPr="00582F55">
        <w:rPr>
          <w:rStyle w:val="Artdef"/>
          <w:rFonts w:ascii="Times New Roman" w:hint="cs"/>
          <w:b w:val="0"/>
          <w:bCs w:val="0"/>
          <w:rtl/>
          <w:lang w:val="en-GB" w:bidi="ar-EG"/>
        </w:rPr>
        <w:t xml:space="preserve"> ليعكس اكتمال الدراسات.</w:t>
      </w:r>
    </w:p>
    <w:p w14:paraId="67093E01" w14:textId="7197D047" w:rsidR="0025797A" w:rsidRPr="00582F55" w:rsidRDefault="001D05BE" w:rsidP="00F41176">
      <w:pPr>
        <w:pStyle w:val="Reasons"/>
        <w:rPr>
          <w:b w:val="0"/>
          <w:bCs w:val="0"/>
          <w:rtl/>
          <w:lang w:bidi="ar-EG"/>
        </w:rPr>
      </w:pPr>
      <w:r w:rsidRPr="00582F55">
        <w:rPr>
          <w:rtl/>
        </w:rPr>
        <w:t>الأسباب:</w:t>
      </w:r>
      <w:r w:rsidRPr="00582F55">
        <w:tab/>
      </w:r>
      <w:r w:rsidR="001352E6" w:rsidRPr="00582F55">
        <w:rPr>
          <w:rFonts w:hint="cs"/>
          <w:b w:val="0"/>
          <w:bCs w:val="0"/>
          <w:rtl/>
          <w:lang w:bidi="ar-EG"/>
        </w:rPr>
        <w:t>إمكانية إدارة</w:t>
      </w:r>
      <w:r w:rsidR="001352E6" w:rsidRPr="004B417B">
        <w:rPr>
          <w:rFonts w:hint="cs"/>
          <w:b w:val="0"/>
          <w:bCs w:val="0"/>
          <w:rtl/>
          <w:lang w:bidi="ar-EG"/>
        </w:rPr>
        <w:t xml:space="preserve"> </w:t>
      </w:r>
      <w:r w:rsidR="001352E6" w:rsidRPr="00582F55">
        <w:rPr>
          <w:rFonts w:hint="cs"/>
          <w:b w:val="0"/>
          <w:bCs w:val="0"/>
          <w:rtl/>
        </w:rPr>
        <w:t>التداخل المحتمل لكل سيناريوهات التداخل بين المكونين الساتلي والأرضي للاتصالات المتنق</w:t>
      </w:r>
      <w:r w:rsidR="004B417B">
        <w:rPr>
          <w:rFonts w:hint="cs"/>
          <w:b w:val="0"/>
          <w:bCs w:val="0"/>
          <w:rtl/>
        </w:rPr>
        <w:t>لة الدولية عن طريق تشاور ثنائي/</w:t>
      </w:r>
      <w:r w:rsidR="001352E6" w:rsidRPr="00582F55">
        <w:rPr>
          <w:rFonts w:hint="cs"/>
          <w:b w:val="0"/>
          <w:bCs w:val="0"/>
          <w:rtl/>
        </w:rPr>
        <w:t>متعدد الأطراف حيث يمكن للإدارات أن تحدد</w:t>
      </w:r>
      <w:r w:rsidR="004B417B">
        <w:rPr>
          <w:rFonts w:hint="cs"/>
          <w:b w:val="0"/>
          <w:bCs w:val="0"/>
          <w:rtl/>
        </w:rPr>
        <w:t>،</w:t>
      </w:r>
      <w:bookmarkStart w:id="0" w:name="_GoBack"/>
      <w:bookmarkEnd w:id="0"/>
      <w:r w:rsidR="004B417B">
        <w:rPr>
          <w:rFonts w:hint="cs"/>
          <w:b w:val="0"/>
          <w:bCs w:val="0"/>
          <w:rtl/>
        </w:rPr>
        <w:t xml:space="preserve"> بصفة ثنائية/</w:t>
      </w:r>
      <w:r w:rsidR="003C0781" w:rsidRPr="00582F55">
        <w:rPr>
          <w:rFonts w:hint="cs"/>
          <w:b w:val="0"/>
          <w:bCs w:val="0"/>
          <w:rtl/>
        </w:rPr>
        <w:t>متعددة الأطراف، تقنيات التخفيف الملائمة على أساس كل حالة على حدة، بدون فقدان المرونة الحالية التي تحظى بها كل إدار</w:t>
      </w:r>
      <w:r w:rsidR="00A81D0F" w:rsidRPr="00582F55">
        <w:rPr>
          <w:rFonts w:hint="cs"/>
          <w:b w:val="0"/>
          <w:bCs w:val="0"/>
          <w:rtl/>
        </w:rPr>
        <w:t>ة</w:t>
      </w:r>
      <w:r w:rsidR="003C0781" w:rsidRPr="00582F55">
        <w:rPr>
          <w:rFonts w:hint="cs"/>
          <w:b w:val="0"/>
          <w:bCs w:val="0"/>
          <w:rtl/>
        </w:rPr>
        <w:t xml:space="preserve"> </w:t>
      </w:r>
      <w:r w:rsidR="00F41176">
        <w:rPr>
          <w:rFonts w:hint="cs"/>
          <w:b w:val="0"/>
          <w:bCs w:val="0"/>
          <w:rtl/>
        </w:rPr>
        <w:t>في عمليات نشر المكوّنين الأرضي أو الساتلي</w:t>
      </w:r>
      <w:r w:rsidR="003C0781" w:rsidRPr="00582F55">
        <w:rPr>
          <w:rFonts w:hint="cs"/>
          <w:b w:val="0"/>
          <w:bCs w:val="0"/>
          <w:rtl/>
        </w:rPr>
        <w:t xml:space="preserve"> للاتصالات المتنقلة الدولية.</w:t>
      </w:r>
    </w:p>
    <w:p w14:paraId="513EC4DE" w14:textId="72B8729A" w:rsidR="001D05BE" w:rsidRPr="001D05BE" w:rsidRDefault="001D05BE" w:rsidP="001D05BE">
      <w:pPr>
        <w:spacing w:before="600"/>
        <w:jc w:val="center"/>
      </w:pPr>
      <w:r w:rsidRPr="00582F55">
        <w:rPr>
          <w:rFonts w:hint="cs"/>
          <w:rtl/>
        </w:rPr>
        <w:t>___________</w:t>
      </w:r>
    </w:p>
    <w:sectPr w:rsidR="001D05BE" w:rsidRPr="001D05BE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E9EA" w14:textId="77777777" w:rsidR="00EA5D25" w:rsidRDefault="00EA5D25" w:rsidP="002919E1">
      <w:r>
        <w:separator/>
      </w:r>
    </w:p>
    <w:p w14:paraId="146B79AC" w14:textId="77777777" w:rsidR="00EA5D25" w:rsidRDefault="00EA5D25" w:rsidP="002919E1"/>
    <w:p w14:paraId="7A276FC8" w14:textId="77777777" w:rsidR="00EA5D25" w:rsidRDefault="00EA5D25" w:rsidP="002919E1"/>
    <w:p w14:paraId="55F8439E" w14:textId="77777777" w:rsidR="00EA5D25" w:rsidRDefault="00EA5D25"/>
  </w:endnote>
  <w:endnote w:type="continuationSeparator" w:id="0">
    <w:p w14:paraId="28AEE882" w14:textId="77777777" w:rsidR="00EA5D25" w:rsidRDefault="00EA5D25" w:rsidP="002919E1">
      <w:r>
        <w:continuationSeparator/>
      </w:r>
    </w:p>
    <w:p w14:paraId="591A8A7B" w14:textId="77777777" w:rsidR="00EA5D25" w:rsidRDefault="00EA5D25" w:rsidP="002919E1"/>
    <w:p w14:paraId="6A3F86EB" w14:textId="77777777" w:rsidR="00EA5D25" w:rsidRDefault="00EA5D25" w:rsidP="002919E1"/>
    <w:p w14:paraId="2227D757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BA8F" w14:textId="34AF3793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65008">
      <w:rPr>
        <w:noProof/>
      </w:rPr>
      <w:t>P:\ARA\ITU-R\CONF-R\CMR19\000\080ADD21ADD01A.docx</w:t>
    </w:r>
    <w:r>
      <w:fldChar w:fldCharType="end"/>
    </w:r>
    <w:r w:rsidRPr="00A809E8">
      <w:t xml:space="preserve">   (</w:t>
    </w:r>
    <w:r w:rsidR="001D05BE">
      <w:t>462170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66FA" w14:textId="659190FD" w:rsidR="001D05BE" w:rsidRPr="0012545F" w:rsidRDefault="001D05BE" w:rsidP="001D05BE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65008">
      <w:rPr>
        <w:noProof/>
      </w:rPr>
      <w:t>P:\ARA\ITU-R\CONF-R\CMR19\000\080ADD21ADD01A.docx</w:t>
    </w:r>
    <w:r>
      <w:fldChar w:fldCharType="end"/>
    </w:r>
    <w:r w:rsidRPr="00A809E8">
      <w:t xml:space="preserve">   (</w:t>
    </w:r>
    <w:r>
      <w:t>462170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A236E" w14:textId="77777777" w:rsidR="00EA5D25" w:rsidRDefault="00EA5D25" w:rsidP="002919E1">
      <w:r>
        <w:t>___________________</w:t>
      </w:r>
    </w:p>
  </w:footnote>
  <w:footnote w:type="continuationSeparator" w:id="0">
    <w:p w14:paraId="02178F12" w14:textId="77777777" w:rsidR="00EA5D25" w:rsidRDefault="00EA5D25" w:rsidP="002919E1">
      <w:r>
        <w:continuationSeparator/>
      </w:r>
    </w:p>
    <w:p w14:paraId="5CD86860" w14:textId="77777777" w:rsidR="00EA5D25" w:rsidRDefault="00EA5D25" w:rsidP="002919E1"/>
    <w:p w14:paraId="7529059D" w14:textId="77777777" w:rsidR="00EA5D25" w:rsidRDefault="00EA5D25" w:rsidP="002919E1"/>
    <w:p w14:paraId="41C9479B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FBD10" w14:textId="77777777" w:rsidR="00281F5F" w:rsidRDefault="00281F5F" w:rsidP="002919E1"/>
  <w:p w14:paraId="55D50905" w14:textId="77777777" w:rsidR="00281F5F" w:rsidRDefault="00281F5F" w:rsidP="002919E1"/>
  <w:p w14:paraId="68C7E88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005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236FD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80(Add.21)(Add.1)-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C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EC1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A02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08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77B39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52E6"/>
    <w:rsid w:val="00136B82"/>
    <w:rsid w:val="001464F2"/>
    <w:rsid w:val="00167364"/>
    <w:rsid w:val="001903B2"/>
    <w:rsid w:val="001B0F78"/>
    <w:rsid w:val="001B5953"/>
    <w:rsid w:val="001B675A"/>
    <w:rsid w:val="001D05BE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5797A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782B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16B4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0781"/>
    <w:rsid w:val="003C12F6"/>
    <w:rsid w:val="003C3A13"/>
    <w:rsid w:val="003E02EF"/>
    <w:rsid w:val="003E1D90"/>
    <w:rsid w:val="00400CD4"/>
    <w:rsid w:val="004147B9"/>
    <w:rsid w:val="004214A3"/>
    <w:rsid w:val="00422C04"/>
    <w:rsid w:val="00423A40"/>
    <w:rsid w:val="00426144"/>
    <w:rsid w:val="0045753E"/>
    <w:rsid w:val="004636E2"/>
    <w:rsid w:val="00470CBD"/>
    <w:rsid w:val="0047407D"/>
    <w:rsid w:val="00485210"/>
    <w:rsid w:val="004909DD"/>
    <w:rsid w:val="004A05E6"/>
    <w:rsid w:val="004A6230"/>
    <w:rsid w:val="004A6C66"/>
    <w:rsid w:val="004A7AA0"/>
    <w:rsid w:val="004B417B"/>
    <w:rsid w:val="004C11BC"/>
    <w:rsid w:val="004C5C04"/>
    <w:rsid w:val="004D0448"/>
    <w:rsid w:val="004D4AE6"/>
    <w:rsid w:val="00505FCA"/>
    <w:rsid w:val="00510C2D"/>
    <w:rsid w:val="00515282"/>
    <w:rsid w:val="005166A4"/>
    <w:rsid w:val="005169F4"/>
    <w:rsid w:val="005210D1"/>
    <w:rsid w:val="00523146"/>
    <w:rsid w:val="00523275"/>
    <w:rsid w:val="005236FD"/>
    <w:rsid w:val="0052569E"/>
    <w:rsid w:val="00531DC7"/>
    <w:rsid w:val="005350B0"/>
    <w:rsid w:val="00542261"/>
    <w:rsid w:val="005431B5"/>
    <w:rsid w:val="00546A99"/>
    <w:rsid w:val="00553411"/>
    <w:rsid w:val="00554AE7"/>
    <w:rsid w:val="00564746"/>
    <w:rsid w:val="00565008"/>
    <w:rsid w:val="0056512C"/>
    <w:rsid w:val="00576D0A"/>
    <w:rsid w:val="00576FCC"/>
    <w:rsid w:val="00582F55"/>
    <w:rsid w:val="00584333"/>
    <w:rsid w:val="005953EC"/>
    <w:rsid w:val="005A0801"/>
    <w:rsid w:val="005B00A1"/>
    <w:rsid w:val="005B534C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088E"/>
    <w:rsid w:val="0065562F"/>
    <w:rsid w:val="006569F9"/>
    <w:rsid w:val="00666697"/>
    <w:rsid w:val="006779A4"/>
    <w:rsid w:val="00680A66"/>
    <w:rsid w:val="00681391"/>
    <w:rsid w:val="0069021C"/>
    <w:rsid w:val="00694690"/>
    <w:rsid w:val="0069526C"/>
    <w:rsid w:val="006A12AC"/>
    <w:rsid w:val="006A1C2C"/>
    <w:rsid w:val="006A2162"/>
    <w:rsid w:val="006B4B90"/>
    <w:rsid w:val="006B56D3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36DA"/>
    <w:rsid w:val="00734E41"/>
    <w:rsid w:val="00736DCC"/>
    <w:rsid w:val="0074019C"/>
    <w:rsid w:val="00741855"/>
    <w:rsid w:val="00742B73"/>
    <w:rsid w:val="00751251"/>
    <w:rsid w:val="007610E7"/>
    <w:rsid w:val="00762D2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0593"/>
    <w:rsid w:val="007C2C12"/>
    <w:rsid w:val="007C3CFA"/>
    <w:rsid w:val="007C7603"/>
    <w:rsid w:val="007E0E8B"/>
    <w:rsid w:val="007E6847"/>
    <w:rsid w:val="007E6B0A"/>
    <w:rsid w:val="007F08CA"/>
    <w:rsid w:val="007F7FC3"/>
    <w:rsid w:val="0080059F"/>
    <w:rsid w:val="00810482"/>
    <w:rsid w:val="00817568"/>
    <w:rsid w:val="008204AC"/>
    <w:rsid w:val="008261C2"/>
    <w:rsid w:val="00830D96"/>
    <w:rsid w:val="00844DE0"/>
    <w:rsid w:val="00852986"/>
    <w:rsid w:val="0085561D"/>
    <w:rsid w:val="0085569D"/>
    <w:rsid w:val="00855B59"/>
    <w:rsid w:val="0085774F"/>
    <w:rsid w:val="008614B8"/>
    <w:rsid w:val="008657CB"/>
    <w:rsid w:val="00873A6F"/>
    <w:rsid w:val="0088384B"/>
    <w:rsid w:val="0088522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173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9F4F27"/>
    <w:rsid w:val="009F6DE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2A65"/>
    <w:rsid w:val="00A3451F"/>
    <w:rsid w:val="00A356BB"/>
    <w:rsid w:val="00A3584A"/>
    <w:rsid w:val="00A35E1F"/>
    <w:rsid w:val="00A36268"/>
    <w:rsid w:val="00A375BD"/>
    <w:rsid w:val="00A40B2C"/>
    <w:rsid w:val="00A422F1"/>
    <w:rsid w:val="00A42709"/>
    <w:rsid w:val="00A42ADC"/>
    <w:rsid w:val="00A66D2B"/>
    <w:rsid w:val="00A809E8"/>
    <w:rsid w:val="00A81D0F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4082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4390D"/>
    <w:rsid w:val="00C53F6F"/>
    <w:rsid w:val="00C5489D"/>
    <w:rsid w:val="00C56BF3"/>
    <w:rsid w:val="00C71759"/>
    <w:rsid w:val="00C8199C"/>
    <w:rsid w:val="00C84112"/>
    <w:rsid w:val="00C841EB"/>
    <w:rsid w:val="00C8665F"/>
    <w:rsid w:val="00C917B5"/>
    <w:rsid w:val="00C94DFA"/>
    <w:rsid w:val="00C976B6"/>
    <w:rsid w:val="00CA298C"/>
    <w:rsid w:val="00CB2BF9"/>
    <w:rsid w:val="00CB4300"/>
    <w:rsid w:val="00CB454E"/>
    <w:rsid w:val="00CC030E"/>
    <w:rsid w:val="00CC68C4"/>
    <w:rsid w:val="00CC79A4"/>
    <w:rsid w:val="00CD0FDE"/>
    <w:rsid w:val="00CD48CA"/>
    <w:rsid w:val="00CE0E68"/>
    <w:rsid w:val="00CE5BA4"/>
    <w:rsid w:val="00D12E09"/>
    <w:rsid w:val="00D25120"/>
    <w:rsid w:val="00D3262D"/>
    <w:rsid w:val="00D37799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4B8C"/>
    <w:rsid w:val="00DA1AE0"/>
    <w:rsid w:val="00DB4CC9"/>
    <w:rsid w:val="00DC29DD"/>
    <w:rsid w:val="00DC7C0E"/>
    <w:rsid w:val="00DE7387"/>
    <w:rsid w:val="00DF2A6A"/>
    <w:rsid w:val="00DF3B72"/>
    <w:rsid w:val="00E10821"/>
    <w:rsid w:val="00E10D02"/>
    <w:rsid w:val="00E2476B"/>
    <w:rsid w:val="00E2489D"/>
    <w:rsid w:val="00E24F5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D09AD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1176"/>
    <w:rsid w:val="00F42650"/>
    <w:rsid w:val="00F545E4"/>
    <w:rsid w:val="00F55E63"/>
    <w:rsid w:val="00F84613"/>
    <w:rsid w:val="00F8654D"/>
    <w:rsid w:val="00F900C9"/>
    <w:rsid w:val="00F92C96"/>
    <w:rsid w:val="00F94C4A"/>
    <w:rsid w:val="00F97D1C"/>
    <w:rsid w:val="00FA08D7"/>
    <w:rsid w:val="00FA0D4E"/>
    <w:rsid w:val="00FA736D"/>
    <w:rsid w:val="00FB0753"/>
    <w:rsid w:val="00FB5CC8"/>
    <w:rsid w:val="00FC006B"/>
    <w:rsid w:val="00FC2CD0"/>
    <w:rsid w:val="00FD0594"/>
    <w:rsid w:val="00FD173C"/>
    <w:rsid w:val="00FE3D9C"/>
    <w:rsid w:val="00FE6D7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5A9BEE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R16-WRC19-C-0080!A21-A1!MSW-A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8F0F-A9B3-4FD9-88C8-BB051A386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8F3E8-5499-4895-869C-4884DC424813}">
  <ds:schemaRefs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0FE4CE-4A10-46A9-A0B9-127ED54BB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7E2CC5-571A-4E0F-BD25-54C019F945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E86791-C853-4CCB-B785-3955FCA2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1186</Words>
  <Characters>6448</Characters>
  <Application>Microsoft Office Word</Application>
  <DocSecurity>0</DocSecurity>
  <Lines>100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R16-WRC19-C-0080!A21-A1!MSW-A</vt:lpstr>
    </vt:vector>
  </TitlesOfParts>
  <Manager>General Secretariat - Pool</Manager>
  <Company>International Telecommunication Union (ITU)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R16-WRC19-C-0080!A21-A1!MSW-A</dc:title>
  <dc:creator>Documents Proposals Manager (DPM)</dc:creator>
  <cp:keywords>DPM_v2019.10.14.1_prod</cp:keywords>
  <cp:lastModifiedBy>Riz, Imad</cp:lastModifiedBy>
  <cp:revision>10</cp:revision>
  <cp:lastPrinted>2019-10-21T11:14:00Z</cp:lastPrinted>
  <dcterms:created xsi:type="dcterms:W3CDTF">2019-10-21T06:48:00Z</dcterms:created>
  <dcterms:modified xsi:type="dcterms:W3CDTF">2019-10-21T11:14:00Z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