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33CF3" w14:paraId="17BDD957" w14:textId="77777777" w:rsidTr="0050008E">
        <w:trPr>
          <w:cantSplit/>
        </w:trPr>
        <w:tc>
          <w:tcPr>
            <w:tcW w:w="6911" w:type="dxa"/>
          </w:tcPr>
          <w:p w14:paraId="3A6796F5" w14:textId="77777777" w:rsidR="0090121B" w:rsidRPr="00733CF3" w:rsidRDefault="005D46FB" w:rsidP="000924DA">
            <w:pPr>
              <w:spacing w:before="400" w:after="48"/>
              <w:rPr>
                <w:rFonts w:ascii="Verdana" w:hAnsi="Verdana"/>
                <w:position w:val="6"/>
              </w:rPr>
            </w:pPr>
            <w:r w:rsidRPr="00733CF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733CF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733CF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733CF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733C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3171643" w14:textId="77777777" w:rsidR="0090121B" w:rsidRPr="00733CF3" w:rsidRDefault="00DA71A3" w:rsidP="000924DA">
            <w:pPr>
              <w:spacing w:before="0"/>
              <w:jc w:val="right"/>
            </w:pPr>
            <w:r w:rsidRPr="00733CF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F3C3AFC" wp14:editId="74AFD71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33CF3" w14:paraId="34539E9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479FA4" w14:textId="77777777" w:rsidR="0090121B" w:rsidRPr="00733CF3" w:rsidRDefault="0090121B" w:rsidP="000924D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BC449E4" w14:textId="77777777" w:rsidR="0090121B" w:rsidRPr="00733CF3" w:rsidRDefault="0090121B" w:rsidP="000924D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33CF3" w14:paraId="1005C04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F732DD" w14:textId="1D556C3A" w:rsidR="0090121B" w:rsidRPr="00733CF3" w:rsidRDefault="00342831" w:rsidP="000924D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r w:rsidRPr="00733CF3">
              <w:rPr>
                <w:rFonts w:ascii="Verdana" w:hAnsi="Verdana"/>
                <w:b/>
                <w:smallCaps/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670A5F" w14:textId="77777777" w:rsidR="0090121B" w:rsidRPr="00733CF3" w:rsidRDefault="0090121B" w:rsidP="000924D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33CF3" w14:paraId="26175ADA" w14:textId="77777777" w:rsidTr="0090121B">
        <w:trPr>
          <w:cantSplit/>
        </w:trPr>
        <w:tc>
          <w:tcPr>
            <w:tcW w:w="6911" w:type="dxa"/>
          </w:tcPr>
          <w:p w14:paraId="47AED8A9" w14:textId="77777777" w:rsidR="0090121B" w:rsidRPr="00733CF3" w:rsidRDefault="001E7D42" w:rsidP="000924D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733CF3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9BA95F3" w14:textId="77777777" w:rsidR="0090121B" w:rsidRPr="00733CF3" w:rsidRDefault="00AE658F" w:rsidP="000924D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733CF3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733CF3">
              <w:rPr>
                <w:rFonts w:ascii="Verdana" w:hAnsi="Verdana"/>
                <w:b/>
                <w:sz w:val="18"/>
                <w:szCs w:val="18"/>
              </w:rPr>
              <w:br/>
              <w:t>Documento 80(Add.19)</w:t>
            </w:r>
            <w:r w:rsidR="0090121B" w:rsidRPr="00733CF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733CF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733CF3" w14:paraId="5784B968" w14:textId="77777777" w:rsidTr="0090121B">
        <w:trPr>
          <w:cantSplit/>
        </w:trPr>
        <w:tc>
          <w:tcPr>
            <w:tcW w:w="6911" w:type="dxa"/>
          </w:tcPr>
          <w:p w14:paraId="69053349" w14:textId="77777777" w:rsidR="000A5B9A" w:rsidRPr="00733CF3" w:rsidRDefault="000A5B9A" w:rsidP="000924D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78D6C69" w14:textId="77777777" w:rsidR="000A5B9A" w:rsidRPr="00733CF3" w:rsidRDefault="000A5B9A" w:rsidP="000924D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3CF3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733CF3" w14:paraId="78BF7303" w14:textId="77777777" w:rsidTr="0090121B">
        <w:trPr>
          <w:cantSplit/>
        </w:trPr>
        <w:tc>
          <w:tcPr>
            <w:tcW w:w="6911" w:type="dxa"/>
          </w:tcPr>
          <w:p w14:paraId="19C9ACA4" w14:textId="77777777" w:rsidR="000A5B9A" w:rsidRPr="00733CF3" w:rsidRDefault="000A5B9A" w:rsidP="000924D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8F0CB98" w14:textId="77777777" w:rsidR="000A5B9A" w:rsidRPr="00733CF3" w:rsidRDefault="000A5B9A" w:rsidP="000924D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3CF3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733CF3" w14:paraId="5FC9B210" w14:textId="77777777" w:rsidTr="006744FC">
        <w:trPr>
          <w:cantSplit/>
        </w:trPr>
        <w:tc>
          <w:tcPr>
            <w:tcW w:w="10031" w:type="dxa"/>
            <w:gridSpan w:val="2"/>
          </w:tcPr>
          <w:p w14:paraId="63AC3066" w14:textId="77777777" w:rsidR="000A5B9A" w:rsidRPr="00733CF3" w:rsidRDefault="000A5B9A" w:rsidP="000924D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733CF3" w14:paraId="20D30631" w14:textId="77777777" w:rsidTr="0050008E">
        <w:trPr>
          <w:cantSplit/>
        </w:trPr>
        <w:tc>
          <w:tcPr>
            <w:tcW w:w="10031" w:type="dxa"/>
            <w:gridSpan w:val="2"/>
          </w:tcPr>
          <w:p w14:paraId="57C0F710" w14:textId="77777777" w:rsidR="000A5B9A" w:rsidRPr="00733CF3" w:rsidRDefault="000A5B9A" w:rsidP="000924DA">
            <w:pPr>
              <w:pStyle w:val="Source"/>
            </w:pPr>
            <w:bookmarkStart w:id="1" w:name="dsource" w:colFirst="0" w:colLast="0"/>
            <w:r w:rsidRPr="00733CF3">
              <w:t>Japón</w:t>
            </w:r>
          </w:p>
        </w:tc>
      </w:tr>
      <w:tr w:rsidR="000A5B9A" w:rsidRPr="00733CF3" w14:paraId="7A7D5827" w14:textId="77777777" w:rsidTr="0050008E">
        <w:trPr>
          <w:cantSplit/>
        </w:trPr>
        <w:tc>
          <w:tcPr>
            <w:tcW w:w="10031" w:type="dxa"/>
            <w:gridSpan w:val="2"/>
          </w:tcPr>
          <w:p w14:paraId="5AA1566C" w14:textId="0BF901F0" w:rsidR="000A5B9A" w:rsidRPr="00733CF3" w:rsidRDefault="009D12F5" w:rsidP="000924DA">
            <w:pPr>
              <w:pStyle w:val="Title1"/>
            </w:pPr>
            <w:bookmarkStart w:id="2" w:name="dtitle1" w:colFirst="0" w:colLast="0"/>
            <w:bookmarkEnd w:id="1"/>
            <w:r w:rsidRPr="00733CF3">
              <w:t>propuestas para los trabajos de la conferencia</w:t>
            </w:r>
          </w:p>
        </w:tc>
      </w:tr>
      <w:tr w:rsidR="000A5B9A" w:rsidRPr="00733CF3" w14:paraId="1C8DB104" w14:textId="77777777" w:rsidTr="0050008E">
        <w:trPr>
          <w:cantSplit/>
        </w:trPr>
        <w:tc>
          <w:tcPr>
            <w:tcW w:w="10031" w:type="dxa"/>
            <w:gridSpan w:val="2"/>
          </w:tcPr>
          <w:p w14:paraId="35ABD817" w14:textId="77777777" w:rsidR="000A5B9A" w:rsidRPr="00733CF3" w:rsidRDefault="000A5B9A" w:rsidP="000924D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733CF3" w14:paraId="7FE09E1E" w14:textId="77777777" w:rsidTr="0050008E">
        <w:trPr>
          <w:cantSplit/>
        </w:trPr>
        <w:tc>
          <w:tcPr>
            <w:tcW w:w="10031" w:type="dxa"/>
            <w:gridSpan w:val="2"/>
          </w:tcPr>
          <w:p w14:paraId="02CCA4F3" w14:textId="77777777" w:rsidR="000A5B9A" w:rsidRPr="00733CF3" w:rsidRDefault="000A5B9A" w:rsidP="000924DA">
            <w:pPr>
              <w:pStyle w:val="Agendaitem"/>
            </w:pPr>
            <w:bookmarkStart w:id="4" w:name="dtitle3" w:colFirst="0" w:colLast="0"/>
            <w:bookmarkEnd w:id="3"/>
            <w:r w:rsidRPr="00733CF3">
              <w:t>Punto 7(G) del orden del día</w:t>
            </w:r>
          </w:p>
        </w:tc>
      </w:tr>
    </w:tbl>
    <w:bookmarkEnd w:id="4"/>
    <w:p w14:paraId="671EECAB" w14:textId="2BBC0566" w:rsidR="001C0E40" w:rsidRPr="00733CF3" w:rsidRDefault="00AB25C8" w:rsidP="000924DA">
      <w:r w:rsidRPr="00733CF3">
        <w:t>7</w:t>
      </w:r>
      <w:r w:rsidRPr="00733CF3">
        <w:tab/>
        <w:t xml:space="preserve">considerar posibles modificaciones y otras opciones para responder a lo dispuesto en la Resolución 86 (Rev. Marrakech, 2002) de la Conferencia de Plenipotenciarios: </w:t>
      </w:r>
      <w:r w:rsidR="00701201" w:rsidRPr="00733CF3">
        <w:t>«</w:t>
      </w:r>
      <w:r w:rsidRPr="00733CF3">
        <w:t>Procedimientos de publicación anticipada, de coordinación, de notificación y de inscripción de asignaciones de frecuencias de redes de satélite</w:t>
      </w:r>
      <w:r w:rsidR="00701201" w:rsidRPr="00733CF3">
        <w:t>»</w:t>
      </w:r>
      <w:r w:rsidRPr="00733CF3">
        <w:t xml:space="preserve"> de conformidad con la Resolución </w:t>
      </w:r>
      <w:r w:rsidRPr="00733CF3">
        <w:rPr>
          <w:b/>
          <w:bCs/>
        </w:rPr>
        <w:t>86 (Rev.CMR-07</w:t>
      </w:r>
      <w:r w:rsidRPr="00733CF3">
        <w:rPr>
          <w:b/>
        </w:rPr>
        <w:t xml:space="preserve">) </w:t>
      </w:r>
      <w:r w:rsidRPr="00733CF3">
        <w:rPr>
          <w:bCs/>
        </w:rPr>
        <w:t>para facilitar el uso racional, eficiente y económico de las radiofrecuencias y órbitas asociadas, incluida la órbita de los satélites geoestacionarios</w:t>
      </w:r>
      <w:r w:rsidRPr="00733CF3">
        <w:t>;</w:t>
      </w:r>
    </w:p>
    <w:p w14:paraId="286A5223" w14:textId="77777777" w:rsidR="001C0E40" w:rsidRPr="00733CF3" w:rsidRDefault="00AB25C8" w:rsidP="000924DA">
      <w:r w:rsidRPr="00733CF3">
        <w:t>7(G)</w:t>
      </w:r>
      <w:r w:rsidRPr="00733CF3">
        <w:tab/>
        <w:t xml:space="preserve">Tema G – Actualización de la situación de referencia para las redes de las Regiones 1 y 3 con arreglo a los Apéndices </w:t>
      </w:r>
      <w:r w:rsidRPr="00733CF3">
        <w:rPr>
          <w:b/>
          <w:bCs/>
        </w:rPr>
        <w:t>30</w:t>
      </w:r>
      <w:r w:rsidRPr="00733CF3">
        <w:t xml:space="preserve"> y </w:t>
      </w:r>
      <w:r w:rsidRPr="00733CF3">
        <w:rPr>
          <w:b/>
          <w:bCs/>
        </w:rPr>
        <w:t>30A</w:t>
      </w:r>
      <w:r w:rsidRPr="00733CF3">
        <w:t xml:space="preserve"> del RR cuando las asignaciones inscritas a título provisional se convierten en asignaciones inscritas definitivas</w:t>
      </w:r>
    </w:p>
    <w:p w14:paraId="7B97A091" w14:textId="77777777" w:rsidR="009D12F5" w:rsidRPr="00733CF3" w:rsidRDefault="009D12F5" w:rsidP="000924DA">
      <w:pPr>
        <w:pStyle w:val="Headingb"/>
      </w:pPr>
      <w:r w:rsidRPr="00733CF3">
        <w:t>Introducción</w:t>
      </w:r>
    </w:p>
    <w:p w14:paraId="02F7D6C3" w14:textId="454834F7" w:rsidR="009D12F5" w:rsidRPr="00733CF3" w:rsidRDefault="009D12F5" w:rsidP="000924DA">
      <w:r w:rsidRPr="00733CF3">
        <w:t>Japón está a favor de mantener el criterio EPM y actualizar debidamente el EPM de referencia, dado que el criterio EPM contribuye a mitigar el problema de una «red de satélite sensible» que posee una potencia de transmisión muy baja y al uso eficiente de la órbita de satélite geoestacionario.</w:t>
      </w:r>
    </w:p>
    <w:p w14:paraId="78F6A285" w14:textId="5DF7157C" w:rsidR="009D12F5" w:rsidRPr="00733CF3" w:rsidRDefault="009D12F5" w:rsidP="000924DA">
      <w:r w:rsidRPr="00733CF3">
        <w:t>Japón considera que la modificación del §4.1.18</w:t>
      </w:r>
      <w:r w:rsidRPr="00733CF3">
        <w:rPr>
          <w:i/>
        </w:rPr>
        <w:t>bis</w:t>
      </w:r>
      <w:r w:rsidRPr="00733CF3">
        <w:t xml:space="preserve"> de los Apéndices </w:t>
      </w:r>
      <w:r w:rsidRPr="00733CF3">
        <w:rPr>
          <w:b/>
          <w:bCs/>
        </w:rPr>
        <w:t>30</w:t>
      </w:r>
      <w:r w:rsidRPr="00733CF3">
        <w:t xml:space="preserve"> y </w:t>
      </w:r>
      <w:r w:rsidRPr="00733CF3">
        <w:rPr>
          <w:b/>
          <w:bCs/>
        </w:rPr>
        <w:t xml:space="preserve">30A </w:t>
      </w:r>
      <w:r w:rsidRPr="00733CF3">
        <w:t>del RR</w:t>
      </w:r>
      <w:r w:rsidR="00B33E88">
        <w:t xml:space="preserve"> </w:t>
      </w:r>
      <w:r w:rsidR="00B33E88" w:rsidRPr="00733CF3">
        <w:t>(Método G</w:t>
      </w:r>
      <w:r w:rsidR="00B33E88">
        <w:t>1</w:t>
      </w:r>
      <w:r w:rsidR="00B33E88" w:rsidRPr="00733CF3">
        <w:t xml:space="preserve"> del Informe de la RPC)</w:t>
      </w:r>
      <w:r w:rsidRPr="00733CF3">
        <w:t xml:space="preserve">, cuando la situación de referencia de la red que es objeto de interferencia deba actualizarse previa consulta con la administración afectada, y sólo con el acuerdo de la misma, dará lugar a la eliminación del criterio EPM en el futuro. </w:t>
      </w:r>
      <w:r w:rsidR="00292AE7" w:rsidRPr="00733CF3">
        <w:t>Además</w:t>
      </w:r>
      <w:r w:rsidRPr="00733CF3">
        <w:t xml:space="preserve">, </w:t>
      </w:r>
      <w:r w:rsidR="00292AE7" w:rsidRPr="00733CF3">
        <w:t xml:space="preserve">el Método </w:t>
      </w:r>
      <w:r w:rsidRPr="00733CF3">
        <w:t xml:space="preserve">G1 </w:t>
      </w:r>
      <w:r w:rsidR="00292AE7" w:rsidRPr="00733CF3">
        <w:t>no ofrece protección suficiente de las redes de satélites interferidas</w:t>
      </w:r>
      <w:r w:rsidRPr="00733CF3">
        <w:t xml:space="preserve">. </w:t>
      </w:r>
      <w:r w:rsidR="000B4361" w:rsidRPr="00733CF3">
        <w:t>En cambio</w:t>
      </w:r>
      <w:r w:rsidRPr="00733CF3">
        <w:t xml:space="preserve">, </w:t>
      </w:r>
      <w:r w:rsidR="000B4361" w:rsidRPr="00733CF3">
        <w:t xml:space="preserve">la interferencia perjudicial puede eliminarse tomando medidas adecuadas basadas en </w:t>
      </w:r>
      <w:r w:rsidRPr="00733CF3">
        <w:t xml:space="preserve">§ 4.1.20 </w:t>
      </w:r>
      <w:r w:rsidR="000B4361" w:rsidRPr="00733CF3">
        <w:t xml:space="preserve">de los Apéndices </w:t>
      </w:r>
      <w:r w:rsidRPr="00733CF3">
        <w:rPr>
          <w:b/>
          <w:bCs/>
        </w:rPr>
        <w:t>30</w:t>
      </w:r>
      <w:r w:rsidRPr="00733CF3">
        <w:t xml:space="preserve"> </w:t>
      </w:r>
      <w:r w:rsidR="000B4361" w:rsidRPr="00733CF3">
        <w:t xml:space="preserve">y </w:t>
      </w:r>
      <w:r w:rsidRPr="00733CF3">
        <w:rPr>
          <w:b/>
          <w:bCs/>
        </w:rPr>
        <w:t>30A</w:t>
      </w:r>
      <w:r w:rsidR="000B4361" w:rsidRPr="00733CF3">
        <w:t xml:space="preserve"> del RR</w:t>
      </w:r>
      <w:r w:rsidRPr="00733CF3">
        <w:t>.</w:t>
      </w:r>
    </w:p>
    <w:p w14:paraId="28C5C48D" w14:textId="4F20F271" w:rsidR="009D12F5" w:rsidRPr="00733CF3" w:rsidRDefault="000B4361" w:rsidP="000924DA">
      <w:r w:rsidRPr="00733CF3">
        <w:t>Por consiguiente</w:t>
      </w:r>
      <w:r w:rsidR="009D12F5" w:rsidRPr="00733CF3">
        <w:t xml:space="preserve">, </w:t>
      </w:r>
      <w:r w:rsidRPr="00733CF3">
        <w:t xml:space="preserve">la Administración de Japón </w:t>
      </w:r>
      <w:r w:rsidR="00654AE1" w:rsidRPr="00733CF3">
        <w:t>es partidaria de</w:t>
      </w:r>
      <w:r w:rsidR="009D12F5" w:rsidRPr="00733CF3">
        <w:t xml:space="preserve"> NOC (</w:t>
      </w:r>
      <w:r w:rsidR="00654AE1" w:rsidRPr="00733CF3">
        <w:t xml:space="preserve">Método </w:t>
      </w:r>
      <w:r w:rsidR="009D12F5" w:rsidRPr="00733CF3">
        <w:t xml:space="preserve">G3 </w:t>
      </w:r>
      <w:r w:rsidR="00654AE1" w:rsidRPr="00733CF3">
        <w:t>del Informe de la</w:t>
      </w:r>
      <w:r w:rsidR="00701201" w:rsidRPr="00733CF3">
        <w:t> </w:t>
      </w:r>
      <w:r w:rsidR="00654AE1" w:rsidRPr="00733CF3">
        <w:t>RPC</w:t>
      </w:r>
      <w:r w:rsidR="009D12F5" w:rsidRPr="00733CF3">
        <w:t>).</w:t>
      </w:r>
    </w:p>
    <w:p w14:paraId="461225EC" w14:textId="3872F573" w:rsidR="009D12F5" w:rsidRPr="00733CF3" w:rsidRDefault="00654AE1" w:rsidP="000924DA">
      <w:r w:rsidRPr="00733CF3">
        <w:t xml:space="preserve">El </w:t>
      </w:r>
      <w:r w:rsidR="009D12F5" w:rsidRPr="00733CF3">
        <w:t xml:space="preserve">§ 4.1.20 </w:t>
      </w:r>
      <w:r w:rsidRPr="00733CF3">
        <w:t xml:space="preserve">de los Apéndices </w:t>
      </w:r>
      <w:r w:rsidRPr="00733CF3">
        <w:rPr>
          <w:b/>
          <w:bCs/>
        </w:rPr>
        <w:t>30</w:t>
      </w:r>
      <w:r w:rsidRPr="00733CF3">
        <w:t xml:space="preserve"> y </w:t>
      </w:r>
      <w:r w:rsidRPr="00733CF3">
        <w:rPr>
          <w:b/>
          <w:bCs/>
        </w:rPr>
        <w:t>30A</w:t>
      </w:r>
      <w:r w:rsidRPr="00733CF3">
        <w:t xml:space="preserve"> del RR </w:t>
      </w:r>
      <w:r w:rsidR="00A31D80" w:rsidRPr="00733CF3">
        <w:t xml:space="preserve">podría </w:t>
      </w:r>
      <w:r w:rsidRPr="00733CF3">
        <w:t>modificarse</w:t>
      </w:r>
      <w:r w:rsidR="00647AF3" w:rsidRPr="00733CF3">
        <w:t>, si fuese necesario,</w:t>
      </w:r>
      <w:r w:rsidRPr="00733CF3">
        <w:t xml:space="preserve"> para </w:t>
      </w:r>
      <w:r w:rsidR="00647AF3" w:rsidRPr="00733CF3">
        <w:t>introducir aclaraciones</w:t>
      </w:r>
      <w:r w:rsidR="009D12F5" w:rsidRPr="00733CF3">
        <w:t xml:space="preserve">. </w:t>
      </w:r>
      <w:r w:rsidR="00647AF3" w:rsidRPr="00733CF3">
        <w:t xml:space="preserve">Se incluye un ejemplo de revisión para responder a las acciones de </w:t>
      </w:r>
      <w:r w:rsidR="009D12F5" w:rsidRPr="00733CF3">
        <w:t xml:space="preserve">§ 4.1.20 </w:t>
      </w:r>
      <w:r w:rsidR="00647AF3" w:rsidRPr="00733CF3">
        <w:t xml:space="preserve">y actualizar </w:t>
      </w:r>
      <w:r w:rsidR="00DB6580" w:rsidRPr="00733CF3">
        <w:t>adecuadamente el MPE como consecuencia tras eliminar la interferencia</w:t>
      </w:r>
      <w:r w:rsidR="009D12F5" w:rsidRPr="00733CF3">
        <w:t>.</w:t>
      </w:r>
    </w:p>
    <w:p w14:paraId="11DDBF6A" w14:textId="77777777" w:rsidR="00363A65" w:rsidRPr="00733CF3" w:rsidRDefault="00363A65" w:rsidP="000924DA"/>
    <w:p w14:paraId="03050FEA" w14:textId="77777777" w:rsidR="008750A8" w:rsidRPr="00733CF3" w:rsidRDefault="008750A8" w:rsidP="000924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33CF3">
        <w:br w:type="page"/>
      </w:r>
    </w:p>
    <w:p w14:paraId="744045A4" w14:textId="77777777" w:rsidR="00B063AE" w:rsidRPr="00733CF3" w:rsidRDefault="00AB25C8" w:rsidP="000924DA">
      <w:pPr>
        <w:pStyle w:val="AppendixNo"/>
        <w:rPr>
          <w:vertAlign w:val="superscript"/>
        </w:rPr>
      </w:pPr>
      <w:r w:rsidRPr="00733CF3">
        <w:lastRenderedPageBreak/>
        <w:t xml:space="preserve">APÉNDICE </w:t>
      </w:r>
      <w:r w:rsidRPr="00733CF3">
        <w:rPr>
          <w:rStyle w:val="href"/>
          <w:color w:val="000000"/>
        </w:rPr>
        <w:t xml:space="preserve">30 </w:t>
      </w:r>
      <w:r w:rsidRPr="00733CF3">
        <w:t>(</w:t>
      </w:r>
      <w:r w:rsidRPr="00733CF3">
        <w:rPr>
          <w:caps w:val="0"/>
        </w:rPr>
        <w:t>REV</w:t>
      </w:r>
      <w:r w:rsidRPr="00733CF3">
        <w:t>.CMR-15)</w:t>
      </w:r>
      <w:r w:rsidRPr="00733CF3">
        <w:rPr>
          <w:rStyle w:val="FootnoteReference"/>
          <w:color w:val="000000"/>
        </w:rPr>
        <w:footnoteReference w:customMarkFollows="1" w:id="1"/>
        <w:t>*</w:t>
      </w:r>
    </w:p>
    <w:p w14:paraId="60BCA947" w14:textId="77777777" w:rsidR="00B063AE" w:rsidRPr="00733CF3" w:rsidRDefault="00AB25C8" w:rsidP="000924DA">
      <w:pPr>
        <w:pStyle w:val="Appendixtitle"/>
        <w:rPr>
          <w:b w:val="0"/>
          <w:bCs/>
          <w:color w:val="000000"/>
          <w:sz w:val="16"/>
        </w:rPr>
      </w:pPr>
      <w:r w:rsidRPr="00733CF3">
        <w:rPr>
          <w:color w:val="000000"/>
        </w:rPr>
        <w:t>Disposiciones aplicables a todos los servicios y Planes y Lista</w:t>
      </w:r>
      <w:r w:rsidRPr="00733CF3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733CF3">
        <w:rPr>
          <w:color w:val="000000"/>
        </w:rPr>
        <w:t xml:space="preserve"> asociados</w:t>
      </w:r>
      <w:r w:rsidRPr="00733CF3">
        <w:rPr>
          <w:color w:val="000000"/>
        </w:rPr>
        <w:br/>
        <w:t>para el servicio de radiodifusión por satélite en las bandas de</w:t>
      </w:r>
      <w:r w:rsidRPr="00733CF3">
        <w:rPr>
          <w:color w:val="000000"/>
        </w:rPr>
        <w:br/>
        <w:t>frecuencias 11,7</w:t>
      </w:r>
      <w:r w:rsidRPr="00733CF3">
        <w:rPr>
          <w:color w:val="000000"/>
        </w:rPr>
        <w:noBreakHyphen/>
        <w:t>12,2 GHz (en la Región 3), 11,7-12,5 GHz</w:t>
      </w:r>
      <w:r w:rsidRPr="00733CF3">
        <w:rPr>
          <w:color w:val="000000"/>
        </w:rPr>
        <w:br/>
        <w:t>            (en la Región 1) y 12,2</w:t>
      </w:r>
      <w:r w:rsidRPr="00733CF3">
        <w:rPr>
          <w:color w:val="000000"/>
        </w:rPr>
        <w:noBreakHyphen/>
        <w:t>12,7 GHz (en la Región 2)</w:t>
      </w:r>
      <w:r w:rsidRPr="00733CF3">
        <w:rPr>
          <w:b w:val="0"/>
          <w:bCs/>
          <w:color w:val="000000"/>
          <w:sz w:val="16"/>
        </w:rPr>
        <w:t>     </w:t>
      </w:r>
      <w:r w:rsidRPr="00733CF3">
        <w:rPr>
          <w:rFonts w:ascii="Times New Roman"/>
          <w:b w:val="0"/>
          <w:bCs/>
          <w:color w:val="000000"/>
          <w:sz w:val="16"/>
        </w:rPr>
        <w:t>(CMR</w:t>
      </w:r>
      <w:r w:rsidRPr="00733CF3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40B6ED92" w14:textId="77777777" w:rsidR="00B063AE" w:rsidRPr="00733CF3" w:rsidRDefault="00AB25C8" w:rsidP="000924DA">
      <w:pPr>
        <w:pStyle w:val="AppArtNo"/>
      </w:pPr>
      <w:r w:rsidRPr="00733CF3">
        <w:t>                  ARTÍCULO 4</w:t>
      </w:r>
      <w:r w:rsidRPr="00733CF3">
        <w:rPr>
          <w:sz w:val="16"/>
        </w:rPr>
        <w:t>     (Rev.CMR</w:t>
      </w:r>
      <w:r w:rsidRPr="00733CF3">
        <w:rPr>
          <w:sz w:val="16"/>
        </w:rPr>
        <w:noBreakHyphen/>
        <w:t>15)</w:t>
      </w:r>
    </w:p>
    <w:p w14:paraId="44C4DFA4" w14:textId="77777777" w:rsidR="00B063AE" w:rsidRPr="00733CF3" w:rsidRDefault="00AB25C8" w:rsidP="000924DA">
      <w:pPr>
        <w:pStyle w:val="AppArttitle"/>
      </w:pPr>
      <w:r w:rsidRPr="00733CF3">
        <w:t>Procedimientos para las modificaciones del Plan de la Región 2</w:t>
      </w:r>
      <w:r w:rsidRPr="00733CF3">
        <w:br/>
        <w:t>o para los usos adicionales en las Regiones 1 y 3</w:t>
      </w:r>
      <w:r w:rsidRPr="00733CF3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14:paraId="4FC47C1B" w14:textId="77777777" w:rsidR="00B063AE" w:rsidRPr="00733CF3" w:rsidRDefault="00AB25C8" w:rsidP="000924DA">
      <w:pPr>
        <w:pStyle w:val="Heading2"/>
        <w:rPr>
          <w:color w:val="000000"/>
        </w:rPr>
      </w:pPr>
      <w:r w:rsidRPr="00733CF3">
        <w:rPr>
          <w:color w:val="000000"/>
        </w:rPr>
        <w:t>4.1</w:t>
      </w:r>
      <w:r w:rsidRPr="00733CF3">
        <w:rPr>
          <w:color w:val="000000"/>
        </w:rPr>
        <w:tab/>
        <w:t>Disposiciones aplicables a las Regiones 1 y 3</w:t>
      </w:r>
    </w:p>
    <w:p w14:paraId="3FD9F65E" w14:textId="77777777" w:rsidR="00452D90" w:rsidRPr="00733CF3" w:rsidRDefault="00AB25C8" w:rsidP="000924DA">
      <w:pPr>
        <w:pStyle w:val="Proposal"/>
      </w:pPr>
      <w:r w:rsidRPr="00733CF3">
        <w:rPr>
          <w:u w:val="single"/>
        </w:rPr>
        <w:t>NOC</w:t>
      </w:r>
      <w:r w:rsidRPr="00733CF3">
        <w:tab/>
        <w:t>J/80A19A7/1</w:t>
      </w:r>
    </w:p>
    <w:p w14:paraId="27CD56D5" w14:textId="21C46FE6" w:rsidR="00B063AE" w:rsidRPr="00733CF3" w:rsidRDefault="00AB25C8" w:rsidP="000924DA">
      <w:pPr>
        <w:rPr>
          <w:color w:val="000000"/>
          <w:sz w:val="16"/>
        </w:rPr>
      </w:pPr>
      <w:r w:rsidRPr="00733CF3">
        <w:rPr>
          <w:rStyle w:val="Provsplit"/>
        </w:rPr>
        <w:t>4.1.18</w:t>
      </w:r>
      <w:r w:rsidRPr="00733CF3">
        <w:rPr>
          <w:color w:val="000000"/>
        </w:rPr>
        <w:tab/>
        <w:t>Si, pese a la aplicación de los § 4.1.16 y 4.1.17, subsiste el desacuerdo y la asignación que motiva el desacuerdo no es una asignación del Plan de las Regiones 1 y 3, ni del Plan de la Región 2, ni se ha iniciado para la misma el procedimiento del § 4.2, y si la administración notificante insiste en que la asignación propuesta se incluya en la Lista de las Regiones 1 y 3, la Oficina inscribirá provisionalmente la asignación en la Lista de las Regiones 1 y 3, indicando las administraciones cuyas asignaciones suscitaron desacuerdo. Sin embargo, la inscripción en la Lista sólo dejará de ser provisional y se convertirá en definitiva cuando se informe a la Oficina de que la nueva asignación que figura en la Lista de las Regiones 1 y 3 se ha utilizado, junto con la asignación que suscitó el desacuerdo, durante por lo menos cuatro meses, sin que se haya formulado reclamación alguna por interferencias perjudiciales.</w:t>
      </w:r>
      <w:r w:rsidRPr="00733CF3">
        <w:rPr>
          <w:color w:val="000000"/>
          <w:sz w:val="16"/>
        </w:rPr>
        <w:t>     (CMR</w:t>
      </w:r>
      <w:r w:rsidRPr="00733CF3">
        <w:rPr>
          <w:color w:val="000000"/>
          <w:sz w:val="16"/>
        </w:rPr>
        <w:noBreakHyphen/>
        <w:t>03)</w:t>
      </w:r>
    </w:p>
    <w:p w14:paraId="0805830E" w14:textId="77777777" w:rsidR="00560360" w:rsidRPr="00733CF3" w:rsidRDefault="00560360" w:rsidP="00560360">
      <w:pPr>
        <w:pStyle w:val="Reasons"/>
      </w:pPr>
    </w:p>
    <w:p w14:paraId="1DD2609E" w14:textId="77777777" w:rsidR="00452D90" w:rsidRPr="00733CF3" w:rsidRDefault="00AB25C8" w:rsidP="000924DA">
      <w:pPr>
        <w:pStyle w:val="Proposal"/>
      </w:pPr>
      <w:r w:rsidRPr="00733CF3">
        <w:rPr>
          <w:u w:val="single"/>
        </w:rPr>
        <w:t>NOC</w:t>
      </w:r>
      <w:r w:rsidRPr="00733CF3">
        <w:tab/>
        <w:t>J/80A19A7/2</w:t>
      </w:r>
    </w:p>
    <w:p w14:paraId="2AD16178" w14:textId="568161EA" w:rsidR="00B063AE" w:rsidRPr="00733CF3" w:rsidRDefault="00AB25C8" w:rsidP="000924DA">
      <w:pPr>
        <w:rPr>
          <w:color w:val="000000"/>
          <w:sz w:val="16"/>
        </w:rPr>
      </w:pPr>
      <w:r w:rsidRPr="00733CF3">
        <w:rPr>
          <w:rStyle w:val="Provsplit"/>
        </w:rPr>
        <w:t>4.1.18</w:t>
      </w:r>
      <w:r w:rsidRPr="00733CF3">
        <w:rPr>
          <w:rStyle w:val="Provsplit"/>
          <w:i/>
          <w:iCs/>
        </w:rPr>
        <w:t>bis</w:t>
      </w:r>
      <w:r w:rsidRPr="00733CF3">
        <w:rPr>
          <w:color w:val="000000"/>
        </w:rPr>
        <w:tab/>
        <w:t>Cuando solicite la aplicación del § 4.1.18, la administración notificante se comprometerá a cumplir los requisitos del § 4.1.20 y a facilitar a la administración a la que se aplica el § 4.1.18, con copia a la Oficina, la descripción de las medidas que se compromete a adoptar para cumplir estos requisitos. Una vez que se inscribe una asignación en la Lista con carácter provisional con arreglo a las disposiciones del § 4.1.18, el cálculo del margen de protección equivalente (MPE)</w:t>
      </w:r>
      <w:r w:rsidRPr="00733CF3">
        <w:rPr>
          <w:rStyle w:val="FootnoteReference"/>
          <w:color w:val="000000"/>
        </w:rPr>
        <w:footnoteReference w:customMarkFollows="1" w:id="4"/>
        <w:t>9</w:t>
      </w:r>
      <w:r w:rsidRPr="00733CF3">
        <w:rPr>
          <w:color w:val="000000"/>
        </w:rPr>
        <w:t xml:space="preserve"> de una asignación en la Lista de las Regiones 1 y 3 o para la que se haya iniciado el procedimiento </w:t>
      </w:r>
      <w:r w:rsidRPr="00733CF3">
        <w:rPr>
          <w:color w:val="000000"/>
        </w:rPr>
        <w:lastRenderedPageBreak/>
        <w:t>del Artículo 4 y que hubiese suscitado el desacuerdo, no tendrá en cuenta la interferencia producida por la asignación a la que se han aplicado las disposiciones del § 4.1.18.</w:t>
      </w:r>
      <w:r w:rsidRPr="00733CF3">
        <w:rPr>
          <w:color w:val="000000"/>
          <w:sz w:val="16"/>
        </w:rPr>
        <w:t>      (CMR</w:t>
      </w:r>
      <w:r w:rsidRPr="00733CF3">
        <w:rPr>
          <w:color w:val="000000"/>
          <w:sz w:val="16"/>
        </w:rPr>
        <w:noBreakHyphen/>
        <w:t>03)</w:t>
      </w:r>
    </w:p>
    <w:p w14:paraId="3C961FD4" w14:textId="77777777" w:rsidR="00560360" w:rsidRPr="00733CF3" w:rsidRDefault="00560360" w:rsidP="00560360">
      <w:pPr>
        <w:pStyle w:val="Reasons"/>
      </w:pPr>
    </w:p>
    <w:p w14:paraId="19CBCB31" w14:textId="77777777" w:rsidR="00B063AE" w:rsidRPr="00733CF3" w:rsidRDefault="00AB25C8" w:rsidP="000924DA">
      <w:pPr>
        <w:pStyle w:val="AppendixNo"/>
        <w:rPr>
          <w:rStyle w:val="FootnoteReference"/>
        </w:rPr>
      </w:pPr>
      <w:r w:rsidRPr="00733CF3">
        <w:t xml:space="preserve">APÉNDICE </w:t>
      </w:r>
      <w:r w:rsidRPr="00733CF3">
        <w:rPr>
          <w:rStyle w:val="href"/>
          <w:color w:val="000000"/>
        </w:rPr>
        <w:t xml:space="preserve">30A </w:t>
      </w:r>
      <w:r w:rsidRPr="00733CF3">
        <w:t>(</w:t>
      </w:r>
      <w:r w:rsidRPr="00733CF3">
        <w:rPr>
          <w:caps w:val="0"/>
        </w:rPr>
        <w:t>REV</w:t>
      </w:r>
      <w:r w:rsidRPr="00733CF3">
        <w:t>.CMR-15)</w:t>
      </w:r>
      <w:r w:rsidRPr="00733CF3">
        <w:rPr>
          <w:rStyle w:val="FootnoteReference"/>
        </w:rPr>
        <w:footnoteReference w:customMarkFollows="1" w:id="5"/>
        <w:t>*</w:t>
      </w:r>
    </w:p>
    <w:p w14:paraId="3A3EC82E" w14:textId="77777777" w:rsidR="00B063AE" w:rsidRPr="00733CF3" w:rsidRDefault="00AB25C8" w:rsidP="000924DA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733CF3">
        <w:rPr>
          <w:color w:val="000000"/>
        </w:rPr>
        <w:t>Disposiciones y Planes asociados y Lista</w:t>
      </w:r>
      <w:r w:rsidRPr="00733CF3">
        <w:rPr>
          <w:rStyle w:val="FootnoteReference"/>
          <w:b w:val="0"/>
          <w:bCs/>
          <w:color w:val="000000"/>
        </w:rPr>
        <w:footnoteReference w:customMarkFollows="1" w:id="6"/>
        <w:t>1</w:t>
      </w:r>
      <w:r w:rsidRPr="00733CF3">
        <w:rPr>
          <w:color w:val="000000"/>
        </w:rPr>
        <w:t xml:space="preserve"> para los enlaces de conexión del</w:t>
      </w:r>
      <w:r w:rsidRPr="00733CF3">
        <w:rPr>
          <w:color w:val="000000"/>
        </w:rPr>
        <w:br/>
        <w:t>servicio de radiodifusión por satélite (11,7</w:t>
      </w:r>
      <w:r w:rsidRPr="00733CF3">
        <w:rPr>
          <w:color w:val="000000"/>
        </w:rPr>
        <w:noBreakHyphen/>
        <w:t>12,5 GHz en la Región 1,</w:t>
      </w:r>
      <w:r w:rsidRPr="00733CF3">
        <w:rPr>
          <w:color w:val="000000"/>
        </w:rPr>
        <w:br/>
        <w:t>12,2</w:t>
      </w:r>
      <w:r w:rsidRPr="00733CF3">
        <w:rPr>
          <w:color w:val="000000"/>
        </w:rPr>
        <w:noBreakHyphen/>
        <w:t>12,7 GHz en la Región 2 y 11,7</w:t>
      </w:r>
      <w:r w:rsidRPr="00733CF3">
        <w:rPr>
          <w:color w:val="000000"/>
        </w:rPr>
        <w:noBreakHyphen/>
        <w:t>12,2 GHz en la Región 3) en</w:t>
      </w:r>
      <w:r w:rsidRPr="00733CF3">
        <w:rPr>
          <w:color w:val="000000"/>
        </w:rPr>
        <w:br/>
        <w:t>las bandas de frecuencias 14,5-14,8 GHz</w:t>
      </w:r>
      <w:r w:rsidRPr="00733CF3">
        <w:rPr>
          <w:rStyle w:val="FootnoteReference"/>
          <w:color w:val="000000"/>
        </w:rPr>
        <w:footnoteReference w:customMarkFollows="1" w:id="7"/>
        <w:t>2</w:t>
      </w:r>
      <w:r w:rsidRPr="00733CF3">
        <w:rPr>
          <w:color w:val="000000"/>
        </w:rPr>
        <w:t xml:space="preserve"> y 17,3</w:t>
      </w:r>
      <w:r w:rsidRPr="00733CF3">
        <w:rPr>
          <w:color w:val="000000"/>
        </w:rPr>
        <w:noBreakHyphen/>
        <w:t>18,1 GHz en</w:t>
      </w:r>
      <w:r w:rsidRPr="00733CF3">
        <w:rPr>
          <w:color w:val="000000"/>
        </w:rPr>
        <w:br/>
        <w:t>las Regiones 1 y 3, y 17,3</w:t>
      </w:r>
      <w:r w:rsidRPr="00733CF3">
        <w:rPr>
          <w:color w:val="000000"/>
        </w:rPr>
        <w:noBreakHyphen/>
        <w:t>17,8 GHz en la Región 2</w:t>
      </w:r>
      <w:r w:rsidRPr="00733CF3">
        <w:rPr>
          <w:b w:val="0"/>
          <w:bCs/>
          <w:color w:val="000000"/>
          <w:sz w:val="20"/>
        </w:rPr>
        <w:t>     </w:t>
      </w:r>
      <w:r w:rsidRPr="00733CF3">
        <w:rPr>
          <w:rFonts w:asciiTheme="majorBidi" w:hAnsiTheme="majorBidi" w:cstheme="majorBidi"/>
          <w:b w:val="0"/>
          <w:bCs/>
          <w:sz w:val="16"/>
        </w:rPr>
        <w:t>(CMR</w:t>
      </w:r>
      <w:r w:rsidRPr="00733CF3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15925B17" w14:textId="77777777" w:rsidR="00B063AE" w:rsidRPr="00733CF3" w:rsidRDefault="00AB25C8" w:rsidP="000924DA">
      <w:pPr>
        <w:pStyle w:val="AppArtNo"/>
      </w:pPr>
      <w:r w:rsidRPr="00733CF3">
        <w:t>                   ARTÍCULO 4</w:t>
      </w:r>
      <w:r w:rsidRPr="00733CF3">
        <w:rPr>
          <w:sz w:val="16"/>
        </w:rPr>
        <w:t>     (</w:t>
      </w:r>
      <w:r w:rsidRPr="00733CF3">
        <w:rPr>
          <w:caps w:val="0"/>
          <w:sz w:val="16"/>
        </w:rPr>
        <w:t>REV.</w:t>
      </w:r>
      <w:r w:rsidRPr="00733CF3">
        <w:rPr>
          <w:sz w:val="16"/>
        </w:rPr>
        <w:t>CMR</w:t>
      </w:r>
      <w:r w:rsidRPr="00733CF3">
        <w:rPr>
          <w:sz w:val="16"/>
        </w:rPr>
        <w:noBreakHyphen/>
        <w:t>15)</w:t>
      </w:r>
    </w:p>
    <w:p w14:paraId="2ABD34AF" w14:textId="77777777" w:rsidR="00B063AE" w:rsidRPr="00733CF3" w:rsidRDefault="00AB25C8" w:rsidP="000924DA">
      <w:pPr>
        <w:pStyle w:val="AppArttitle"/>
      </w:pPr>
      <w:r w:rsidRPr="00733CF3">
        <w:t>Procedimientos para las modificaciones del Plan para los enlaces</w:t>
      </w:r>
      <w:r w:rsidRPr="00733CF3">
        <w:br/>
        <w:t>de conexión en la Región 2 o para los usos adicionales</w:t>
      </w:r>
      <w:r w:rsidRPr="00733CF3">
        <w:br/>
        <w:t>en las Regiones 1 y 3</w:t>
      </w:r>
    </w:p>
    <w:p w14:paraId="379AE14F" w14:textId="77777777" w:rsidR="00B063AE" w:rsidRPr="00733CF3" w:rsidRDefault="00AB25C8" w:rsidP="000924DA">
      <w:pPr>
        <w:pStyle w:val="Heading2"/>
        <w:rPr>
          <w:rFonts w:eastAsia="SimSun"/>
        </w:rPr>
      </w:pPr>
      <w:r w:rsidRPr="00733CF3">
        <w:rPr>
          <w:rFonts w:eastAsia="SimSun"/>
        </w:rPr>
        <w:t>4.1</w:t>
      </w:r>
      <w:r w:rsidRPr="00733CF3">
        <w:rPr>
          <w:rFonts w:eastAsia="SimSun"/>
        </w:rPr>
        <w:tab/>
        <w:t>Disposiciones aplicables a las Regiones 1 y 3</w:t>
      </w:r>
    </w:p>
    <w:p w14:paraId="4BC27555" w14:textId="77777777" w:rsidR="00452D90" w:rsidRPr="00733CF3" w:rsidRDefault="00AB25C8" w:rsidP="000924DA">
      <w:pPr>
        <w:pStyle w:val="Proposal"/>
      </w:pPr>
      <w:r w:rsidRPr="00733CF3">
        <w:rPr>
          <w:u w:val="single"/>
        </w:rPr>
        <w:t>NOC</w:t>
      </w:r>
      <w:r w:rsidRPr="00733CF3">
        <w:tab/>
        <w:t>J/80A19A7/3</w:t>
      </w:r>
    </w:p>
    <w:p w14:paraId="7E1C0B5A" w14:textId="664FEF57" w:rsidR="00B063AE" w:rsidRPr="00733CF3" w:rsidRDefault="00AB25C8" w:rsidP="000924DA">
      <w:pPr>
        <w:rPr>
          <w:sz w:val="16"/>
        </w:rPr>
      </w:pPr>
      <w:r w:rsidRPr="00733CF3">
        <w:rPr>
          <w:rStyle w:val="Provsplit"/>
        </w:rPr>
        <w:t>4.1.18</w:t>
      </w:r>
      <w:r w:rsidRPr="00733CF3">
        <w:tab/>
        <w:t>Si, pese a la aplicación de los § 4.1.16 y 4.1.17, subsiste el desacuerdo y la asignación que motiva el desacuerdo no es una asignación del Plan de las Regiones 1 y 3, ni del Plan de la Región 2 ni se ha iniciado para la misma el procedimiento del § 4.2, y si la administración notificante insiste en que la asignación propuesta se incluya en la Lista para los enlaces de conexión de las Regiones 1 y 3, la Oficina inscribirá provisionalmente la asignación en la Lista para los enlaces de conexión de las Regiones 1 y 3, indicando las administraciones cuyas asignaciones suscitaron desacuerdo. Sin embargo, la inscripción en la Lista para los enlaces de conexión sólo dejará de ser provisional y se convertirá en definitiva cuando se informe a la Oficina de que la nueva asignación que figura en la Lista para los enlaces de conexión de las Regiones 1 y 3 se ha utilizado, junto con la asignación que suscitó el desacuerdo, durante por lo menos cuatro meses, sin que se haya formulado reclamación alguna por interferencias perjudiciales.</w:t>
      </w:r>
      <w:r w:rsidRPr="00733CF3">
        <w:rPr>
          <w:sz w:val="16"/>
        </w:rPr>
        <w:t>     (CMR-03)</w:t>
      </w:r>
    </w:p>
    <w:p w14:paraId="239DC8F4" w14:textId="77777777" w:rsidR="00560360" w:rsidRPr="00733CF3" w:rsidRDefault="00560360" w:rsidP="00560360">
      <w:pPr>
        <w:pStyle w:val="Reasons"/>
      </w:pPr>
    </w:p>
    <w:p w14:paraId="4E4BC475" w14:textId="77777777" w:rsidR="00452D90" w:rsidRPr="00733CF3" w:rsidRDefault="00AB25C8" w:rsidP="000924DA">
      <w:pPr>
        <w:pStyle w:val="Proposal"/>
      </w:pPr>
      <w:r w:rsidRPr="00733CF3">
        <w:rPr>
          <w:u w:val="single"/>
        </w:rPr>
        <w:lastRenderedPageBreak/>
        <w:t>NOC</w:t>
      </w:r>
      <w:r w:rsidRPr="00733CF3">
        <w:tab/>
        <w:t>J/80A19A7/4</w:t>
      </w:r>
    </w:p>
    <w:p w14:paraId="4BBCA09C" w14:textId="65EC439E" w:rsidR="00B063AE" w:rsidRPr="00733CF3" w:rsidRDefault="00AB25C8" w:rsidP="000924DA">
      <w:pPr>
        <w:rPr>
          <w:sz w:val="16"/>
        </w:rPr>
      </w:pPr>
      <w:r w:rsidRPr="00733CF3">
        <w:rPr>
          <w:rStyle w:val="Provsplit"/>
        </w:rPr>
        <w:t>4.1.18</w:t>
      </w:r>
      <w:r w:rsidRPr="00733CF3">
        <w:rPr>
          <w:rStyle w:val="Provsplit"/>
          <w:i/>
          <w:iCs/>
        </w:rPr>
        <w:t>bis</w:t>
      </w:r>
      <w:r w:rsidRPr="00733CF3">
        <w:tab/>
        <w:t>Cuando solicite la aplicación del § 4.1.18, la administración notificante se comprometerá a cumplir los requisitos del § 4.1.20 y facilitar a la administración a la que se aplica el § 4.1.18, con copia a la Oficina, la descripción de las medidas que se compromete a adoptar para cumplir estos requisitos. Una vez que se inscribe una asignación en la Lista para los enlaces de conexión con carácter provisional con arreglo a las disposiciones del § 4.1.18, el cálculo del margen de protección equivalente (MPE)</w:t>
      </w:r>
      <w:r w:rsidRPr="00733CF3">
        <w:rPr>
          <w:rStyle w:val="FootnoteReference"/>
          <w:color w:val="000000"/>
        </w:rPr>
        <w:footnoteReference w:customMarkFollows="1" w:id="8"/>
        <w:t>11</w:t>
      </w:r>
      <w:r w:rsidRPr="00733CF3">
        <w:t xml:space="preserve"> de una asignación en la Lista para los enlaces de conexión de las Regiones 1 y 3 o para la que se haya iniciado el procedimiento del Artículo 4 y que hubiese suscitado el desacuerdo, no tendrá en cuenta la interferencia producida por la asignación a la que se han aplicado las disposiciones del § 4.1.18.</w:t>
      </w:r>
      <w:r w:rsidRPr="00733CF3">
        <w:rPr>
          <w:sz w:val="16"/>
        </w:rPr>
        <w:t>     (CMR</w:t>
      </w:r>
      <w:r w:rsidRPr="00733CF3">
        <w:rPr>
          <w:sz w:val="16"/>
        </w:rPr>
        <w:noBreakHyphen/>
        <w:t>03)</w:t>
      </w:r>
    </w:p>
    <w:p w14:paraId="090C2DF6" w14:textId="77777777" w:rsidR="00B0232F" w:rsidRPr="00733CF3" w:rsidRDefault="00AB25C8" w:rsidP="00F72ECB">
      <w:pPr>
        <w:pStyle w:val="Reasons"/>
      </w:pPr>
      <w:r w:rsidRPr="00733CF3">
        <w:rPr>
          <w:b/>
          <w:bCs/>
        </w:rPr>
        <w:t>Motivos:</w:t>
      </w:r>
      <w:r w:rsidRPr="00733CF3">
        <w:tab/>
      </w:r>
    </w:p>
    <w:p w14:paraId="1484059D" w14:textId="71997A9A" w:rsidR="002612E6" w:rsidRPr="00733CF3" w:rsidRDefault="00C23CED" w:rsidP="00B0232F">
      <w:pPr>
        <w:pStyle w:val="Headingb"/>
        <w:keepNext w:val="0"/>
        <w:ind w:left="1134" w:hanging="1134"/>
        <w:rPr>
          <w:b w:val="0"/>
          <w:sz w:val="28"/>
          <w:lang w:eastAsia="ja-JP"/>
        </w:rPr>
      </w:pPr>
      <w:r w:rsidRPr="00733CF3">
        <w:rPr>
          <w:rFonts w:ascii="Times New Roman Bold" w:hAnsi="Times New Roman Bold" w:cs="Times New Roman Bold"/>
          <w:lang w:eastAsia="ja-JP"/>
        </w:rPr>
        <w:t>1</w:t>
      </w:r>
      <w:r w:rsidR="00733CF3" w:rsidRPr="00733CF3">
        <w:rPr>
          <w:rFonts w:ascii="Times New Roman Bold" w:hAnsi="Times New Roman Bold" w:cs="Times New Roman Bold"/>
          <w:lang w:eastAsia="ja-JP"/>
        </w:rPr>
        <w:t>)</w:t>
      </w:r>
      <w:r w:rsidR="00B0232F" w:rsidRPr="00733CF3">
        <w:rPr>
          <w:rFonts w:ascii="Times New Roman Bold" w:hAnsi="Times New Roman Bold" w:cs="Times New Roman Bold"/>
          <w:lang w:eastAsia="ja-JP"/>
        </w:rPr>
        <w:tab/>
      </w:r>
      <w:r w:rsidR="002612E6" w:rsidRPr="00733CF3">
        <w:rPr>
          <w:rFonts w:ascii="Times New Roman Bold" w:hAnsi="Times New Roman Bold" w:cs="Times New Roman Bold"/>
          <w:lang w:eastAsia="ja-JP"/>
        </w:rPr>
        <w:t xml:space="preserve">El criterio </w:t>
      </w:r>
      <w:r w:rsidR="00DA3177" w:rsidRPr="00733CF3">
        <w:rPr>
          <w:rFonts w:ascii="Times New Roman Bold" w:hAnsi="Times New Roman Bold" w:cs="Times New Roman Bold"/>
          <w:lang w:eastAsia="ja-JP"/>
        </w:rPr>
        <w:t>MPE</w:t>
      </w:r>
      <w:r w:rsidR="002612E6" w:rsidRPr="00733CF3">
        <w:rPr>
          <w:rFonts w:ascii="Times New Roman Bold" w:hAnsi="Times New Roman Bold" w:cs="Times New Roman Bold"/>
          <w:lang w:eastAsia="ja-JP"/>
        </w:rPr>
        <w:t xml:space="preserve"> (Margen de Protección Equivalent</w:t>
      </w:r>
      <w:r w:rsidR="00D23344" w:rsidRPr="00733CF3">
        <w:rPr>
          <w:rFonts w:ascii="Times New Roman Bold" w:hAnsi="Times New Roman Bold" w:cs="Times New Roman Bold"/>
          <w:lang w:eastAsia="ja-JP"/>
        </w:rPr>
        <w:t>e</w:t>
      </w:r>
      <w:r w:rsidR="002612E6" w:rsidRPr="00733CF3">
        <w:rPr>
          <w:rFonts w:ascii="Times New Roman Bold" w:hAnsi="Times New Roman Bold" w:cs="Times New Roman Bold"/>
          <w:lang w:eastAsia="ja-JP"/>
        </w:rPr>
        <w:t xml:space="preserve">) resuelve el problema de la </w:t>
      </w:r>
      <w:r w:rsidR="00701201" w:rsidRPr="00733CF3">
        <w:rPr>
          <w:rFonts w:ascii="Times New Roman Bold" w:hAnsi="Times New Roman Bold" w:cs="Times New Roman Bold"/>
          <w:lang w:eastAsia="ja-JP"/>
        </w:rPr>
        <w:t>«</w:t>
      </w:r>
      <w:r w:rsidR="002612E6" w:rsidRPr="00733CF3">
        <w:rPr>
          <w:rFonts w:ascii="Times New Roman Bold" w:hAnsi="Times New Roman Bold" w:cs="Times New Roman Bold"/>
          <w:lang w:eastAsia="ja-JP"/>
        </w:rPr>
        <w:t>red de satélites sensible</w:t>
      </w:r>
      <w:r w:rsidR="00701201" w:rsidRPr="00733CF3">
        <w:rPr>
          <w:rFonts w:ascii="Times New Roman Bold" w:hAnsi="Times New Roman Bold" w:cs="Times New Roman Bold"/>
          <w:lang w:eastAsia="ja-JP"/>
        </w:rPr>
        <w:t>»</w:t>
      </w:r>
      <w:r w:rsidR="002612E6" w:rsidRPr="00733CF3">
        <w:rPr>
          <w:rFonts w:ascii="Times New Roman Bold" w:hAnsi="Times New Roman Bold" w:cs="Times New Roman Bold"/>
          <w:lang w:eastAsia="ja-JP"/>
        </w:rPr>
        <w:t xml:space="preserve"> de baja potencia de transmisión.</w:t>
      </w:r>
    </w:p>
    <w:p w14:paraId="27D81494" w14:textId="76C5D9C1" w:rsidR="002612E6" w:rsidRPr="00733CF3" w:rsidRDefault="002612E6" w:rsidP="000924DA">
      <w:r w:rsidRPr="00733CF3">
        <w:t xml:space="preserve">En la Figura 1, </w:t>
      </w:r>
      <w:r w:rsidR="00D23344" w:rsidRPr="00733CF3">
        <w:t xml:space="preserve">el </w:t>
      </w:r>
      <w:r w:rsidRPr="00733CF3">
        <w:t xml:space="preserve">Sat. P es la red de la Lista. </w:t>
      </w:r>
      <w:r w:rsidR="00893299" w:rsidRPr="00733CF3">
        <w:t>El Sat</w:t>
      </w:r>
      <w:r w:rsidR="00B33E88">
        <w:t>.</w:t>
      </w:r>
      <w:r w:rsidR="00893299" w:rsidRPr="00733CF3">
        <w:t xml:space="preserve"> Q, de</w:t>
      </w:r>
      <w:r w:rsidRPr="00733CF3">
        <w:t xml:space="preserve"> baja potencia de </w:t>
      </w:r>
      <w:r w:rsidR="00D82F6D" w:rsidRPr="00733CF3">
        <w:t>transmisión</w:t>
      </w:r>
      <w:r w:rsidR="00893299" w:rsidRPr="00733CF3">
        <w:t>,</w:t>
      </w:r>
      <w:r w:rsidRPr="00733CF3">
        <w:t xml:space="preserve"> puede </w:t>
      </w:r>
      <w:r w:rsidR="00D82F6D" w:rsidRPr="00733CF3">
        <w:t>inscribirse</w:t>
      </w:r>
      <w:r w:rsidRPr="00733CF3">
        <w:t xml:space="preserve"> en la Lista sin coordinación con Sat. P, por ejemplo, </w:t>
      </w:r>
      <w:r w:rsidR="0053362C" w:rsidRPr="00733CF3">
        <w:t xml:space="preserve">con una separación de </w:t>
      </w:r>
      <w:r w:rsidRPr="00733CF3">
        <w:t xml:space="preserve">3 grados </w:t>
      </w:r>
      <w:r w:rsidR="00704F16" w:rsidRPr="00733CF3">
        <w:t>respecto</w:t>
      </w:r>
      <w:r w:rsidR="0053362C" w:rsidRPr="00733CF3">
        <w:t xml:space="preserve"> </w:t>
      </w:r>
      <w:r w:rsidRPr="00733CF3">
        <w:t xml:space="preserve">de la posición orbital de Sat. P. </w:t>
      </w:r>
      <w:r w:rsidR="0053362C" w:rsidRPr="00733CF3">
        <w:t xml:space="preserve">Como </w:t>
      </w:r>
      <w:r w:rsidRPr="00733CF3">
        <w:t xml:space="preserve">la potencia de transmisión es tan pequeña que </w:t>
      </w:r>
      <w:r w:rsidR="00DA3177" w:rsidRPr="00733CF3">
        <w:t xml:space="preserve">el </w:t>
      </w:r>
      <w:r w:rsidRPr="00733CF3">
        <w:t>Sat.</w:t>
      </w:r>
      <w:r w:rsidR="00B33E88">
        <w:t> </w:t>
      </w:r>
      <w:r w:rsidRPr="00733CF3">
        <w:t xml:space="preserve">P no se identifica como afectado por Sat. </w:t>
      </w:r>
      <w:r w:rsidR="00DA3177" w:rsidRPr="00733CF3">
        <w:t>el Q</w:t>
      </w:r>
      <w:r w:rsidRPr="00733CF3">
        <w:t xml:space="preserve">. En cambio, el </w:t>
      </w:r>
      <w:r w:rsidR="00DA3177" w:rsidRPr="00733CF3">
        <w:t xml:space="preserve">MPE </w:t>
      </w:r>
      <w:r w:rsidRPr="00733CF3">
        <w:t>de</w:t>
      </w:r>
      <w:r w:rsidR="00DA3177" w:rsidRPr="00733CF3">
        <w:t>l</w:t>
      </w:r>
      <w:r w:rsidRPr="00733CF3">
        <w:t xml:space="preserve"> Sat. Q se </w:t>
      </w:r>
      <w:r w:rsidR="005451ED" w:rsidRPr="00733CF3">
        <w:t>hace</w:t>
      </w:r>
      <w:r w:rsidRPr="00733CF3">
        <w:t xml:space="preserve"> muy </w:t>
      </w:r>
      <w:r w:rsidR="009E608D" w:rsidRPr="00733CF3">
        <w:t>pequeño</w:t>
      </w:r>
      <w:r w:rsidRPr="00733CF3">
        <w:t>, por ejemplo -15dB debido a la interferencia de Sat. P.</w:t>
      </w:r>
    </w:p>
    <w:p w14:paraId="279A429D" w14:textId="1D6F2C97" w:rsidR="002612E6" w:rsidRPr="00733CF3" w:rsidRDefault="002612E6" w:rsidP="000924DA">
      <w:r w:rsidRPr="00733CF3">
        <w:t xml:space="preserve">Cuando </w:t>
      </w:r>
      <w:r w:rsidR="00D82F6D" w:rsidRPr="00733CF3">
        <w:t xml:space="preserve">se </w:t>
      </w:r>
      <w:r w:rsidR="00AB6879" w:rsidRPr="00733CF3">
        <w:t xml:space="preserve">trata de </w:t>
      </w:r>
      <w:r w:rsidR="00D82F6D" w:rsidRPr="00733CF3">
        <w:t xml:space="preserve">inscribir </w:t>
      </w:r>
      <w:r w:rsidRPr="00733CF3">
        <w:t>en la Lista</w:t>
      </w:r>
      <w:r w:rsidR="00D82F6D" w:rsidRPr="00733CF3">
        <w:t xml:space="preserve"> el nuevo Sat. R</w:t>
      </w:r>
      <w:r w:rsidRPr="00733CF3">
        <w:t xml:space="preserve">, el valor umbral en términos de dfp (densidad de flujo de potencia) con respecto a Sat. Q es -124 dB(W/(m2 - MHz)) </w:t>
      </w:r>
      <w:r w:rsidR="00AB6879" w:rsidRPr="00733CF3">
        <w:t xml:space="preserve">según </w:t>
      </w:r>
      <w:r w:rsidRPr="00733CF3">
        <w:t xml:space="preserve">el criterio </w:t>
      </w:r>
      <w:r w:rsidR="00AB6879" w:rsidRPr="00733CF3">
        <w:t xml:space="preserve">MPE </w:t>
      </w:r>
      <w:r w:rsidRPr="00733CF3">
        <w:t>e</w:t>
      </w:r>
      <w:r w:rsidR="00AB6879" w:rsidRPr="00733CF3">
        <w:t>n</w:t>
      </w:r>
      <w:r w:rsidRPr="00733CF3">
        <w:t xml:space="preserve"> este ejemplo, </w:t>
      </w:r>
      <w:r w:rsidR="007F46FC" w:rsidRPr="00733CF3">
        <w:t xml:space="preserve">pero </w:t>
      </w:r>
      <w:r w:rsidRPr="00733CF3">
        <w:t xml:space="preserve">se convierte en -136 dB(W/(m2 - MHz)) </w:t>
      </w:r>
      <w:r w:rsidR="007F46FC" w:rsidRPr="00733CF3">
        <w:t xml:space="preserve">según </w:t>
      </w:r>
      <w:r w:rsidRPr="00733CF3">
        <w:t xml:space="preserve">el criterio de dfp. La diferencia es de unos 12 dB y es más fácil para Sat. R </w:t>
      </w:r>
      <w:r w:rsidR="00D82F6D" w:rsidRPr="00733CF3">
        <w:t xml:space="preserve">inscribirse </w:t>
      </w:r>
      <w:r w:rsidRPr="00733CF3">
        <w:t xml:space="preserve">en la Lista </w:t>
      </w:r>
      <w:r w:rsidR="00576041" w:rsidRPr="00733CF3">
        <w:t xml:space="preserve">basándose en </w:t>
      </w:r>
      <w:r w:rsidRPr="00733CF3">
        <w:t xml:space="preserve">el criterio EPM. </w:t>
      </w:r>
      <w:r w:rsidR="00576041" w:rsidRPr="00733CF3">
        <w:t>Dicho de otro modo</w:t>
      </w:r>
      <w:r w:rsidRPr="00733CF3">
        <w:t xml:space="preserve">, </w:t>
      </w:r>
      <w:r w:rsidR="00576041" w:rsidRPr="00733CF3">
        <w:t xml:space="preserve">el </w:t>
      </w:r>
      <w:r w:rsidRPr="00733CF3">
        <w:t xml:space="preserve">Sat. Q funciona </w:t>
      </w:r>
      <w:r w:rsidR="00576041" w:rsidRPr="00733CF3">
        <w:t xml:space="preserve">bloquea </w:t>
      </w:r>
      <w:r w:rsidR="002B6837" w:rsidRPr="00733CF3">
        <w:t xml:space="preserve">la entrada de nuevos satélites </w:t>
      </w:r>
      <w:r w:rsidRPr="00733CF3">
        <w:t xml:space="preserve">si se suprime el criterio </w:t>
      </w:r>
      <w:r w:rsidR="002B6837" w:rsidRPr="00733CF3">
        <w:t xml:space="preserve">MPE </w:t>
      </w:r>
      <w:r w:rsidRPr="00733CF3">
        <w:t xml:space="preserve">y </w:t>
      </w:r>
      <w:r w:rsidR="002B6837" w:rsidRPr="00733CF3">
        <w:t xml:space="preserve">se deja exclusivamente </w:t>
      </w:r>
      <w:r w:rsidRPr="00733CF3">
        <w:t>el criterio de dfp.</w:t>
      </w:r>
    </w:p>
    <w:p w14:paraId="79F7974F" w14:textId="2A74BC8B" w:rsidR="00B0232F" w:rsidRPr="00733CF3" w:rsidRDefault="00B0232F" w:rsidP="000924DA">
      <w:r w:rsidRPr="00733CF3">
        <w:t>Por consiguiente, el criterio EPM contribuye a mitigar el problema de una «red de satélite sensible» que posee una potencia de transmisión muy baja y contribuye a la utilización eficiente de la órbita de los satélites geoestacionarios. Debe mantenerse el criterio MPE.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929"/>
      </w:tblGrid>
      <w:tr w:rsidR="00B0232F" w:rsidRPr="00733CF3" w14:paraId="493CBD06" w14:textId="77777777" w:rsidTr="00B0232F">
        <w:trPr>
          <w:trHeight w:val="3903"/>
          <w:jc w:val="center"/>
        </w:trPr>
        <w:tc>
          <w:tcPr>
            <w:tcW w:w="2443" w:type="pct"/>
          </w:tcPr>
          <w:p w14:paraId="2544C983" w14:textId="61373167" w:rsidR="00B0232F" w:rsidRPr="00733CF3" w:rsidRDefault="00B0232F" w:rsidP="0056388B">
            <w:pPr>
              <w:jc w:val="center"/>
              <w:rPr>
                <w:szCs w:val="24"/>
                <w:lang w:eastAsia="ja-JP"/>
              </w:rPr>
            </w:pPr>
            <w:r w:rsidRPr="00733CF3">
              <w:rPr>
                <w:noProof/>
                <w:lang w:eastAsia="zh-CN"/>
              </w:rPr>
              <w:lastRenderedPageBreak/>
              <w:drawing>
                <wp:inline distT="0" distB="0" distL="0" distR="0" wp14:anchorId="59C84D97" wp14:editId="745588F9">
                  <wp:extent cx="1943947" cy="3460546"/>
                  <wp:effectExtent l="0" t="0" r="0" b="698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49" cy="346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pct"/>
          </w:tcPr>
          <w:p w14:paraId="5AF37783" w14:textId="77777777" w:rsidR="00B0232F" w:rsidRPr="00733CF3" w:rsidRDefault="00B0232F" w:rsidP="0056388B">
            <w:pPr>
              <w:jc w:val="center"/>
              <w:rPr>
                <w:szCs w:val="24"/>
                <w:lang w:eastAsia="ja-JP"/>
              </w:rPr>
            </w:pPr>
            <w:r w:rsidRPr="00733CF3">
              <w:rPr>
                <w:noProof/>
                <w:lang w:eastAsia="zh-CN"/>
              </w:rPr>
              <w:drawing>
                <wp:inline distT="0" distB="0" distL="0" distR="0" wp14:anchorId="1074A09C" wp14:editId="654246BA">
                  <wp:extent cx="2553546" cy="3448187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980" cy="346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32F" w:rsidRPr="00733CF3" w14:paraId="5375659E" w14:textId="77777777" w:rsidTr="00B0232F">
        <w:trPr>
          <w:trHeight w:val="445"/>
          <w:jc w:val="center"/>
        </w:trPr>
        <w:tc>
          <w:tcPr>
            <w:tcW w:w="5000" w:type="pct"/>
            <w:gridSpan w:val="2"/>
          </w:tcPr>
          <w:p w14:paraId="3F7789E3" w14:textId="6AC7A8C1" w:rsidR="00B0232F" w:rsidRPr="00733CF3" w:rsidRDefault="00B0232F" w:rsidP="00733CF3">
            <w:pPr>
              <w:pStyle w:val="Figure"/>
              <w:rPr>
                <w:lang w:eastAsia="ja-JP"/>
              </w:rPr>
            </w:pPr>
            <w:r w:rsidRPr="00733CF3">
              <w:rPr>
                <w:lang w:eastAsia="ja-JP"/>
              </w:rPr>
              <w:t xml:space="preserve">Figura 1: Problema de </w:t>
            </w:r>
            <w:r w:rsidR="00733CF3" w:rsidRPr="00733CF3">
              <w:rPr>
                <w:lang w:eastAsia="ja-JP"/>
              </w:rPr>
              <w:t>«</w:t>
            </w:r>
            <w:r w:rsidRPr="00733CF3">
              <w:rPr>
                <w:lang w:eastAsia="ja-JP"/>
              </w:rPr>
              <w:t>red de satélites sensible</w:t>
            </w:r>
            <w:r w:rsidR="00733CF3" w:rsidRPr="00733CF3">
              <w:rPr>
                <w:lang w:eastAsia="ja-JP"/>
              </w:rPr>
              <w:t>»</w:t>
            </w:r>
            <w:r w:rsidRPr="00733CF3">
              <w:rPr>
                <w:lang w:eastAsia="ja-JP"/>
              </w:rPr>
              <w:t xml:space="preserve"> de baja potencia de transmisión (Sat. Q) y el valor umbral de la dfp respecto del Sat. Q. El valor de la p.i.r.e. es por cada 27 MHz</w:t>
            </w:r>
          </w:p>
          <w:p w14:paraId="3A2C6041" w14:textId="143B7EF4" w:rsidR="00B0232F" w:rsidRPr="00733CF3" w:rsidRDefault="00B0232F" w:rsidP="00733CF3">
            <w:pPr>
              <w:pStyle w:val="Tablelegend"/>
              <w:rPr>
                <w:noProof/>
                <w:sz w:val="22"/>
                <w:szCs w:val="18"/>
                <w:lang w:eastAsia="zh-CN"/>
              </w:rPr>
            </w:pPr>
            <w:r w:rsidRPr="00733CF3">
              <w:rPr>
                <w:lang w:eastAsia="ja-JP"/>
              </w:rPr>
              <w:t xml:space="preserve">Leyendas: baja p.i.r.e. // El Sat. Q de baja p.i.r.e. puede bloquear la </w:t>
            </w:r>
            <w:r w:rsidR="00733CF3" w:rsidRPr="00733CF3">
              <w:rPr>
                <w:lang w:eastAsia="ja-JP"/>
              </w:rPr>
              <w:t>inscripción</w:t>
            </w:r>
            <w:r w:rsidRPr="00733CF3">
              <w:rPr>
                <w:lang w:eastAsia="ja-JP"/>
              </w:rPr>
              <w:t xml:space="preserve"> del nuevo Sat. R cuando sólo se aplica el criterio de la dfp. Gracias al criterio del MPE, el Sat. R podría inscribirse en la Lista. // Criterio MPE C, p.i.r.e. 57 dBW (3ª de separación) // Umbral dfp // El umbral dfp para la coordinación del Sat. R con el Sat. Q es de -124</w:t>
            </w:r>
            <w:r w:rsidR="00733CF3">
              <w:rPr>
                <w:lang w:eastAsia="ja-JP"/>
              </w:rPr>
              <w:t xml:space="preserve"> </w:t>
            </w:r>
            <w:r w:rsidR="00733CF3">
              <w:rPr>
                <w:lang w:eastAsia="ja-JP"/>
              </w:rPr>
              <w:t>dBW/m2/MHz</w:t>
            </w:r>
            <w:r w:rsidRPr="00733CF3">
              <w:rPr>
                <w:lang w:eastAsia="ja-JP"/>
              </w:rPr>
              <w:t xml:space="preserve"> según el criterio del MPE, pero de -13</w:t>
            </w:r>
            <w:r w:rsidR="00733CF3">
              <w:rPr>
                <w:lang w:eastAsia="ja-JP"/>
              </w:rPr>
              <w:t xml:space="preserve">6 </w:t>
            </w:r>
            <w:r w:rsidR="00733CF3">
              <w:rPr>
                <w:lang w:eastAsia="ja-JP"/>
              </w:rPr>
              <w:t>dBW/m2/MHz</w:t>
            </w:r>
            <w:r w:rsidRPr="00733CF3">
              <w:rPr>
                <w:lang w:eastAsia="ja-JP"/>
              </w:rPr>
              <w:t xml:space="preserve"> según el criterio de la dfp</w:t>
            </w:r>
          </w:p>
        </w:tc>
      </w:tr>
    </w:tbl>
    <w:p w14:paraId="30AFF0A5" w14:textId="68AFB997" w:rsidR="00B0232F" w:rsidRPr="00733CF3" w:rsidRDefault="00B0232F" w:rsidP="000924DA">
      <w:pPr>
        <w:rPr>
          <w:lang w:eastAsia="ja-JP"/>
        </w:rPr>
      </w:pPr>
      <w:r w:rsidRPr="00733CF3">
        <w:rPr>
          <w:lang w:eastAsia="ja-JP"/>
        </w:rPr>
        <w:t>Si se suprime el criterio EPM, resulta muy difícil que el nuevo Sat. R entre en la Lista. Podría introducirse una vez que el viejo Sat. P haya expirado tras 15 + 15 años (</w:t>
      </w:r>
      <w:r w:rsidRPr="00733CF3">
        <w:t>§ </w:t>
      </w:r>
      <w:r w:rsidRPr="00733CF3">
        <w:rPr>
          <w:lang w:eastAsia="ja-JP"/>
        </w:rPr>
        <w:t xml:space="preserve">4.1.24 de los Apéndices </w:t>
      </w:r>
      <w:r w:rsidRPr="00733CF3">
        <w:rPr>
          <w:b/>
          <w:bCs/>
          <w:lang w:eastAsia="ja-JP"/>
        </w:rPr>
        <w:t xml:space="preserve">30 </w:t>
      </w:r>
      <w:r w:rsidRPr="00733CF3">
        <w:rPr>
          <w:lang w:eastAsia="ja-JP"/>
        </w:rPr>
        <w:t>and</w:t>
      </w:r>
      <w:r w:rsidRPr="00733CF3">
        <w:rPr>
          <w:b/>
          <w:bCs/>
          <w:lang w:eastAsia="ja-JP"/>
        </w:rPr>
        <w:t xml:space="preserve"> 30A </w:t>
      </w:r>
      <w:r w:rsidRPr="00733CF3">
        <w:rPr>
          <w:lang w:eastAsia="ja-JP"/>
        </w:rPr>
        <w:t>del RR), puesto que su introducción en la Lista resulta difícil porque no satisface el criterio de la dfp para la protección del Sat. Q.</w:t>
      </w:r>
    </w:p>
    <w:p w14:paraId="34D16CAD" w14:textId="2A6B4DEE" w:rsidR="00C23CED" w:rsidRPr="00733CF3" w:rsidRDefault="00C23CED" w:rsidP="00B0232F">
      <w:pPr>
        <w:pStyle w:val="Headingb"/>
        <w:keepNext w:val="0"/>
        <w:ind w:left="1134" w:hanging="1134"/>
        <w:rPr>
          <w:rFonts w:ascii="Times New Roman Bold" w:hAnsi="Times New Roman Bold" w:cs="Times New Roman Bold"/>
          <w:lang w:eastAsia="ja-JP"/>
        </w:rPr>
      </w:pPr>
      <w:r w:rsidRPr="00733CF3">
        <w:rPr>
          <w:rFonts w:ascii="Times New Roman Bold" w:hAnsi="Times New Roman Bold" w:cs="Times New Roman Bold"/>
          <w:lang w:eastAsia="ja-JP"/>
        </w:rPr>
        <w:t>2</w:t>
      </w:r>
      <w:r w:rsidR="00733CF3" w:rsidRPr="00733CF3">
        <w:rPr>
          <w:rFonts w:ascii="Times New Roman Bold" w:hAnsi="Times New Roman Bold" w:cs="Times New Roman Bold"/>
          <w:lang w:eastAsia="ja-JP"/>
        </w:rPr>
        <w:t>)</w:t>
      </w:r>
      <w:r w:rsidRPr="00733CF3">
        <w:rPr>
          <w:rFonts w:ascii="Times New Roman Bold" w:hAnsi="Times New Roman Bold" w:cs="Times New Roman Bold"/>
          <w:lang w:eastAsia="ja-JP"/>
        </w:rPr>
        <w:tab/>
      </w:r>
      <w:r w:rsidR="007A2A9A" w:rsidRPr="00733CF3">
        <w:rPr>
          <w:rFonts w:ascii="Times New Roman Bold" w:hAnsi="Times New Roman Bold" w:cs="Times New Roman Bold"/>
          <w:lang w:eastAsia="ja-JP"/>
        </w:rPr>
        <w:t xml:space="preserve">Problema del satélite </w:t>
      </w:r>
      <w:r w:rsidR="009C47AF" w:rsidRPr="00733CF3">
        <w:rPr>
          <w:rFonts w:ascii="Times New Roman Bold" w:hAnsi="Times New Roman Bold" w:cs="Times New Roman Bold"/>
          <w:lang w:eastAsia="ja-JP"/>
        </w:rPr>
        <w:t xml:space="preserve">con elevada </w:t>
      </w:r>
      <w:r w:rsidR="007A2A9A" w:rsidRPr="00733CF3">
        <w:rPr>
          <w:rFonts w:ascii="Times New Roman Bold" w:hAnsi="Times New Roman Bold" w:cs="Times New Roman Bold"/>
          <w:lang w:eastAsia="ja-JP"/>
        </w:rPr>
        <w:t xml:space="preserve">potencia </w:t>
      </w:r>
      <w:r w:rsidR="009C47AF" w:rsidRPr="00733CF3">
        <w:rPr>
          <w:rFonts w:ascii="Times New Roman Bold" w:hAnsi="Times New Roman Bold" w:cs="Times New Roman Bold"/>
          <w:lang w:eastAsia="ja-JP"/>
        </w:rPr>
        <w:t>de transmisión</w:t>
      </w:r>
      <w:r w:rsidR="007A2A9A" w:rsidRPr="00733CF3">
        <w:rPr>
          <w:rFonts w:ascii="Times New Roman Bold" w:hAnsi="Times New Roman Bold" w:cs="Times New Roman Bold"/>
          <w:lang w:eastAsia="ja-JP"/>
        </w:rPr>
        <w:t xml:space="preserve">, que </w:t>
      </w:r>
      <w:r w:rsidR="009C47AF" w:rsidRPr="00733CF3">
        <w:rPr>
          <w:rFonts w:ascii="Times New Roman Bold" w:hAnsi="Times New Roman Bold" w:cs="Times New Roman Bold"/>
          <w:lang w:eastAsia="ja-JP"/>
        </w:rPr>
        <w:t xml:space="preserve">se </w:t>
      </w:r>
      <w:r w:rsidR="00A57EA5" w:rsidRPr="00733CF3">
        <w:rPr>
          <w:rFonts w:ascii="Times New Roman Bold" w:hAnsi="Times New Roman Bold" w:cs="Times New Roman Bold"/>
          <w:lang w:eastAsia="ja-JP"/>
        </w:rPr>
        <w:t xml:space="preserve">pretende resolver </w:t>
      </w:r>
      <w:r w:rsidR="009C47AF" w:rsidRPr="00733CF3">
        <w:rPr>
          <w:rFonts w:ascii="Times New Roman Bold" w:hAnsi="Times New Roman Bold" w:cs="Times New Roman Bold"/>
          <w:lang w:eastAsia="ja-JP"/>
        </w:rPr>
        <w:t xml:space="preserve">mediante </w:t>
      </w:r>
      <w:r w:rsidR="00A57EA5" w:rsidRPr="00733CF3">
        <w:rPr>
          <w:rFonts w:ascii="Times New Roman Bold" w:hAnsi="Times New Roman Bold" w:cs="Times New Roman Bold"/>
          <w:lang w:eastAsia="ja-JP"/>
        </w:rPr>
        <w:t xml:space="preserve">el Método </w:t>
      </w:r>
      <w:r w:rsidRPr="00733CF3">
        <w:rPr>
          <w:rFonts w:ascii="Times New Roman Bold" w:hAnsi="Times New Roman Bold" w:cs="Times New Roman Bold"/>
          <w:lang w:eastAsia="ja-JP"/>
        </w:rPr>
        <w:t xml:space="preserve">G1 </w:t>
      </w:r>
    </w:p>
    <w:p w14:paraId="6142E59D" w14:textId="32187330" w:rsidR="00C23CED" w:rsidRPr="00733CF3" w:rsidRDefault="00D430E9" w:rsidP="000924DA">
      <w:pPr>
        <w:rPr>
          <w:lang w:eastAsia="ja-JP"/>
        </w:rPr>
      </w:pPr>
      <w:r w:rsidRPr="00733CF3">
        <w:rPr>
          <w:lang w:eastAsia="ja-JP"/>
        </w:rPr>
        <w:t>En la</w:t>
      </w:r>
      <w:r w:rsidR="00C23CED" w:rsidRPr="00733CF3">
        <w:rPr>
          <w:lang w:eastAsia="ja-JP"/>
        </w:rPr>
        <w:t xml:space="preserve"> Figur</w:t>
      </w:r>
      <w:r w:rsidRPr="00733CF3">
        <w:rPr>
          <w:lang w:eastAsia="ja-JP"/>
        </w:rPr>
        <w:t>a</w:t>
      </w:r>
      <w:r w:rsidR="00C23CED" w:rsidRPr="00733CF3">
        <w:rPr>
          <w:lang w:eastAsia="ja-JP"/>
        </w:rPr>
        <w:t xml:space="preserve"> 2, </w:t>
      </w:r>
      <w:r w:rsidRPr="00733CF3">
        <w:rPr>
          <w:lang w:eastAsia="ja-JP"/>
        </w:rPr>
        <w:t xml:space="preserve">el </w:t>
      </w:r>
      <w:r w:rsidR="00C23CED" w:rsidRPr="00733CF3">
        <w:rPr>
          <w:lang w:eastAsia="ja-JP"/>
        </w:rPr>
        <w:t xml:space="preserve">Sat. L </w:t>
      </w:r>
      <w:r w:rsidRPr="00733CF3">
        <w:rPr>
          <w:lang w:eastAsia="ja-JP"/>
        </w:rPr>
        <w:t>es la red en la Lista</w:t>
      </w:r>
      <w:r w:rsidR="00C23CED" w:rsidRPr="00733CF3">
        <w:rPr>
          <w:lang w:eastAsia="ja-JP"/>
        </w:rPr>
        <w:t xml:space="preserve">. </w:t>
      </w:r>
      <w:r w:rsidRPr="00733CF3">
        <w:rPr>
          <w:lang w:eastAsia="ja-JP"/>
        </w:rPr>
        <w:t xml:space="preserve">Así, el </w:t>
      </w:r>
      <w:r w:rsidR="00C23CED" w:rsidRPr="00733CF3">
        <w:rPr>
          <w:lang w:eastAsia="ja-JP"/>
        </w:rPr>
        <w:t xml:space="preserve">Sat. M </w:t>
      </w:r>
      <w:r w:rsidRPr="00733CF3">
        <w:rPr>
          <w:lang w:eastAsia="ja-JP"/>
        </w:rPr>
        <w:t xml:space="preserve">de elevada potencia de transmisión </w:t>
      </w:r>
      <w:r w:rsidR="00D30F28" w:rsidRPr="00733CF3">
        <w:rPr>
          <w:lang w:eastAsia="ja-JP"/>
        </w:rPr>
        <w:t xml:space="preserve">se inscribe provisionalmente en la Lista en aplicación del </w:t>
      </w:r>
      <w:r w:rsidR="00C23CED" w:rsidRPr="00733CF3">
        <w:t>§</w:t>
      </w:r>
      <w:r w:rsidR="00C23CED" w:rsidRPr="00733CF3">
        <w:rPr>
          <w:rFonts w:eastAsiaTheme="minorEastAsia"/>
          <w:lang w:eastAsia="ja-JP"/>
        </w:rPr>
        <w:t xml:space="preserve"> </w:t>
      </w:r>
      <w:r w:rsidR="00C23CED" w:rsidRPr="00733CF3">
        <w:rPr>
          <w:lang w:eastAsia="ja-JP"/>
        </w:rPr>
        <w:t xml:space="preserve">4.1.18 </w:t>
      </w:r>
      <w:r w:rsidR="00D30F28" w:rsidRPr="00733CF3">
        <w:rPr>
          <w:lang w:eastAsia="ja-JP"/>
        </w:rPr>
        <w:t xml:space="preserve">respecto del </w:t>
      </w:r>
      <w:r w:rsidR="00C23CED" w:rsidRPr="00733CF3">
        <w:rPr>
          <w:lang w:eastAsia="ja-JP"/>
        </w:rPr>
        <w:t xml:space="preserve">Sat. L. </w:t>
      </w:r>
      <w:r w:rsidR="00D30F28" w:rsidRPr="00733CF3">
        <w:rPr>
          <w:lang w:eastAsia="ja-JP"/>
        </w:rPr>
        <w:t xml:space="preserve">El </w:t>
      </w:r>
      <w:r w:rsidR="00C23CED" w:rsidRPr="00733CF3">
        <w:rPr>
          <w:lang w:eastAsia="ja-JP"/>
        </w:rPr>
        <w:t xml:space="preserve">Sat. M </w:t>
      </w:r>
      <w:r w:rsidR="00D30F28" w:rsidRPr="00733CF3">
        <w:rPr>
          <w:lang w:eastAsia="ja-JP"/>
        </w:rPr>
        <w:t xml:space="preserve">no transmite a potencia elevada durante </w:t>
      </w:r>
      <w:r w:rsidR="00C23CED" w:rsidRPr="00733CF3">
        <w:rPr>
          <w:lang w:eastAsia="ja-JP"/>
        </w:rPr>
        <w:t xml:space="preserve">4 </w:t>
      </w:r>
      <w:r w:rsidR="00D30F28" w:rsidRPr="00733CF3">
        <w:rPr>
          <w:lang w:eastAsia="ja-JP"/>
        </w:rPr>
        <w:t>meses</w:t>
      </w:r>
      <w:r w:rsidR="00C23CED" w:rsidRPr="00733CF3">
        <w:rPr>
          <w:lang w:eastAsia="ja-JP"/>
        </w:rPr>
        <w:t xml:space="preserve">, </w:t>
      </w:r>
      <w:r w:rsidR="00764851" w:rsidRPr="00733CF3">
        <w:rPr>
          <w:lang w:eastAsia="ja-JP"/>
        </w:rPr>
        <w:t xml:space="preserve">por lo que no se recibe reclamación </w:t>
      </w:r>
      <w:r w:rsidR="00704F16" w:rsidRPr="00733CF3">
        <w:rPr>
          <w:lang w:eastAsia="ja-JP"/>
        </w:rPr>
        <w:t>alguna</w:t>
      </w:r>
      <w:r w:rsidR="00764851" w:rsidRPr="00733CF3">
        <w:rPr>
          <w:lang w:eastAsia="ja-JP"/>
        </w:rPr>
        <w:t xml:space="preserve"> del </w:t>
      </w:r>
      <w:r w:rsidR="00C23CED" w:rsidRPr="00733CF3">
        <w:rPr>
          <w:lang w:eastAsia="ja-JP"/>
        </w:rPr>
        <w:t xml:space="preserve">Sat. L. </w:t>
      </w:r>
      <w:r w:rsidR="00764851" w:rsidRPr="00733CF3">
        <w:rPr>
          <w:lang w:eastAsia="ja-JP"/>
        </w:rPr>
        <w:t xml:space="preserve">El </w:t>
      </w:r>
      <w:r w:rsidR="00C23CED" w:rsidRPr="00733CF3">
        <w:rPr>
          <w:lang w:eastAsia="ja-JP"/>
        </w:rPr>
        <w:t xml:space="preserve">Sat. M </w:t>
      </w:r>
      <w:r w:rsidR="006F0B11" w:rsidRPr="00733CF3">
        <w:rPr>
          <w:lang w:eastAsia="ja-JP"/>
        </w:rPr>
        <w:t xml:space="preserve">puede convertirse a definitiva y el MPE de referencia del </w:t>
      </w:r>
      <w:r w:rsidR="00C23CED" w:rsidRPr="00733CF3">
        <w:rPr>
          <w:lang w:eastAsia="ja-JP"/>
        </w:rPr>
        <w:t xml:space="preserve">Sat. L </w:t>
      </w:r>
      <w:r w:rsidR="003F4325" w:rsidRPr="00733CF3">
        <w:rPr>
          <w:lang w:eastAsia="ja-JP"/>
        </w:rPr>
        <w:t xml:space="preserve">se actualiza con arreglo al </w:t>
      </w:r>
      <w:r w:rsidR="00C23CED" w:rsidRPr="00733CF3">
        <w:t>§</w:t>
      </w:r>
      <w:r w:rsidR="00C23CED" w:rsidRPr="00733CF3">
        <w:rPr>
          <w:rFonts w:eastAsiaTheme="minorEastAsia"/>
          <w:lang w:eastAsia="ja-JP"/>
        </w:rPr>
        <w:t xml:space="preserve"> </w:t>
      </w:r>
      <w:r w:rsidR="00C23CED" w:rsidRPr="00733CF3">
        <w:rPr>
          <w:lang w:eastAsia="ja-JP"/>
        </w:rPr>
        <w:t>4.1.18</w:t>
      </w:r>
      <w:r w:rsidR="00C23CED" w:rsidRPr="00733CF3">
        <w:rPr>
          <w:i/>
          <w:iCs/>
          <w:lang w:eastAsia="ja-JP"/>
        </w:rPr>
        <w:t>bis</w:t>
      </w:r>
      <w:r w:rsidR="00C23CED" w:rsidRPr="00733CF3">
        <w:rPr>
          <w:lang w:eastAsia="ja-JP"/>
        </w:rPr>
        <w:t xml:space="preserve">. </w:t>
      </w:r>
      <w:r w:rsidR="003F4325" w:rsidRPr="00733CF3">
        <w:rPr>
          <w:lang w:eastAsia="ja-JP"/>
        </w:rPr>
        <w:t>En consecuencia</w:t>
      </w:r>
      <w:r w:rsidR="00C23CED" w:rsidRPr="00733CF3">
        <w:rPr>
          <w:lang w:eastAsia="ja-JP"/>
        </w:rPr>
        <w:t xml:space="preserve">, </w:t>
      </w:r>
      <w:r w:rsidR="003F4325" w:rsidRPr="00733CF3">
        <w:rPr>
          <w:lang w:eastAsia="ja-JP"/>
        </w:rPr>
        <w:t xml:space="preserve">el MPE del </w:t>
      </w:r>
      <w:r w:rsidR="00C23CED" w:rsidRPr="00733CF3">
        <w:rPr>
          <w:lang w:eastAsia="ja-JP"/>
        </w:rPr>
        <w:t xml:space="preserve">Sat. L </w:t>
      </w:r>
      <w:r w:rsidR="003F4325" w:rsidRPr="00733CF3">
        <w:rPr>
          <w:lang w:eastAsia="ja-JP"/>
        </w:rPr>
        <w:t>causa una degradación</w:t>
      </w:r>
      <w:r w:rsidR="00C23CED" w:rsidRPr="00733CF3">
        <w:rPr>
          <w:lang w:eastAsia="ja-JP"/>
        </w:rPr>
        <w:t xml:space="preserve">, </w:t>
      </w:r>
      <w:r w:rsidR="003F4325" w:rsidRPr="00733CF3">
        <w:rPr>
          <w:lang w:eastAsia="ja-JP"/>
        </w:rPr>
        <w:t>por ejemplo</w:t>
      </w:r>
      <w:r w:rsidR="00C23CED" w:rsidRPr="00733CF3">
        <w:rPr>
          <w:lang w:eastAsia="ja-JP"/>
        </w:rPr>
        <w:t xml:space="preserve">, </w:t>
      </w:r>
      <w:r w:rsidR="003F4325" w:rsidRPr="00733CF3">
        <w:rPr>
          <w:lang w:eastAsia="ja-JP"/>
        </w:rPr>
        <w:t xml:space="preserve">de </w:t>
      </w:r>
      <w:r w:rsidR="00C23CED" w:rsidRPr="00733CF3">
        <w:rPr>
          <w:lang w:eastAsia="ja-JP"/>
        </w:rPr>
        <w:t xml:space="preserve">0 dB </w:t>
      </w:r>
      <w:r w:rsidR="00B33E88">
        <w:rPr>
          <w:lang w:eastAsia="ja-JP"/>
        </w:rPr>
        <w:t>o</w:t>
      </w:r>
      <w:r w:rsidR="00C23CED" w:rsidRPr="00733CF3">
        <w:rPr>
          <w:lang w:eastAsia="ja-JP"/>
        </w:rPr>
        <w:t xml:space="preserve"> −5</w:t>
      </w:r>
      <w:r w:rsidR="00B33E88">
        <w:rPr>
          <w:lang w:eastAsia="ja-JP"/>
        </w:rPr>
        <w:t>,</w:t>
      </w:r>
      <w:r w:rsidR="00C23CED" w:rsidRPr="00733CF3">
        <w:rPr>
          <w:lang w:eastAsia="ja-JP"/>
        </w:rPr>
        <w:t>5 dB.</w:t>
      </w:r>
    </w:p>
    <w:p w14:paraId="5E6F9DC9" w14:textId="27320314" w:rsidR="00C23CED" w:rsidRPr="00733CF3" w:rsidRDefault="003F4325" w:rsidP="000924DA">
      <w:pPr>
        <w:rPr>
          <w:szCs w:val="24"/>
          <w:lang w:eastAsia="ja-JP"/>
        </w:rPr>
      </w:pPr>
      <w:r w:rsidRPr="00733CF3">
        <w:rPr>
          <w:lang w:eastAsia="ja-JP"/>
        </w:rPr>
        <w:t xml:space="preserve">El </w:t>
      </w:r>
      <w:r w:rsidR="00C23CED" w:rsidRPr="00733CF3">
        <w:rPr>
          <w:lang w:eastAsia="ja-JP"/>
        </w:rPr>
        <w:t xml:space="preserve">Sat. L </w:t>
      </w:r>
      <w:r w:rsidRPr="00733CF3">
        <w:rPr>
          <w:lang w:eastAsia="ja-JP"/>
        </w:rPr>
        <w:t xml:space="preserve">ya no se identifica como afectado por el nuevo </w:t>
      </w:r>
      <w:r w:rsidR="00C23CED" w:rsidRPr="00733CF3">
        <w:rPr>
          <w:lang w:eastAsia="ja-JP"/>
        </w:rPr>
        <w:t xml:space="preserve">Sat. N, </w:t>
      </w:r>
      <w:r w:rsidRPr="00733CF3">
        <w:rPr>
          <w:lang w:eastAsia="ja-JP"/>
        </w:rPr>
        <w:t xml:space="preserve">dado que el MPE de referencia del </w:t>
      </w:r>
      <w:r w:rsidR="00C23CED" w:rsidRPr="00733CF3">
        <w:rPr>
          <w:lang w:eastAsia="ja-JP"/>
        </w:rPr>
        <w:t xml:space="preserve">Sat. L </w:t>
      </w:r>
      <w:r w:rsidRPr="00733CF3">
        <w:rPr>
          <w:lang w:eastAsia="ja-JP"/>
        </w:rPr>
        <w:t>está degradado</w:t>
      </w:r>
      <w:r w:rsidR="00C23CED" w:rsidRPr="00733CF3">
        <w:rPr>
          <w:lang w:eastAsia="ja-JP"/>
        </w:rPr>
        <w:t xml:space="preserve">, </w:t>
      </w:r>
      <w:r w:rsidRPr="00733CF3">
        <w:rPr>
          <w:lang w:eastAsia="ja-JP"/>
        </w:rPr>
        <w:t>por ejemplo</w:t>
      </w:r>
      <w:r w:rsidR="00C23CED" w:rsidRPr="00733CF3">
        <w:rPr>
          <w:lang w:eastAsia="ja-JP"/>
        </w:rPr>
        <w:t xml:space="preserve">, </w:t>
      </w:r>
      <w:r w:rsidRPr="00733CF3">
        <w:rPr>
          <w:lang w:eastAsia="ja-JP"/>
        </w:rPr>
        <w:t xml:space="preserve">y el valor umbral en </w:t>
      </w:r>
      <w:r w:rsidR="00CD1280" w:rsidRPr="00733CF3">
        <w:rPr>
          <w:lang w:eastAsia="ja-JP"/>
        </w:rPr>
        <w:t xml:space="preserve">cuanto a la dfp aumenta de </w:t>
      </w:r>
      <w:r w:rsidR="00C23CED" w:rsidRPr="00733CF3">
        <w:rPr>
          <w:lang w:eastAsia="ja-JP"/>
        </w:rPr>
        <w:t>−133</w:t>
      </w:r>
      <w:r w:rsidR="00C23CED" w:rsidRPr="00733CF3">
        <w:rPr>
          <w:szCs w:val="24"/>
        </w:rPr>
        <w:t> dB(W/(m</w:t>
      </w:r>
      <w:r w:rsidR="00C23CED" w:rsidRPr="00733CF3">
        <w:rPr>
          <w:szCs w:val="24"/>
          <w:vertAlign w:val="superscript"/>
        </w:rPr>
        <w:t>2</w:t>
      </w:r>
      <w:r w:rsidR="00C23CED" w:rsidRPr="00733CF3">
        <w:rPr>
          <w:szCs w:val="24"/>
        </w:rPr>
        <w:t> · MHz))</w:t>
      </w:r>
      <w:r w:rsidR="00C23CED" w:rsidRPr="00733CF3">
        <w:rPr>
          <w:szCs w:val="24"/>
          <w:lang w:eastAsia="ja-JP"/>
        </w:rPr>
        <w:t xml:space="preserve"> </w:t>
      </w:r>
      <w:r w:rsidR="00CD1280" w:rsidRPr="00733CF3">
        <w:rPr>
          <w:szCs w:val="24"/>
          <w:lang w:eastAsia="ja-JP"/>
        </w:rPr>
        <w:t>a</w:t>
      </w:r>
      <w:r w:rsidR="00C23CED" w:rsidRPr="00733CF3">
        <w:rPr>
          <w:szCs w:val="24"/>
          <w:lang w:eastAsia="ja-JP"/>
        </w:rPr>
        <w:t xml:space="preserve"> −128 </w:t>
      </w:r>
      <w:r w:rsidR="00C23CED" w:rsidRPr="00733CF3">
        <w:rPr>
          <w:szCs w:val="24"/>
        </w:rPr>
        <w:t>dB(W/(m</w:t>
      </w:r>
      <w:r w:rsidR="00C23CED" w:rsidRPr="00733CF3">
        <w:rPr>
          <w:szCs w:val="24"/>
          <w:vertAlign w:val="superscript"/>
        </w:rPr>
        <w:t>2</w:t>
      </w:r>
      <w:r w:rsidR="00C23CED" w:rsidRPr="00733CF3">
        <w:rPr>
          <w:szCs w:val="24"/>
        </w:rPr>
        <w:t> · MHz))</w:t>
      </w:r>
      <w:r w:rsidR="00C23CED" w:rsidRPr="00733CF3">
        <w:rPr>
          <w:szCs w:val="24"/>
          <w:lang w:eastAsia="ja-JP"/>
        </w:rPr>
        <w:t>.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23CED" w:rsidRPr="00733CF3" w14:paraId="2057E538" w14:textId="77777777" w:rsidTr="004723AC">
        <w:trPr>
          <w:jc w:val="center"/>
        </w:trPr>
        <w:tc>
          <w:tcPr>
            <w:tcW w:w="4634" w:type="dxa"/>
          </w:tcPr>
          <w:p w14:paraId="7B051B7B" w14:textId="77777777" w:rsidR="00C23CED" w:rsidRPr="00733CF3" w:rsidRDefault="00C23CED" w:rsidP="000924DA">
            <w:pPr>
              <w:jc w:val="center"/>
              <w:rPr>
                <w:lang w:eastAsia="ja-JP"/>
              </w:rPr>
            </w:pPr>
            <w:r w:rsidRPr="00733CF3">
              <w:rPr>
                <w:noProof/>
                <w:lang w:eastAsia="zh-CN"/>
              </w:rPr>
              <w:lastRenderedPageBreak/>
              <w:drawing>
                <wp:inline distT="0" distB="0" distL="0" distR="0" wp14:anchorId="7AF5DD35" wp14:editId="45342C38">
                  <wp:extent cx="2421255" cy="4114165"/>
                  <wp:effectExtent l="0" t="0" r="0" b="635"/>
                  <wp:docPr id="1024" name="図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55" cy="41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</w:tcPr>
          <w:p w14:paraId="0DFC3A5E" w14:textId="77777777" w:rsidR="00C23CED" w:rsidRPr="00733CF3" w:rsidRDefault="00C23CED" w:rsidP="000924DA">
            <w:pPr>
              <w:jc w:val="center"/>
              <w:rPr>
                <w:lang w:eastAsia="ja-JP"/>
              </w:rPr>
            </w:pPr>
            <w:r w:rsidRPr="00733CF3">
              <w:rPr>
                <w:rFonts w:ascii="MS PGothic" w:eastAsia="MS PGothic" w:hAnsi="MS PGothic"/>
                <w:b/>
                <w:noProof/>
                <w:lang w:eastAsia="zh-CN"/>
              </w:rPr>
              <w:drawing>
                <wp:inline distT="0" distB="0" distL="0" distR="0" wp14:anchorId="7D9144D2" wp14:editId="490A1C62">
                  <wp:extent cx="2803525" cy="3783965"/>
                  <wp:effectExtent l="0" t="0" r="0" b="6985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378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ED" w:rsidRPr="00733CF3" w14:paraId="378A0F81" w14:textId="77777777" w:rsidTr="004723AC">
        <w:trPr>
          <w:jc w:val="center"/>
        </w:trPr>
        <w:tc>
          <w:tcPr>
            <w:tcW w:w="9269" w:type="dxa"/>
            <w:gridSpan w:val="2"/>
          </w:tcPr>
          <w:p w14:paraId="68EA8951" w14:textId="77777777" w:rsidR="00C23CED" w:rsidRPr="00733CF3" w:rsidRDefault="00C23CED" w:rsidP="00733CF3">
            <w:pPr>
              <w:pStyle w:val="Figure"/>
              <w:rPr>
                <w:lang w:eastAsia="ja-JP"/>
              </w:rPr>
            </w:pPr>
            <w:r w:rsidRPr="00733CF3">
              <w:rPr>
                <w:lang w:eastAsia="ja-JP"/>
              </w:rPr>
              <w:t>Figur</w:t>
            </w:r>
            <w:r w:rsidR="00CD1280" w:rsidRPr="00733CF3">
              <w:rPr>
                <w:lang w:eastAsia="ja-JP"/>
              </w:rPr>
              <w:t>a</w:t>
            </w:r>
            <w:r w:rsidRPr="00733CF3">
              <w:rPr>
                <w:lang w:eastAsia="ja-JP"/>
              </w:rPr>
              <w:t xml:space="preserve"> 2: Problem</w:t>
            </w:r>
            <w:r w:rsidR="00CD1280" w:rsidRPr="00733CF3">
              <w:rPr>
                <w:lang w:eastAsia="ja-JP"/>
              </w:rPr>
              <w:t xml:space="preserve">a con </w:t>
            </w:r>
            <w:r w:rsidR="008A7A8D" w:rsidRPr="00733CF3">
              <w:rPr>
                <w:lang w:eastAsia="ja-JP"/>
              </w:rPr>
              <w:t xml:space="preserve">la elevada potencia de transmisión </w:t>
            </w:r>
            <w:r w:rsidRPr="00733CF3">
              <w:rPr>
                <w:lang w:eastAsia="ja-JP"/>
              </w:rPr>
              <w:t xml:space="preserve">(Sat. M) </w:t>
            </w:r>
            <w:r w:rsidR="008A7A8D" w:rsidRPr="00733CF3">
              <w:rPr>
                <w:lang w:eastAsia="ja-JP"/>
              </w:rPr>
              <w:t xml:space="preserve">y el valor umbral de la dfp respecto del </w:t>
            </w:r>
            <w:r w:rsidRPr="00733CF3">
              <w:rPr>
                <w:lang w:eastAsia="ja-JP"/>
              </w:rPr>
              <w:t xml:space="preserve">Sat. L. </w:t>
            </w:r>
            <w:r w:rsidR="008A7A8D" w:rsidRPr="00733CF3">
              <w:rPr>
                <w:lang w:eastAsia="ja-JP"/>
              </w:rPr>
              <w:t xml:space="preserve">El valor de p.i.r.e. es por cada </w:t>
            </w:r>
            <w:r w:rsidRPr="00733CF3">
              <w:rPr>
                <w:lang w:eastAsia="ja-JP"/>
              </w:rPr>
              <w:t>27 MHz</w:t>
            </w:r>
          </w:p>
          <w:p w14:paraId="08A2DCDE" w14:textId="3BB02CAE" w:rsidR="00ED71C1" w:rsidRPr="00733CF3" w:rsidRDefault="00ED71C1" w:rsidP="00733CF3">
            <w:pPr>
              <w:pStyle w:val="Tablelegend"/>
              <w:rPr>
                <w:lang w:eastAsia="ja-JP"/>
              </w:rPr>
            </w:pPr>
            <w:r w:rsidRPr="00733CF3">
              <w:rPr>
                <w:lang w:eastAsia="ja-JP"/>
              </w:rPr>
              <w:t>Leyendas: elevada p.i.r.e. // El Sat. M de elevada p.i.r.e. degrada el MPE del Sat. L (por ejemplo</w:t>
            </w:r>
            <w:r w:rsidR="00704F16" w:rsidRPr="00733CF3">
              <w:rPr>
                <w:lang w:eastAsia="ja-JP"/>
              </w:rPr>
              <w:t>,</w:t>
            </w:r>
            <w:r w:rsidRPr="00733CF3">
              <w:rPr>
                <w:lang w:eastAsia="ja-JP"/>
              </w:rPr>
              <w:t xml:space="preserve"> 0dB a -5,5 dB) al aplicar el 4.1.18, por lo que el Sat. N no puede inscribirse en la Lista sin la coordinación con el Sat. L, dado que el umbral de dfp aumenta de -13</w:t>
            </w:r>
            <w:r w:rsidR="00733CF3">
              <w:rPr>
                <w:lang w:eastAsia="ja-JP"/>
              </w:rPr>
              <w:t>3 dBW/m2/MHz</w:t>
            </w:r>
            <w:r w:rsidRPr="00733CF3">
              <w:rPr>
                <w:lang w:eastAsia="ja-JP"/>
              </w:rPr>
              <w:t xml:space="preserve"> a -12</w:t>
            </w:r>
            <w:r w:rsidR="00733CF3">
              <w:rPr>
                <w:lang w:eastAsia="ja-JP"/>
              </w:rPr>
              <w:t xml:space="preserve"> </w:t>
            </w:r>
            <w:r w:rsidR="00733CF3">
              <w:rPr>
                <w:lang w:eastAsia="ja-JP"/>
              </w:rPr>
              <w:t>dBW/m2/MHz</w:t>
            </w:r>
            <w:r w:rsidRPr="00733CF3">
              <w:rPr>
                <w:lang w:eastAsia="ja-JP"/>
              </w:rPr>
              <w:t xml:space="preserve"> // Criterio MPE C, p.i.r.e. 57 dBW (3ª de separación) // Umbral dfp // El Método G1 estipula mantener elevado el MPE del Sat. L, rechazando actualizar el MPE del Sat. L. Esto, sin embargo, no protege adecuadamente al Sat L.</w:t>
            </w:r>
          </w:p>
          <w:p w14:paraId="67014A3E" w14:textId="69E3F2E7" w:rsidR="00ED71C1" w:rsidRPr="00733CF3" w:rsidRDefault="00ED71C1" w:rsidP="000924DA">
            <w:pPr>
              <w:jc w:val="center"/>
              <w:rPr>
                <w:sz w:val="22"/>
                <w:szCs w:val="18"/>
                <w:lang w:eastAsia="ja-JP"/>
              </w:rPr>
            </w:pPr>
          </w:p>
        </w:tc>
      </w:tr>
    </w:tbl>
    <w:p w14:paraId="46819FAE" w14:textId="2A1DD8D3" w:rsidR="00C23CED" w:rsidRPr="00733CF3" w:rsidRDefault="00C23CED" w:rsidP="00757B32">
      <w:pPr>
        <w:pStyle w:val="Headingb"/>
      </w:pPr>
      <w:r w:rsidRPr="00733CF3">
        <w:rPr>
          <w:lang w:eastAsia="ja-JP"/>
        </w:rPr>
        <w:t>3</w:t>
      </w:r>
      <w:r w:rsidR="00733CF3">
        <w:rPr>
          <w:lang w:eastAsia="ja-JP"/>
        </w:rPr>
        <w:t>)</w:t>
      </w:r>
      <w:r w:rsidRPr="00733CF3">
        <w:rPr>
          <w:lang w:eastAsia="ja-JP"/>
        </w:rPr>
        <w:tab/>
        <w:t>M</w:t>
      </w:r>
      <w:r w:rsidR="008A7A8D" w:rsidRPr="00733CF3">
        <w:rPr>
          <w:lang w:eastAsia="ja-JP"/>
        </w:rPr>
        <w:t>é</w:t>
      </w:r>
      <w:r w:rsidRPr="00733CF3">
        <w:rPr>
          <w:lang w:eastAsia="ja-JP"/>
        </w:rPr>
        <w:t>tod</w:t>
      </w:r>
      <w:r w:rsidR="008A7A8D" w:rsidRPr="00733CF3">
        <w:rPr>
          <w:lang w:eastAsia="ja-JP"/>
        </w:rPr>
        <w:t>o</w:t>
      </w:r>
      <w:r w:rsidRPr="00733CF3">
        <w:rPr>
          <w:lang w:eastAsia="ja-JP"/>
        </w:rPr>
        <w:t xml:space="preserve"> G1 </w:t>
      </w:r>
      <w:r w:rsidR="00F127C8" w:rsidRPr="00733CF3">
        <w:rPr>
          <w:lang w:eastAsia="ja-JP"/>
        </w:rPr>
        <w:t>que figura en el Informe de la RPC</w:t>
      </w:r>
      <w:r w:rsidRPr="00733CF3">
        <w:rPr>
          <w:lang w:eastAsia="ja-JP"/>
        </w:rPr>
        <w:t xml:space="preserve"> CPM </w:t>
      </w:r>
    </w:p>
    <w:p w14:paraId="75D7AB8D" w14:textId="1A349E4E" w:rsidR="00C23CED" w:rsidRPr="00733CF3" w:rsidRDefault="00C43140" w:rsidP="000924DA">
      <w:pPr>
        <w:rPr>
          <w:lang w:eastAsia="ja-JP"/>
        </w:rPr>
      </w:pPr>
      <w:r w:rsidRPr="00733CF3">
        <w:t>El Método</w:t>
      </w:r>
      <w:r w:rsidR="00C23CED" w:rsidRPr="00733CF3">
        <w:t xml:space="preserve"> G1 </w:t>
      </w:r>
      <w:r w:rsidRPr="00733CF3">
        <w:t xml:space="preserve">consiste en mantener el MPE del </w:t>
      </w:r>
      <w:r w:rsidR="00C23CED" w:rsidRPr="00733CF3">
        <w:t xml:space="preserve">Sat. L </w:t>
      </w:r>
      <w:r w:rsidR="007B78A8" w:rsidRPr="00733CF3">
        <w:t xml:space="preserve">alto rechazando </w:t>
      </w:r>
      <w:r w:rsidR="00704F16" w:rsidRPr="00733CF3">
        <w:t>actualizar</w:t>
      </w:r>
      <w:r w:rsidR="007B78A8" w:rsidRPr="00733CF3">
        <w:t xml:space="preserve"> el MPE del </w:t>
      </w:r>
      <w:r w:rsidR="00C23CED" w:rsidRPr="00733CF3">
        <w:t>Sat. L</w:t>
      </w:r>
      <w:r w:rsidR="00C23CED" w:rsidRPr="00733CF3">
        <w:rPr>
          <w:lang w:eastAsia="ja-JP"/>
        </w:rPr>
        <w:t xml:space="preserve"> </w:t>
      </w:r>
      <w:r w:rsidR="007B78A8" w:rsidRPr="00733CF3">
        <w:rPr>
          <w:lang w:eastAsia="ja-JP"/>
        </w:rPr>
        <w:t xml:space="preserve">cuando el </w:t>
      </w:r>
      <w:r w:rsidR="00C23CED" w:rsidRPr="00733CF3">
        <w:rPr>
          <w:lang w:eastAsia="ja-JP"/>
        </w:rPr>
        <w:t xml:space="preserve">Sat. M </w:t>
      </w:r>
      <w:r w:rsidR="007B78A8" w:rsidRPr="00733CF3">
        <w:rPr>
          <w:lang w:eastAsia="ja-JP"/>
        </w:rPr>
        <w:t>se convierte en definitivo</w:t>
      </w:r>
      <w:r w:rsidR="00C23CED" w:rsidRPr="00733CF3">
        <w:t xml:space="preserve">. </w:t>
      </w:r>
      <w:r w:rsidR="007B78A8" w:rsidRPr="00733CF3">
        <w:t>Ahora bien</w:t>
      </w:r>
      <w:r w:rsidR="00C23CED" w:rsidRPr="00733CF3">
        <w:t xml:space="preserve">, </w:t>
      </w:r>
      <w:r w:rsidR="00161DF2" w:rsidRPr="00733CF3">
        <w:t xml:space="preserve">en realidad resulta </w:t>
      </w:r>
      <w:r w:rsidR="007B78A8" w:rsidRPr="00733CF3">
        <w:rPr>
          <w:lang w:eastAsia="ja-JP"/>
        </w:rPr>
        <w:t xml:space="preserve">muy difícil para el </w:t>
      </w:r>
      <w:r w:rsidR="00C23CED" w:rsidRPr="00733CF3">
        <w:rPr>
          <w:lang w:eastAsia="ja-JP"/>
        </w:rPr>
        <w:t>Sat.</w:t>
      </w:r>
      <w:r w:rsidR="00B33E88">
        <w:rPr>
          <w:lang w:eastAsia="ja-JP"/>
        </w:rPr>
        <w:t> </w:t>
      </w:r>
      <w:r w:rsidR="00C23CED" w:rsidRPr="00733CF3">
        <w:rPr>
          <w:lang w:eastAsia="ja-JP"/>
        </w:rPr>
        <w:t xml:space="preserve">M </w:t>
      </w:r>
      <w:r w:rsidR="007B78A8" w:rsidRPr="00733CF3">
        <w:rPr>
          <w:lang w:eastAsia="ja-JP"/>
        </w:rPr>
        <w:t xml:space="preserve">obtener el acuerdo </w:t>
      </w:r>
      <w:r w:rsidR="00744F8E" w:rsidRPr="00733CF3">
        <w:rPr>
          <w:lang w:eastAsia="ja-JP"/>
        </w:rPr>
        <w:t xml:space="preserve">del </w:t>
      </w:r>
      <w:r w:rsidR="00C23CED" w:rsidRPr="00733CF3">
        <w:rPr>
          <w:lang w:eastAsia="ja-JP"/>
        </w:rPr>
        <w:t xml:space="preserve">Sat. L. </w:t>
      </w:r>
      <w:r w:rsidR="00744F8E" w:rsidRPr="00733CF3">
        <w:rPr>
          <w:lang w:eastAsia="ja-JP"/>
        </w:rPr>
        <w:t>Así, el MPE de referencia nunca se actualiza y el criterio MPE podrá suprimirse en el futuro del modo siguiente</w:t>
      </w:r>
      <w:r w:rsidR="00C23CED" w:rsidRPr="00733CF3">
        <w:rPr>
          <w:lang w:eastAsia="ja-JP"/>
        </w:rPr>
        <w:t>.</w:t>
      </w:r>
    </w:p>
    <w:p w14:paraId="6DDD3C27" w14:textId="77777777" w:rsidR="00C23CED" w:rsidRPr="00733CF3" w:rsidRDefault="00C23CED" w:rsidP="000924DA">
      <w:pPr>
        <w:jc w:val="center"/>
        <w:rPr>
          <w:lang w:eastAsia="ja-JP"/>
        </w:rPr>
      </w:pPr>
      <w:r w:rsidRPr="00733CF3">
        <w:rPr>
          <w:noProof/>
          <w:lang w:eastAsia="zh-CN"/>
        </w:rPr>
        <mc:AlternateContent>
          <mc:Choice Requires="wps">
            <w:drawing>
              <wp:inline distT="0" distB="0" distL="0" distR="0" wp14:anchorId="23EFAB41" wp14:editId="366DB2A1">
                <wp:extent cx="3955312" cy="1945759"/>
                <wp:effectExtent l="0" t="0" r="26670" b="1651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312" cy="1945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761F1" w14:textId="14E874E3" w:rsidR="00C23CED" w:rsidRPr="00ED71C1" w:rsidRDefault="00C23CE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rFonts w:hint="eastAsia"/>
                                <w:lang w:val="es-ES" w:eastAsia="ja-JP"/>
                              </w:rPr>
                              <w:t>Dificult</w:t>
                            </w:r>
                            <w:r w:rsidR="00744F8E" w:rsidRPr="00ED71C1">
                              <w:rPr>
                                <w:lang w:val="es-ES" w:eastAsia="ja-JP"/>
                              </w:rPr>
                              <w:t xml:space="preserve">ad para obtener el </w:t>
                            </w:r>
                            <w:r w:rsidR="00704F16" w:rsidRPr="00ED71C1">
                              <w:rPr>
                                <w:lang w:val="es-ES" w:eastAsia="ja-JP"/>
                              </w:rPr>
                              <w:t>acuerdo</w:t>
                            </w:r>
                          </w:p>
                          <w:p w14:paraId="28A52C4D" w14:textId="77777777" w:rsidR="00C23CED" w:rsidRPr="00ED71C1" w:rsidRDefault="00C23CE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rFonts w:hint="eastAsia"/>
                                <w:lang w:val="es-ES" w:eastAsia="ja-JP"/>
                              </w:rPr>
                              <w:t>↓</w:t>
                            </w:r>
                          </w:p>
                          <w:p w14:paraId="63A13FF7" w14:textId="2437ED1B" w:rsidR="00C23CED" w:rsidRPr="00ED71C1" w:rsidRDefault="00111C1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lang w:val="es-ES" w:eastAsia="ja-JP"/>
                              </w:rPr>
                              <w:t>No actualizar el MPE de referencia</w:t>
                            </w:r>
                          </w:p>
                          <w:p w14:paraId="3C1FD733" w14:textId="77777777" w:rsidR="00C23CED" w:rsidRPr="00ED71C1" w:rsidRDefault="00C23CE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rFonts w:hint="eastAsia"/>
                                <w:lang w:val="es-ES" w:eastAsia="ja-JP"/>
                              </w:rPr>
                              <w:t>↓</w:t>
                            </w:r>
                          </w:p>
                          <w:p w14:paraId="2C8F8BA8" w14:textId="3D5ED4B4" w:rsidR="00C23CED" w:rsidRPr="00ED71C1" w:rsidRDefault="00111C1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lang w:val="es-ES" w:eastAsia="ja-JP"/>
                              </w:rPr>
                              <w:t>No depende del criterio del MPE</w:t>
                            </w:r>
                          </w:p>
                          <w:p w14:paraId="19ED747D" w14:textId="77777777" w:rsidR="00C23CED" w:rsidRPr="00ED71C1" w:rsidRDefault="00C23CE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rFonts w:hint="eastAsia"/>
                                <w:lang w:val="es-ES" w:eastAsia="ja-JP"/>
                              </w:rPr>
                              <w:t>↓</w:t>
                            </w:r>
                          </w:p>
                          <w:p w14:paraId="459AABB0" w14:textId="7A74C431" w:rsidR="00C23CED" w:rsidRPr="00ED71C1" w:rsidRDefault="00111C1D" w:rsidP="00C23CED">
                            <w:pPr>
                              <w:jc w:val="center"/>
                              <w:rPr>
                                <w:lang w:val="es-ES" w:eastAsia="ja-JP"/>
                              </w:rPr>
                            </w:pPr>
                            <w:r w:rsidRPr="00ED71C1">
                              <w:rPr>
                                <w:lang w:val="es-ES" w:eastAsia="ja-JP"/>
                              </w:rPr>
                              <w:t>Abolición del criterio de MPE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FA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11.45pt;height:1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" fillcolor="white [3201]" strokeweight=".5pt">
                <v:textbox>
                  <w:txbxContent>
                    <w:p w14:paraId="55E761F1" w14:textId="14E874E3" w:rsidR="00C23CED" w:rsidRPr="00ED71C1" w:rsidRDefault="00C23CE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rFonts w:hint="eastAsia"/>
                          <w:lang w:val="es-ES" w:eastAsia="ja-JP"/>
                        </w:rPr>
                        <w:t>Dificult</w:t>
                      </w:r>
                      <w:r w:rsidR="00744F8E" w:rsidRPr="00ED71C1">
                        <w:rPr>
                          <w:lang w:val="es-ES" w:eastAsia="ja-JP"/>
                        </w:rPr>
                        <w:t xml:space="preserve">ad para obtener el </w:t>
                      </w:r>
                      <w:r w:rsidR="00704F16" w:rsidRPr="00ED71C1">
                        <w:rPr>
                          <w:lang w:val="es-ES" w:eastAsia="ja-JP"/>
                        </w:rPr>
                        <w:t>acuerdo</w:t>
                      </w:r>
                    </w:p>
                    <w:p w14:paraId="28A52C4D" w14:textId="77777777" w:rsidR="00C23CED" w:rsidRPr="00ED71C1" w:rsidRDefault="00C23CE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rFonts w:hint="eastAsia"/>
                          <w:lang w:val="es-ES" w:eastAsia="ja-JP"/>
                        </w:rPr>
                        <w:t>↓</w:t>
                      </w:r>
                    </w:p>
                    <w:p w14:paraId="63A13FF7" w14:textId="2437ED1B" w:rsidR="00C23CED" w:rsidRPr="00ED71C1" w:rsidRDefault="00111C1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lang w:val="es-ES" w:eastAsia="ja-JP"/>
                        </w:rPr>
                        <w:t>No actualizar el MPE de referencia</w:t>
                      </w:r>
                    </w:p>
                    <w:p w14:paraId="3C1FD733" w14:textId="77777777" w:rsidR="00C23CED" w:rsidRPr="00ED71C1" w:rsidRDefault="00C23CE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rFonts w:hint="eastAsia"/>
                          <w:lang w:val="es-ES" w:eastAsia="ja-JP"/>
                        </w:rPr>
                        <w:t>↓</w:t>
                      </w:r>
                    </w:p>
                    <w:p w14:paraId="2C8F8BA8" w14:textId="3D5ED4B4" w:rsidR="00C23CED" w:rsidRPr="00ED71C1" w:rsidRDefault="00111C1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lang w:val="es-ES" w:eastAsia="ja-JP"/>
                        </w:rPr>
                        <w:t>No depende del criterio del MPE</w:t>
                      </w:r>
                    </w:p>
                    <w:p w14:paraId="19ED747D" w14:textId="77777777" w:rsidR="00C23CED" w:rsidRPr="00ED71C1" w:rsidRDefault="00C23CE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rFonts w:hint="eastAsia"/>
                          <w:lang w:val="es-ES" w:eastAsia="ja-JP"/>
                        </w:rPr>
                        <w:t>↓</w:t>
                      </w:r>
                    </w:p>
                    <w:p w14:paraId="459AABB0" w14:textId="7A74C431" w:rsidR="00C23CED" w:rsidRPr="00ED71C1" w:rsidRDefault="00111C1D" w:rsidP="00C23CED">
                      <w:pPr>
                        <w:jc w:val="center"/>
                        <w:rPr>
                          <w:lang w:val="es-ES" w:eastAsia="ja-JP"/>
                        </w:rPr>
                      </w:pPr>
                      <w:r w:rsidRPr="00ED71C1">
                        <w:rPr>
                          <w:lang w:val="es-ES" w:eastAsia="ja-JP"/>
                        </w:rPr>
                        <w:t>Abolición del criterio de MPE en el futuro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98ECA" w14:textId="7F5A8E51" w:rsidR="00C23CED" w:rsidRPr="00733CF3" w:rsidRDefault="00563ED4" w:rsidP="00F72ECB">
      <w:pPr>
        <w:spacing w:before="240"/>
        <w:rPr>
          <w:lang w:eastAsia="ja-JP"/>
        </w:rPr>
      </w:pPr>
      <w:r w:rsidRPr="00733CF3">
        <w:rPr>
          <w:lang w:eastAsia="ja-JP"/>
        </w:rPr>
        <w:lastRenderedPageBreak/>
        <w:t>Por otra parte</w:t>
      </w:r>
      <w:r w:rsidR="00C23CED" w:rsidRPr="00733CF3">
        <w:rPr>
          <w:lang w:eastAsia="ja-JP"/>
        </w:rPr>
        <w:t xml:space="preserve">, </w:t>
      </w:r>
      <w:r w:rsidR="00F37B45" w:rsidRPr="00733CF3">
        <w:rPr>
          <w:lang w:eastAsia="ja-JP"/>
        </w:rPr>
        <w:t xml:space="preserve">en el Método </w:t>
      </w:r>
      <w:r w:rsidR="00C23CED" w:rsidRPr="00733CF3">
        <w:rPr>
          <w:lang w:eastAsia="ja-JP"/>
        </w:rPr>
        <w:t xml:space="preserve">G1, </w:t>
      </w:r>
      <w:r w:rsidR="00F37B45" w:rsidRPr="00733CF3">
        <w:rPr>
          <w:lang w:eastAsia="ja-JP"/>
        </w:rPr>
        <w:t xml:space="preserve">aunque el </w:t>
      </w:r>
      <w:r w:rsidR="00C23CED" w:rsidRPr="00733CF3">
        <w:rPr>
          <w:lang w:eastAsia="ja-JP"/>
        </w:rPr>
        <w:t xml:space="preserve">Sat. L </w:t>
      </w:r>
      <w:r w:rsidR="00F37B45" w:rsidRPr="00733CF3">
        <w:rPr>
          <w:lang w:eastAsia="ja-JP"/>
        </w:rPr>
        <w:t xml:space="preserve">se identifique como afectado por el </w:t>
      </w:r>
      <w:r w:rsidR="00C23CED" w:rsidRPr="00733CF3">
        <w:rPr>
          <w:lang w:eastAsia="ja-JP"/>
        </w:rPr>
        <w:t xml:space="preserve">Sat. N </w:t>
      </w:r>
      <w:r w:rsidR="00F37B45" w:rsidRPr="00733CF3">
        <w:rPr>
          <w:lang w:eastAsia="ja-JP"/>
        </w:rPr>
        <w:t xml:space="preserve">debido a </w:t>
      </w:r>
      <w:r w:rsidR="00E404E3" w:rsidRPr="00733CF3">
        <w:rPr>
          <w:lang w:eastAsia="ja-JP"/>
        </w:rPr>
        <w:t>que se manti</w:t>
      </w:r>
      <w:r w:rsidR="00F41889" w:rsidRPr="00733CF3">
        <w:rPr>
          <w:lang w:eastAsia="ja-JP"/>
        </w:rPr>
        <w:t>e</w:t>
      </w:r>
      <w:r w:rsidR="00E404E3" w:rsidRPr="00733CF3">
        <w:rPr>
          <w:lang w:eastAsia="ja-JP"/>
        </w:rPr>
        <w:t>ne alto el MPE de referencia</w:t>
      </w:r>
      <w:r w:rsidR="00C23CED" w:rsidRPr="00733CF3">
        <w:rPr>
          <w:lang w:eastAsia="ja-JP"/>
        </w:rPr>
        <w:t xml:space="preserve">, </w:t>
      </w:r>
      <w:r w:rsidR="00E404E3" w:rsidRPr="00733CF3">
        <w:rPr>
          <w:lang w:eastAsia="ja-JP"/>
        </w:rPr>
        <w:t xml:space="preserve">el </w:t>
      </w:r>
      <w:r w:rsidR="00C23CED" w:rsidRPr="00733CF3">
        <w:rPr>
          <w:lang w:eastAsia="ja-JP"/>
        </w:rPr>
        <w:t xml:space="preserve">Sat. N </w:t>
      </w:r>
      <w:r w:rsidR="00E404E3" w:rsidRPr="00733CF3">
        <w:rPr>
          <w:lang w:eastAsia="ja-JP"/>
        </w:rPr>
        <w:t xml:space="preserve">puede </w:t>
      </w:r>
      <w:r w:rsidR="00704F16" w:rsidRPr="00733CF3">
        <w:rPr>
          <w:lang w:eastAsia="ja-JP"/>
        </w:rPr>
        <w:t>aplicar</w:t>
      </w:r>
      <w:r w:rsidR="00E404E3" w:rsidRPr="00733CF3">
        <w:rPr>
          <w:lang w:eastAsia="ja-JP"/>
        </w:rPr>
        <w:t xml:space="preserve"> el </w:t>
      </w:r>
      <w:r w:rsidR="00C23CED" w:rsidRPr="00733CF3">
        <w:t>§</w:t>
      </w:r>
      <w:r w:rsidR="00C23CED" w:rsidRPr="00733CF3">
        <w:rPr>
          <w:rFonts w:eastAsiaTheme="minorEastAsia"/>
          <w:lang w:eastAsia="ja-JP"/>
        </w:rPr>
        <w:t xml:space="preserve"> </w:t>
      </w:r>
      <w:r w:rsidR="00C23CED" w:rsidRPr="00733CF3">
        <w:rPr>
          <w:lang w:eastAsia="ja-JP"/>
        </w:rPr>
        <w:t xml:space="preserve">4.1.18 </w:t>
      </w:r>
      <w:r w:rsidR="00E404E3" w:rsidRPr="00733CF3">
        <w:rPr>
          <w:lang w:eastAsia="ja-JP"/>
        </w:rPr>
        <w:t xml:space="preserve">respecto del </w:t>
      </w:r>
      <w:r w:rsidR="00C23CED" w:rsidRPr="00733CF3">
        <w:rPr>
          <w:lang w:eastAsia="ja-JP"/>
        </w:rPr>
        <w:t xml:space="preserve">Sat. L. </w:t>
      </w:r>
      <w:r w:rsidR="00E404E3" w:rsidRPr="00733CF3">
        <w:rPr>
          <w:lang w:eastAsia="ja-JP"/>
        </w:rPr>
        <w:t xml:space="preserve">En este caso, el </w:t>
      </w:r>
      <w:r w:rsidR="00C23CED" w:rsidRPr="00733CF3">
        <w:rPr>
          <w:lang w:eastAsia="ja-JP"/>
        </w:rPr>
        <w:t xml:space="preserve">Sat. L </w:t>
      </w:r>
      <w:r w:rsidR="00E404E3" w:rsidRPr="00733CF3">
        <w:rPr>
          <w:lang w:eastAsia="ja-JP"/>
        </w:rPr>
        <w:t>no podrá protegerse en modo alguno</w:t>
      </w:r>
      <w:r w:rsidR="00C23CED" w:rsidRPr="00733CF3">
        <w:rPr>
          <w:lang w:eastAsia="ja-JP"/>
        </w:rPr>
        <w:t xml:space="preserve">, </w:t>
      </w:r>
      <w:r w:rsidR="00E404E3" w:rsidRPr="00733CF3">
        <w:rPr>
          <w:lang w:eastAsia="ja-JP"/>
        </w:rPr>
        <w:t>por lo que el problema no se resuelve en realidad</w:t>
      </w:r>
      <w:r w:rsidR="00C23CED" w:rsidRPr="00733CF3">
        <w:rPr>
          <w:lang w:eastAsia="ja-JP"/>
        </w:rPr>
        <w:t>.</w:t>
      </w:r>
    </w:p>
    <w:p w14:paraId="15C7C782" w14:textId="5613DD15" w:rsidR="00C23CED" w:rsidRPr="00733CF3" w:rsidRDefault="00C23CED" w:rsidP="00757B32">
      <w:pPr>
        <w:pStyle w:val="Headingb"/>
        <w:keepNext w:val="0"/>
        <w:rPr>
          <w:rFonts w:ascii="Times New Roman Bold" w:hAnsi="Times New Roman Bold" w:cs="Times New Roman Bold"/>
          <w:lang w:eastAsia="ja-JP"/>
        </w:rPr>
      </w:pPr>
      <w:r w:rsidRPr="00733CF3">
        <w:rPr>
          <w:rFonts w:ascii="Times New Roman Bold" w:hAnsi="Times New Roman Bold" w:cs="Times New Roman Bold"/>
          <w:lang w:eastAsia="ja-JP"/>
        </w:rPr>
        <w:t>4</w:t>
      </w:r>
      <w:r w:rsidR="00733CF3">
        <w:rPr>
          <w:rFonts w:ascii="Times New Roman Bold" w:hAnsi="Times New Roman Bold" w:cs="Times New Roman Bold"/>
          <w:lang w:eastAsia="ja-JP"/>
        </w:rPr>
        <w:t>)</w:t>
      </w:r>
      <w:r w:rsidRPr="00733CF3">
        <w:rPr>
          <w:rFonts w:ascii="Times New Roman Bold" w:hAnsi="Times New Roman Bold" w:cs="Times New Roman Bold"/>
          <w:lang w:eastAsia="ja-JP"/>
        </w:rPr>
        <w:tab/>
        <w:t>Solu</w:t>
      </w:r>
      <w:r w:rsidR="00E404E3" w:rsidRPr="00733CF3">
        <w:rPr>
          <w:rFonts w:ascii="Times New Roman Bold" w:hAnsi="Times New Roman Bold" w:cs="Times New Roman Bold"/>
          <w:lang w:eastAsia="ja-JP"/>
        </w:rPr>
        <w:t>c</w:t>
      </w:r>
      <w:r w:rsidRPr="00733CF3">
        <w:rPr>
          <w:rFonts w:ascii="Times New Roman Bold" w:hAnsi="Times New Roman Bold" w:cs="Times New Roman Bold"/>
          <w:lang w:eastAsia="ja-JP"/>
        </w:rPr>
        <w:t>ion</w:t>
      </w:r>
      <w:r w:rsidR="00E404E3" w:rsidRPr="00733CF3">
        <w:rPr>
          <w:rFonts w:ascii="Times New Roman Bold" w:hAnsi="Times New Roman Bold" w:cs="Times New Roman Bold"/>
          <w:lang w:eastAsia="ja-JP"/>
        </w:rPr>
        <w:t>e</w:t>
      </w:r>
      <w:r w:rsidRPr="00733CF3">
        <w:rPr>
          <w:rFonts w:ascii="Times New Roman Bold" w:hAnsi="Times New Roman Bold" w:cs="Times New Roman Bold"/>
          <w:lang w:eastAsia="ja-JP"/>
        </w:rPr>
        <w:t xml:space="preserve">s </w:t>
      </w:r>
      <w:r w:rsidR="00F41889" w:rsidRPr="00733CF3">
        <w:rPr>
          <w:rFonts w:ascii="Times New Roman Bold" w:hAnsi="Times New Roman Bold" w:cs="Times New Roman Bold"/>
          <w:lang w:eastAsia="ja-JP"/>
        </w:rPr>
        <w:t>al problema del satélite con elevada potencia</w:t>
      </w:r>
      <w:r w:rsidRPr="00733CF3">
        <w:rPr>
          <w:rFonts w:ascii="Times New Roman Bold" w:hAnsi="Times New Roman Bold" w:cs="Times New Roman Bold"/>
          <w:lang w:eastAsia="ja-JP"/>
        </w:rPr>
        <w:t xml:space="preserve"> </w:t>
      </w:r>
      <w:r w:rsidR="00F41889" w:rsidRPr="00733CF3">
        <w:rPr>
          <w:rFonts w:ascii="Times New Roman Bold" w:hAnsi="Times New Roman Bold" w:cs="Times New Roman Bold"/>
          <w:lang w:eastAsia="ja-JP"/>
        </w:rPr>
        <w:t>de transmisión</w:t>
      </w:r>
    </w:p>
    <w:p w14:paraId="1D5BBE30" w14:textId="4EF062DE" w:rsidR="00CF5A5B" w:rsidRPr="00733CF3" w:rsidRDefault="00CF5A5B" w:rsidP="00CF5A5B">
      <w:pPr>
        <w:rPr>
          <w:lang w:eastAsia="ja-JP"/>
        </w:rPr>
      </w:pPr>
      <w:r w:rsidRPr="00733CF3">
        <w:rPr>
          <w:lang w:eastAsia="ja-JP"/>
        </w:rPr>
        <w:t xml:space="preserve">La interferencia perjudicial de otros satélites al Sat. L puede eliminarse aplicando el § 4.1.20 de los Apéndices </w:t>
      </w:r>
      <w:r w:rsidRPr="00733CF3">
        <w:rPr>
          <w:b/>
          <w:bCs/>
          <w:lang w:eastAsia="ja-JP"/>
        </w:rPr>
        <w:t>30</w:t>
      </w:r>
      <w:r w:rsidRPr="00733CF3">
        <w:rPr>
          <w:lang w:eastAsia="ja-JP"/>
        </w:rPr>
        <w:t xml:space="preserve"> y </w:t>
      </w:r>
      <w:r w:rsidRPr="00733CF3">
        <w:rPr>
          <w:b/>
          <w:bCs/>
          <w:lang w:eastAsia="ja-JP"/>
        </w:rPr>
        <w:t>30A</w:t>
      </w:r>
      <w:r w:rsidRPr="00733CF3">
        <w:rPr>
          <w:lang w:eastAsia="ja-JP"/>
        </w:rPr>
        <w:t xml:space="preserve"> del RR en cualquier momento. Se considera que la interferencia perjudicial incluye la interferencia virtual (artificial) que no es una emisión real, </w:t>
      </w:r>
      <w:r w:rsidR="00FA05BE" w:rsidRPr="00733CF3">
        <w:rPr>
          <w:lang w:eastAsia="ja-JP"/>
        </w:rPr>
        <w:t>por cuanto afecta</w:t>
      </w:r>
      <w:r w:rsidRPr="00733CF3">
        <w:rPr>
          <w:lang w:eastAsia="ja-JP"/>
        </w:rPr>
        <w:t xml:space="preserve"> al </w:t>
      </w:r>
      <w:r w:rsidR="00FA05BE" w:rsidRPr="00733CF3">
        <w:rPr>
          <w:lang w:eastAsia="ja-JP"/>
        </w:rPr>
        <w:t>Sat</w:t>
      </w:r>
      <w:r w:rsidRPr="00733CF3">
        <w:rPr>
          <w:lang w:eastAsia="ja-JP"/>
        </w:rPr>
        <w:t>. L en forma de reducción de</w:t>
      </w:r>
      <w:r w:rsidR="00FA05BE" w:rsidRPr="00733CF3">
        <w:rPr>
          <w:lang w:eastAsia="ja-JP"/>
        </w:rPr>
        <w:t xml:space="preserve">l MPE de </w:t>
      </w:r>
      <w:r w:rsidRPr="00733CF3">
        <w:rPr>
          <w:lang w:eastAsia="ja-JP"/>
        </w:rPr>
        <w:t>referencia.</w:t>
      </w:r>
    </w:p>
    <w:p w14:paraId="639BE691" w14:textId="5FD280AE" w:rsidR="00CF5A5B" w:rsidRPr="00733CF3" w:rsidRDefault="00CF5A5B" w:rsidP="00F72ECB">
      <w:pPr>
        <w:widowControl w:val="0"/>
        <w:rPr>
          <w:lang w:eastAsia="ja-JP"/>
        </w:rPr>
      </w:pPr>
      <w:r w:rsidRPr="00733CF3">
        <w:rPr>
          <w:lang w:eastAsia="ja-JP"/>
        </w:rPr>
        <w:t xml:space="preserve">La BR ha informado de que no hay ningún ejemplo de una asignación provisional </w:t>
      </w:r>
      <w:r w:rsidR="006705AA" w:rsidRPr="00733CF3">
        <w:rPr>
          <w:lang w:eastAsia="ja-JP"/>
        </w:rPr>
        <w:t xml:space="preserve">que </w:t>
      </w:r>
      <w:r w:rsidRPr="00733CF3">
        <w:rPr>
          <w:lang w:eastAsia="ja-JP"/>
        </w:rPr>
        <w:t>se haya convertido en definitiva. Parece que el § 4.1.20 funciona como elemento disuasorio para convertir la asignación provisional en definitiva. La BR también ha declarado que informará y consultará a la</w:t>
      </w:r>
      <w:r w:rsidR="00B33E88">
        <w:rPr>
          <w:lang w:eastAsia="ja-JP"/>
        </w:rPr>
        <w:t> </w:t>
      </w:r>
      <w:r w:rsidRPr="00733CF3">
        <w:rPr>
          <w:lang w:eastAsia="ja-JP"/>
        </w:rPr>
        <w:t xml:space="preserve">RRB cuando reciba la </w:t>
      </w:r>
      <w:r w:rsidR="00766DBC" w:rsidRPr="00733CF3">
        <w:rPr>
          <w:lang w:eastAsia="ja-JP"/>
        </w:rPr>
        <w:t>solicitud</w:t>
      </w:r>
      <w:r w:rsidRPr="00733CF3">
        <w:rPr>
          <w:lang w:eastAsia="ja-JP"/>
        </w:rPr>
        <w:t xml:space="preserve"> de convertir </w:t>
      </w:r>
      <w:r w:rsidR="00766DBC" w:rsidRPr="00733CF3">
        <w:rPr>
          <w:lang w:eastAsia="ja-JP"/>
        </w:rPr>
        <w:t xml:space="preserve">en definitiva </w:t>
      </w:r>
      <w:r w:rsidRPr="00733CF3">
        <w:rPr>
          <w:lang w:eastAsia="ja-JP"/>
        </w:rPr>
        <w:t xml:space="preserve">una asignación provisional </w:t>
      </w:r>
      <w:r w:rsidR="00766DBC" w:rsidRPr="00733CF3">
        <w:rPr>
          <w:lang w:eastAsia="ja-JP"/>
        </w:rPr>
        <w:t>en virtud d</w:t>
      </w:r>
      <w:r w:rsidRPr="00733CF3">
        <w:rPr>
          <w:lang w:eastAsia="ja-JP"/>
        </w:rPr>
        <w:t>el §</w:t>
      </w:r>
      <w:r w:rsidR="00766DBC" w:rsidRPr="00733CF3">
        <w:rPr>
          <w:lang w:eastAsia="ja-JP"/>
        </w:rPr>
        <w:t> </w:t>
      </w:r>
      <w:r w:rsidRPr="00733CF3">
        <w:rPr>
          <w:lang w:eastAsia="ja-JP"/>
        </w:rPr>
        <w:t>4.1.18.</w:t>
      </w:r>
    </w:p>
    <w:p w14:paraId="6EE92C2E" w14:textId="56110550" w:rsidR="00CF5A5B" w:rsidRPr="00733CF3" w:rsidRDefault="00CF5A5B" w:rsidP="00F72ECB">
      <w:pPr>
        <w:widowControl w:val="0"/>
        <w:rPr>
          <w:lang w:eastAsia="ja-JP"/>
        </w:rPr>
      </w:pPr>
      <w:r w:rsidRPr="00733CF3">
        <w:rPr>
          <w:lang w:eastAsia="ja-JP"/>
        </w:rPr>
        <w:t xml:space="preserve">Aunque el valor </w:t>
      </w:r>
      <w:r w:rsidR="00766DBC" w:rsidRPr="00733CF3">
        <w:rPr>
          <w:lang w:eastAsia="ja-JP"/>
        </w:rPr>
        <w:t>del MP</w:t>
      </w:r>
      <w:r w:rsidRPr="00733CF3">
        <w:rPr>
          <w:lang w:eastAsia="ja-JP"/>
        </w:rPr>
        <w:t xml:space="preserve"> de un satélite principal (L) pase a ser bajo debido a la aplicación del §</w:t>
      </w:r>
      <w:r w:rsidR="002F64EA" w:rsidRPr="00733CF3">
        <w:rPr>
          <w:lang w:eastAsia="ja-JP"/>
        </w:rPr>
        <w:t> </w:t>
      </w:r>
      <w:r w:rsidRPr="00733CF3">
        <w:rPr>
          <w:lang w:eastAsia="ja-JP"/>
        </w:rPr>
        <w:t>4.1.18 y el § 4.1.18bis por un satélite más reciente (M) contra el satélite L, éste último (L) tiene la oportunidad de recuperar su EPM aplicando el § 4.1.20 contra el satélite M. Si el satélite M no emite las emisiones y el EPM del satélite L se degrada, el satélite L puede solicitar la eliminación de la interferencia virtual procedente del satélite M aplicando el § 4.1.20 de</w:t>
      </w:r>
      <w:r w:rsidR="002F64EA" w:rsidRPr="00733CF3">
        <w:rPr>
          <w:lang w:eastAsia="ja-JP"/>
        </w:rPr>
        <w:t xml:space="preserve"> los Apéndices </w:t>
      </w:r>
      <w:r w:rsidRPr="00733CF3">
        <w:rPr>
          <w:b/>
          <w:bCs/>
          <w:lang w:eastAsia="ja-JP"/>
        </w:rPr>
        <w:t>30</w:t>
      </w:r>
      <w:r w:rsidR="002F64EA" w:rsidRPr="00733CF3">
        <w:rPr>
          <w:lang w:eastAsia="ja-JP"/>
        </w:rPr>
        <w:t xml:space="preserve"> y </w:t>
      </w:r>
      <w:r w:rsidRPr="00733CF3">
        <w:rPr>
          <w:b/>
          <w:bCs/>
          <w:lang w:eastAsia="ja-JP"/>
        </w:rPr>
        <w:t>30A</w:t>
      </w:r>
      <w:r w:rsidRPr="00733CF3">
        <w:rPr>
          <w:lang w:eastAsia="ja-JP"/>
        </w:rPr>
        <w:t xml:space="preserve"> del RR.</w:t>
      </w:r>
    </w:p>
    <w:p w14:paraId="0250C2F2" w14:textId="68322ED6" w:rsidR="00CF5A5B" w:rsidRPr="00733CF3" w:rsidRDefault="00C24127" w:rsidP="00F72ECB">
      <w:pPr>
        <w:widowControl w:val="0"/>
        <w:rPr>
          <w:lang w:eastAsia="ja-JP"/>
        </w:rPr>
      </w:pPr>
      <w:r w:rsidRPr="00733CF3">
        <w:rPr>
          <w:lang w:eastAsia="ja-JP"/>
        </w:rPr>
        <w:t>En caso necesario, se puede modificar e</w:t>
      </w:r>
      <w:r w:rsidR="00CF5A5B" w:rsidRPr="00733CF3">
        <w:rPr>
          <w:lang w:eastAsia="ja-JP"/>
        </w:rPr>
        <w:t xml:space="preserve">l § 4.1.20 de los Apéndices </w:t>
      </w:r>
      <w:r w:rsidR="00CF5A5B" w:rsidRPr="00733CF3">
        <w:rPr>
          <w:b/>
          <w:bCs/>
          <w:lang w:eastAsia="ja-JP"/>
        </w:rPr>
        <w:t>30</w:t>
      </w:r>
      <w:r w:rsidR="00CF5A5B" w:rsidRPr="00733CF3">
        <w:rPr>
          <w:lang w:eastAsia="ja-JP"/>
        </w:rPr>
        <w:t xml:space="preserve"> y </w:t>
      </w:r>
      <w:r w:rsidR="00CF5A5B" w:rsidRPr="00733CF3">
        <w:rPr>
          <w:b/>
          <w:bCs/>
          <w:lang w:eastAsia="ja-JP"/>
        </w:rPr>
        <w:t>30A</w:t>
      </w:r>
      <w:r w:rsidR="00CF5A5B" w:rsidRPr="00733CF3">
        <w:rPr>
          <w:lang w:eastAsia="ja-JP"/>
        </w:rPr>
        <w:t xml:space="preserve"> del RR. A continuación se presenta un ejemplo de revisión para </w:t>
      </w:r>
      <w:r w:rsidR="002F64EA" w:rsidRPr="00733CF3">
        <w:rPr>
          <w:lang w:eastAsia="ja-JP"/>
        </w:rPr>
        <w:t xml:space="preserve">definir </w:t>
      </w:r>
      <w:r w:rsidR="00CF5A5B" w:rsidRPr="00733CF3">
        <w:rPr>
          <w:lang w:eastAsia="ja-JP"/>
        </w:rPr>
        <w:t xml:space="preserve">las acciones del § 4.1.20 y actualizar </w:t>
      </w:r>
      <w:r w:rsidR="002F64EA" w:rsidRPr="00733CF3">
        <w:rPr>
          <w:lang w:eastAsia="ja-JP"/>
        </w:rPr>
        <w:t>el</w:t>
      </w:r>
      <w:r w:rsidR="00B33E88">
        <w:rPr>
          <w:lang w:eastAsia="ja-JP"/>
        </w:rPr>
        <w:t> </w:t>
      </w:r>
      <w:r w:rsidR="002F64EA" w:rsidRPr="00733CF3">
        <w:rPr>
          <w:lang w:eastAsia="ja-JP"/>
        </w:rPr>
        <w:t xml:space="preserve">MPE </w:t>
      </w:r>
      <w:r w:rsidR="0055347F" w:rsidRPr="00733CF3">
        <w:rPr>
          <w:lang w:eastAsia="ja-JP"/>
        </w:rPr>
        <w:t xml:space="preserve">adecuadamente </w:t>
      </w:r>
      <w:r w:rsidR="002A22A2" w:rsidRPr="00733CF3">
        <w:rPr>
          <w:lang w:eastAsia="ja-JP"/>
        </w:rPr>
        <w:t>después de eliminar la interferencia.</w:t>
      </w:r>
    </w:p>
    <w:p w14:paraId="4C7BD254" w14:textId="531564F1" w:rsidR="00C23CED" w:rsidRPr="00733CF3" w:rsidRDefault="00C23CED" w:rsidP="00F72ECB">
      <w:pPr>
        <w:pStyle w:val="Headingb"/>
        <w:keepLines/>
        <w:rPr>
          <w:rFonts w:eastAsia="MS Mincho"/>
          <w:lang w:eastAsia="ja-JP"/>
        </w:rPr>
      </w:pPr>
      <w:r w:rsidRPr="00733CF3">
        <w:rPr>
          <w:rFonts w:eastAsia="MS Mincho"/>
          <w:lang w:eastAsia="ja-JP"/>
        </w:rPr>
        <w:t>MOD</w:t>
      </w:r>
    </w:p>
    <w:p w14:paraId="5242439A" w14:textId="127E57E2" w:rsidR="00C23CED" w:rsidRPr="00733CF3" w:rsidRDefault="00AB25C8" w:rsidP="00F72ECB">
      <w:pPr>
        <w:keepNext/>
        <w:keepLines/>
        <w:rPr>
          <w:sz w:val="16"/>
        </w:rPr>
      </w:pPr>
      <w:r w:rsidRPr="00733CF3">
        <w:rPr>
          <w:b/>
          <w:bCs/>
        </w:rPr>
        <w:t>4.1.20</w:t>
      </w:r>
      <w:r w:rsidRPr="00733CF3">
        <w:tab/>
        <w:t xml:space="preserve">Si una asignación incluida en la Lista en virtud del </w:t>
      </w:r>
      <w:r w:rsidR="001F2C7F" w:rsidRPr="00733CF3">
        <w:t>número</w:t>
      </w:r>
      <w:r w:rsidRPr="00733CF3">
        <w:t xml:space="preserve"> 4.1.18 causa interferencias perjudiciales a una asignación inscrita en el Registro que haya suscitado desacuerdo, la administración que utilice la asignación de frecuencia incluida en la Lista para los enlaces de conexión en virtud del </w:t>
      </w:r>
      <w:r w:rsidR="001F2C7F" w:rsidRPr="00733CF3">
        <w:t>número</w:t>
      </w:r>
      <w:r w:rsidRPr="00733CF3">
        <w:t> 4.1.18, tras recibir las instrucciones correspondientes, eliminará inmediatamente estas interferencias perjudiciales</w:t>
      </w:r>
      <w:r w:rsidR="006A32EB" w:rsidRPr="00733CF3">
        <w:t>.</w:t>
      </w:r>
      <w:r w:rsidRPr="00733CF3">
        <w:rPr>
          <w:rStyle w:val="FootnoteReference"/>
        </w:rPr>
        <w:footnoteReference w:id="9"/>
      </w:r>
      <w:r w:rsidRPr="00733CF3">
        <w:rPr>
          <w:sz w:val="16"/>
        </w:rPr>
        <w:t>     (CMR</w:t>
      </w:r>
      <w:r w:rsidRPr="00733CF3">
        <w:rPr>
          <w:sz w:val="16"/>
        </w:rPr>
        <w:noBreakHyphen/>
        <w:t>19)</w:t>
      </w:r>
    </w:p>
    <w:p w14:paraId="7A3A5C4C" w14:textId="76CE441E" w:rsidR="00AB25C8" w:rsidRPr="00733CF3" w:rsidRDefault="00AB25C8" w:rsidP="00F72ECB">
      <w:pPr>
        <w:pStyle w:val="Headingb"/>
        <w:keepLines/>
        <w:rPr>
          <w:rFonts w:eastAsia="MS Mincho"/>
          <w:lang w:eastAsia="ja-JP"/>
        </w:rPr>
      </w:pPr>
      <w:r w:rsidRPr="00733CF3">
        <w:rPr>
          <w:rFonts w:eastAsia="MS Mincho"/>
          <w:lang w:eastAsia="ja-JP"/>
        </w:rPr>
        <w:t>ADD</w:t>
      </w:r>
    </w:p>
    <w:p w14:paraId="1A8039A5" w14:textId="228632AA" w:rsidR="00AB25C8" w:rsidRPr="00733CF3" w:rsidRDefault="00AB25C8" w:rsidP="00F72ECB">
      <w:pPr>
        <w:keepNext/>
        <w:keepLines/>
      </w:pPr>
      <w:r w:rsidRPr="00733CF3">
        <w:rPr>
          <w:b/>
          <w:bCs/>
        </w:rPr>
        <w:t>4.1.20A</w:t>
      </w:r>
      <w:r w:rsidRPr="00733CF3">
        <w:tab/>
        <w:t>Cuando se aplique el número </w:t>
      </w:r>
      <w:r w:rsidR="001F2C7F" w:rsidRPr="00B33E88">
        <w:t>4</w:t>
      </w:r>
      <w:r w:rsidRPr="00B33E88">
        <w:t>.</w:t>
      </w:r>
      <w:r w:rsidR="001F2C7F" w:rsidRPr="00B33E88">
        <w:t>1.</w:t>
      </w:r>
      <w:r w:rsidRPr="00B33E88">
        <w:t>2</w:t>
      </w:r>
      <w:r w:rsidR="001F2C7F" w:rsidRPr="00B33E88">
        <w:t>0</w:t>
      </w:r>
      <w:r w:rsidRPr="00733CF3">
        <w:t xml:space="preserve"> en relación con redes de satélites, las administraciones implicadas cooperarán para eliminar la interferencia perjudicial, podrán solicitar la ayuda de la Oficina e intercambiarán la correspondiente información técnica y de explotación necesaria para solucionar el problema. </w:t>
      </w:r>
      <w:r w:rsidR="00C22038" w:rsidRPr="00733CF3">
        <w:t xml:space="preserve">Dentro de los 30 días siguientes a la eliminación de la interferencia perjudicial, la administración responsable de la asignación incluida en la Lista en virtud del § 4.1.18 proporcionará a la Oficina las características modificadas a tal efecto. La </w:t>
      </w:r>
      <w:r w:rsidR="001F2C7F" w:rsidRPr="00733CF3">
        <w:t>Oficina</w:t>
      </w:r>
      <w:r w:rsidR="00C22038" w:rsidRPr="00733CF3">
        <w:t xml:space="preserve"> actualizará las características de esta asignación y la</w:t>
      </w:r>
      <w:r w:rsidR="008B45F5" w:rsidRPr="00733CF3">
        <w:t>s</w:t>
      </w:r>
      <w:r w:rsidR="00C22038" w:rsidRPr="00733CF3">
        <w:t xml:space="preserve"> publicará en una Sección Especial de su </w:t>
      </w:r>
      <w:r w:rsidR="008B45F5" w:rsidRPr="00733CF3">
        <w:t>BR</w:t>
      </w:r>
      <w:r w:rsidR="00C97922" w:rsidRPr="00733CF3">
        <w:t> </w:t>
      </w:r>
      <w:r w:rsidR="00C22038" w:rsidRPr="00733CF3">
        <w:t>IFIC de la BR. El margen de protección equivalente (EPM) se actualizará en consecuencia</w:t>
      </w:r>
      <w:r w:rsidRPr="00733CF3">
        <w:t>.</w:t>
      </w:r>
      <w:r w:rsidRPr="00733CF3">
        <w:rPr>
          <w:sz w:val="16"/>
        </w:rPr>
        <w:t xml:space="preserve">      (CMR-19)</w:t>
      </w:r>
    </w:p>
    <w:p w14:paraId="55C5D100" w14:textId="548C4D20" w:rsidR="00AB25C8" w:rsidRPr="00733CF3" w:rsidRDefault="00AB25C8" w:rsidP="000924DA">
      <w:pPr>
        <w:rPr>
          <w:color w:val="000000"/>
          <w:sz w:val="16"/>
        </w:rPr>
      </w:pPr>
      <w:r w:rsidRPr="00733CF3">
        <w:rPr>
          <w:b/>
          <w:bCs/>
        </w:rPr>
        <w:t>4.1.20B</w:t>
      </w:r>
      <w:r w:rsidRPr="00733CF3">
        <w:tab/>
        <w:t xml:space="preserve">Si una administración implicada en el asunto informa a la Oficina que han fracasado todos los esfuerzos para solucionar la interferencia perjudicial, la Oficina informará inmediatamente a las demás administraciones implicadas y preparará un informe, junto con toda la documentación </w:t>
      </w:r>
      <w:r w:rsidRPr="00733CF3">
        <w:lastRenderedPageBreak/>
        <w:t>de apoyo necesaria (incluidos los comentarios de las administraciones implicadas) para la siguiente reunión de la Junta, para su consideración y efectos (incluida la posible cancelación de la asignación registrada con arreglo al número </w:t>
      </w:r>
      <w:r w:rsidR="007E7EDC" w:rsidRPr="00733CF3">
        <w:t>4.1.18</w:t>
      </w:r>
      <w:r w:rsidRPr="00733CF3">
        <w:t>) según corresponda. Posteriormente, la Oficina llevará a efecto la decisión de la Junta e informará a las administraciones pertinentes.</w:t>
      </w:r>
      <w:r w:rsidRPr="00733CF3">
        <w:rPr>
          <w:color w:val="000000"/>
          <w:sz w:val="16"/>
        </w:rPr>
        <w:t>     (CMR</w:t>
      </w:r>
      <w:r w:rsidRPr="00733CF3">
        <w:rPr>
          <w:color w:val="000000"/>
          <w:sz w:val="16"/>
        </w:rPr>
        <w:noBreakHyphen/>
        <w:t>19)</w:t>
      </w:r>
    </w:p>
    <w:p w14:paraId="24D3B6BD" w14:textId="4ED61123" w:rsidR="00AB25C8" w:rsidRPr="00733CF3" w:rsidRDefault="00AB25C8" w:rsidP="000924DA">
      <w:pPr>
        <w:pStyle w:val="Headingb"/>
        <w:rPr>
          <w:rFonts w:eastAsia="MS Mincho"/>
          <w:lang w:eastAsia="ja-JP"/>
        </w:rPr>
      </w:pPr>
      <w:r w:rsidRPr="00733CF3">
        <w:rPr>
          <w:rFonts w:eastAsia="MS Mincho"/>
          <w:lang w:eastAsia="ja-JP"/>
        </w:rPr>
        <w:t>MOD</w:t>
      </w:r>
    </w:p>
    <w:p w14:paraId="3D49DD91" w14:textId="14C75F0C" w:rsidR="00AB25C8" w:rsidRPr="00733CF3" w:rsidRDefault="00AB25C8" w:rsidP="000924DA">
      <w:pPr>
        <w:rPr>
          <w:sz w:val="16"/>
        </w:rPr>
      </w:pPr>
      <w:r w:rsidRPr="00733CF3">
        <w:rPr>
          <w:b/>
          <w:bCs/>
        </w:rPr>
        <w:t>4.1.20</w:t>
      </w:r>
      <w:r w:rsidRPr="00733CF3">
        <w:tab/>
        <w:t>Si una asignación incluida en la Lista para los enlaces de conexión en virtud del § 4.1.18 causa interferencias perjudiciales a una asignación inscrita en el Registro que haya suscitado desacuerdo, la administración que utilice la asignación de frecuencia incluida en la Lista para los enlaces de conexión en virtud del § 4.1.18, tras recibir las instrucciones correspondientes, eliminará inmediatamente estas interferencias perjudiciales.</w:t>
      </w:r>
      <w:r w:rsidR="006A32EB" w:rsidRPr="00733CF3">
        <w:rPr>
          <w:rStyle w:val="FootnoteReference"/>
        </w:rPr>
        <w:t xml:space="preserve"> </w:t>
      </w:r>
      <w:r w:rsidR="006A32EB" w:rsidRPr="00733CF3">
        <w:rPr>
          <w:rStyle w:val="FootnoteReference"/>
        </w:rPr>
        <w:footnoteReference w:id="10"/>
      </w:r>
      <w:r w:rsidRPr="00733CF3">
        <w:rPr>
          <w:sz w:val="16"/>
        </w:rPr>
        <w:t>     (CMR</w:t>
      </w:r>
      <w:r w:rsidRPr="00733CF3">
        <w:rPr>
          <w:sz w:val="16"/>
        </w:rPr>
        <w:noBreakHyphen/>
        <w:t>19)</w:t>
      </w:r>
    </w:p>
    <w:p w14:paraId="7A9CB29C" w14:textId="6218398B" w:rsidR="00AB25C8" w:rsidRPr="00733CF3" w:rsidRDefault="00AB25C8" w:rsidP="000924DA">
      <w:pPr>
        <w:pStyle w:val="Headingb"/>
        <w:rPr>
          <w:rFonts w:eastAsia="MS Mincho"/>
          <w:lang w:eastAsia="ja-JP"/>
        </w:rPr>
      </w:pPr>
      <w:r w:rsidRPr="00733CF3">
        <w:rPr>
          <w:rFonts w:eastAsia="MS Mincho"/>
          <w:lang w:eastAsia="ja-JP"/>
        </w:rPr>
        <w:t>ADD</w:t>
      </w:r>
    </w:p>
    <w:p w14:paraId="1912B4AD" w14:textId="77777777" w:rsidR="00755587" w:rsidRPr="00733CF3" w:rsidRDefault="00755587" w:rsidP="00755587">
      <w:r w:rsidRPr="00733CF3">
        <w:rPr>
          <w:b/>
          <w:bCs/>
        </w:rPr>
        <w:t>4.1.20A</w:t>
      </w:r>
      <w:r w:rsidRPr="00733CF3">
        <w:tab/>
        <w:t>Cuando se aplique el número 4.1.20 en relación con redes de satélites, las administraciones implicadas cooperarán para eliminar la interferencia perjudicial, podrán solicitar la ayuda de la Oficina e intercambiarán la correspondiente información técnica y de explotación necesaria para solucionar el problema. Dentro de los 30 días siguientes a la eliminación de la interferencia perjudicial, la administración responsable de la asignación incluida en la Lista en virtud del § 4.1.18 proporcionará a la Oficina las características modificadas a tal efecto. La Oficina actualizará las características de esta asignación y las publicará en una Sección Especial de su BR IFIC de la BR. El margen de protección equivalente (EPM) se actualizará en consecuencia.</w:t>
      </w:r>
      <w:r w:rsidRPr="00733CF3">
        <w:rPr>
          <w:sz w:val="16"/>
        </w:rPr>
        <w:t xml:space="preserve">      (CMR-19)</w:t>
      </w:r>
    </w:p>
    <w:p w14:paraId="1EB6FBE6" w14:textId="1F5D6496" w:rsidR="00AB25C8" w:rsidRPr="00733CF3" w:rsidRDefault="00755587" w:rsidP="000924DA">
      <w:pPr>
        <w:rPr>
          <w:color w:val="000000"/>
          <w:sz w:val="16"/>
        </w:rPr>
      </w:pPr>
      <w:r w:rsidRPr="00733CF3">
        <w:rPr>
          <w:b/>
          <w:bCs/>
        </w:rPr>
        <w:t>4.1.20B</w:t>
      </w:r>
      <w:r w:rsidRPr="00733CF3">
        <w:tab/>
        <w:t>Si una administración implicada en el asunto informa a la Oficina que han fracasado todos los esfuerzos para solucionar la interferencia perjudicial, la Oficina informará inmediatamente a las demás administraciones implicadas y preparará un informe, junto con toda la documentación de apoyo necesaria (incluidos los comentarios de las administraciones implicadas) para la siguiente reunión de la Junta, para su consideración y efectos (incluida la posible cancelación de la asignación registrada con arreglo al número </w:t>
      </w:r>
      <w:r w:rsidR="007E7EDC" w:rsidRPr="00733CF3">
        <w:t>4.1.18</w:t>
      </w:r>
      <w:r w:rsidRPr="00733CF3">
        <w:t>) según corresponda. Posteriormente, la Oficina llevará a efecto la decisión de la Junta e informará a las administraciones pertinentes.</w:t>
      </w:r>
      <w:r w:rsidRPr="00733CF3">
        <w:rPr>
          <w:color w:val="000000"/>
          <w:sz w:val="16"/>
        </w:rPr>
        <w:t>     (CMR</w:t>
      </w:r>
      <w:r w:rsidRPr="00733CF3">
        <w:rPr>
          <w:color w:val="000000"/>
          <w:sz w:val="16"/>
        </w:rPr>
        <w:noBreakHyphen/>
        <w:t>19)</w:t>
      </w:r>
    </w:p>
    <w:p w14:paraId="7BF71AE1" w14:textId="77777777" w:rsidR="006A32EB" w:rsidRPr="00733CF3" w:rsidRDefault="006A32EB" w:rsidP="00733CF3"/>
    <w:p w14:paraId="6CEA5BD4" w14:textId="77777777" w:rsidR="00AB25C8" w:rsidRPr="00733CF3" w:rsidRDefault="00AB25C8" w:rsidP="000924DA">
      <w:pPr>
        <w:jc w:val="center"/>
      </w:pPr>
      <w:r w:rsidRPr="00733CF3">
        <w:t>______________</w:t>
      </w:r>
    </w:p>
    <w:sectPr w:rsidR="00AB25C8" w:rsidRPr="00733C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0D7A6" w14:textId="77777777" w:rsidR="00995677" w:rsidRDefault="00995677">
      <w:r>
        <w:separator/>
      </w:r>
    </w:p>
  </w:endnote>
  <w:endnote w:type="continuationSeparator" w:id="0">
    <w:p w14:paraId="21C0FE60" w14:textId="77777777" w:rsidR="00995677" w:rsidRDefault="0099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B41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978AD5" w14:textId="3F5F6EB5" w:rsidR="0077084A" w:rsidRPr="00733CF3" w:rsidRDefault="0077084A">
    <w:pPr>
      <w:ind w:right="360"/>
      <w:rPr>
        <w:lang w:val="en-US"/>
      </w:rPr>
    </w:pPr>
    <w:r>
      <w:fldChar w:fldCharType="begin"/>
    </w:r>
    <w:r w:rsidRPr="00733CF3">
      <w:rPr>
        <w:lang w:val="en-US"/>
      </w:rPr>
      <w:instrText xml:space="preserve"> FILENAME \p  \* MERGEFORMAT </w:instrText>
    </w:r>
    <w:r>
      <w:fldChar w:fldCharType="separate"/>
    </w:r>
    <w:r w:rsidR="00B33E88">
      <w:rPr>
        <w:noProof/>
        <w:lang w:val="en-US"/>
      </w:rPr>
      <w:t>P:\ESP\ITU-R\CONF-R\CMR19\000\080ADD19ADD07S.docx</w:t>
    </w:r>
    <w:r>
      <w:fldChar w:fldCharType="end"/>
    </w:r>
    <w:r w:rsidRPr="00733C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3E88">
      <w:rPr>
        <w:noProof/>
      </w:rPr>
      <w:t>24.10.19</w:t>
    </w:r>
    <w:r>
      <w:fldChar w:fldCharType="end"/>
    </w:r>
    <w:r w:rsidRPr="00733C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3E88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9B5A" w14:textId="30A2A1CE" w:rsidR="00AB25C8" w:rsidRPr="00AB25C8" w:rsidRDefault="00701201" w:rsidP="00AB25C8">
    <w:pPr>
      <w:pStyle w:val="Footer"/>
      <w:rPr>
        <w:lang w:val="en-GB"/>
      </w:rPr>
    </w:pPr>
    <w:r>
      <w:fldChar w:fldCharType="begin"/>
    </w:r>
    <w:r w:rsidRPr="00AB25C8">
      <w:rPr>
        <w:lang w:val="en-GB"/>
      </w:rPr>
      <w:instrText xml:space="preserve"> FILENAME \p  \* MERGEFORMAT </w:instrText>
    </w:r>
    <w:r>
      <w:fldChar w:fldCharType="separate"/>
    </w:r>
    <w:r w:rsidR="00B33E88">
      <w:rPr>
        <w:lang w:val="en-GB"/>
      </w:rPr>
      <w:t>P:\ESP\ITU-R\CONF-R\CMR19\000\080ADD19ADD07S.docx</w:t>
    </w:r>
    <w:r>
      <w:fldChar w:fldCharType="end"/>
    </w:r>
    <w:r w:rsidRPr="00AB25C8">
      <w:rPr>
        <w:lang w:val="en-GB"/>
      </w:rPr>
      <w:t xml:space="preserve"> (462169)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3B57" w14:textId="54A71962" w:rsidR="00AB25C8" w:rsidRPr="00AB25C8" w:rsidRDefault="00AB25C8" w:rsidP="00701201">
    <w:pPr>
      <w:pStyle w:val="Footer"/>
      <w:rPr>
        <w:lang w:val="en-GB"/>
      </w:rPr>
    </w:pPr>
    <w:r>
      <w:fldChar w:fldCharType="begin"/>
    </w:r>
    <w:r w:rsidRPr="00AB25C8">
      <w:rPr>
        <w:lang w:val="en-GB"/>
      </w:rPr>
      <w:instrText xml:space="preserve"> FILENAME \p  \* MERGEFORMAT </w:instrText>
    </w:r>
    <w:r>
      <w:fldChar w:fldCharType="separate"/>
    </w:r>
    <w:r w:rsidR="00B33E88">
      <w:rPr>
        <w:lang w:val="en-GB"/>
      </w:rPr>
      <w:t>P:\ESP\ITU-R\CONF-R\CMR19\000\080ADD19ADD07S.docx</w:t>
    </w:r>
    <w:r>
      <w:fldChar w:fldCharType="end"/>
    </w:r>
    <w:r w:rsidRPr="00AB25C8">
      <w:rPr>
        <w:lang w:val="en-GB"/>
      </w:rPr>
      <w:t xml:space="preserve"> (462169)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C908" w14:textId="77777777" w:rsidR="00995677" w:rsidRDefault="00995677">
      <w:r>
        <w:rPr>
          <w:b/>
        </w:rPr>
        <w:t>_______________</w:t>
      </w:r>
    </w:p>
  </w:footnote>
  <w:footnote w:type="continuationSeparator" w:id="0">
    <w:p w14:paraId="61796B40" w14:textId="77777777" w:rsidR="00995677" w:rsidRDefault="00995677">
      <w:r>
        <w:continuationSeparator/>
      </w:r>
    </w:p>
  </w:footnote>
  <w:footnote w:id="1">
    <w:p w14:paraId="39F9F47E" w14:textId="77777777" w:rsidR="00453441" w:rsidRPr="001B0C91" w:rsidRDefault="00AB25C8" w:rsidP="000767B6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45255CD7" w14:textId="77777777" w:rsidR="00453441" w:rsidRDefault="00AB25C8" w:rsidP="000767B6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4567807E" w14:textId="77777777" w:rsidR="00453441" w:rsidRPr="00605F62" w:rsidRDefault="00AB25C8" w:rsidP="000767B6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2EB93A31" w14:textId="77777777" w:rsidR="00453441" w:rsidRPr="001B0C91" w:rsidRDefault="00AB25C8" w:rsidP="000767B6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12FA2A2B" w14:textId="77777777" w:rsidR="00453441" w:rsidRPr="001B0C91" w:rsidRDefault="00AB25C8" w:rsidP="000767B6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22306839" w14:textId="77777777" w:rsidR="00453441" w:rsidRPr="001B0C91" w:rsidRDefault="00AB25C8" w:rsidP="000767B6">
      <w:pPr>
        <w:pStyle w:val="FootnoteText"/>
      </w:pPr>
      <w:r w:rsidRPr="001B0C91">
        <w:rPr>
          <w:rStyle w:val="FootnoteReference"/>
        </w:rPr>
        <w:t>9</w:t>
      </w:r>
      <w:r w:rsidRPr="001B0C91">
        <w:tab/>
      </w:r>
      <w:r w:rsidRPr="001F0C8F">
        <w:rPr>
          <w:szCs w:val="24"/>
          <w:lang w:val="es-ES"/>
        </w:rPr>
        <w:t xml:space="preserve">Véase en el </w:t>
      </w:r>
      <w:r>
        <w:rPr>
          <w:szCs w:val="24"/>
          <w:lang w:val="es-ES"/>
        </w:rPr>
        <w:t>§ 3.4 del Anexo </w:t>
      </w:r>
      <w:r w:rsidRPr="001F0C8F">
        <w:rPr>
          <w:szCs w:val="24"/>
          <w:lang w:val="es-ES"/>
        </w:rPr>
        <w:t>5 la definición de MPE.</w:t>
      </w:r>
      <w:r>
        <w:rPr>
          <w:sz w:val="16"/>
          <w:lang w:val="es-ES"/>
        </w:rPr>
        <w:t>     </w:t>
      </w:r>
      <w:r w:rsidRPr="001B0C91">
        <w:rPr>
          <w:sz w:val="16"/>
        </w:rPr>
        <w:t>(CMR-03)</w:t>
      </w:r>
    </w:p>
  </w:footnote>
  <w:footnote w:id="5">
    <w:p w14:paraId="361B19D1" w14:textId="77777777" w:rsidR="00453441" w:rsidRPr="001B0C91" w:rsidRDefault="00AB25C8" w:rsidP="000767B6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6">
    <w:p w14:paraId="48BA28DD" w14:textId="77777777" w:rsidR="00453441" w:rsidRPr="00D9062E" w:rsidRDefault="00AB25C8" w:rsidP="000767B6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28BE7A22" w14:textId="77777777" w:rsidR="00453441" w:rsidRPr="00D9062E" w:rsidRDefault="00AB25C8" w:rsidP="000767B6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7">
    <w:p w14:paraId="2E6027A5" w14:textId="77777777" w:rsidR="00453441" w:rsidRPr="001B0C91" w:rsidRDefault="00AB25C8" w:rsidP="000767B6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39DDAEBF" w14:textId="77777777" w:rsidR="00453441" w:rsidRPr="001B0C91" w:rsidRDefault="00AB25C8" w:rsidP="000767B6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8">
    <w:p w14:paraId="0885AC02" w14:textId="77777777" w:rsidR="00453441" w:rsidRPr="001B0C91" w:rsidRDefault="00AB25C8" w:rsidP="000767B6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  <w:color w:val="000000"/>
          <w:lang w:val="es-ES"/>
        </w:rPr>
        <w:t>11</w:t>
      </w:r>
      <w:r>
        <w:rPr>
          <w:lang w:val="es-ES"/>
        </w:rPr>
        <w:tab/>
      </w:r>
      <w:r w:rsidRPr="00A30AAA">
        <w:rPr>
          <w:szCs w:val="24"/>
          <w:lang w:val="es-ES"/>
        </w:rPr>
        <w:t xml:space="preserve">Véase en el </w:t>
      </w:r>
      <w:r>
        <w:rPr>
          <w:szCs w:val="24"/>
          <w:lang w:val="es-ES"/>
        </w:rPr>
        <w:t>§ </w:t>
      </w:r>
      <w:r w:rsidRPr="00A30AAA">
        <w:rPr>
          <w:szCs w:val="24"/>
          <w:lang w:val="es-ES"/>
        </w:rPr>
        <w:t>1.7 del Anexo 3 la definición de MPE.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</w:footnote>
  <w:footnote w:id="9">
    <w:p w14:paraId="7B09009E" w14:textId="3848FE1B" w:rsidR="00AB25C8" w:rsidRPr="00AB25C8" w:rsidRDefault="00AB25C8" w:rsidP="000767B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7B74BC">
        <w:t>4</w:t>
      </w:r>
      <w:r w:rsidRPr="007B74BC">
        <w:rPr>
          <w:rStyle w:val="Artdef"/>
          <w:b w:val="0"/>
          <w:bCs/>
          <w:color w:val="000000"/>
          <w:szCs w:val="24"/>
          <w:lang w:val="es-ES"/>
        </w:rPr>
        <w:t>.1.20.1</w:t>
      </w:r>
      <w:r w:rsidRPr="007B74BC">
        <w:rPr>
          <w:rStyle w:val="Artdef"/>
          <w:b w:val="0"/>
          <w:bCs/>
          <w:szCs w:val="24"/>
        </w:rPr>
        <w:tab/>
      </w:r>
      <w:r w:rsidRPr="006537F1">
        <w:rPr>
          <w:szCs w:val="24"/>
        </w:rPr>
        <w:t>Cuando faciliten los pormenores de la interferencia prejudicial con arreglo al número </w:t>
      </w:r>
      <w:r w:rsidR="007B74BC" w:rsidRPr="007B74BC">
        <w:rPr>
          <w:szCs w:val="24"/>
        </w:rPr>
        <w:t>4.1.20</w:t>
      </w:r>
      <w:r w:rsidRPr="006537F1">
        <w:rPr>
          <w:szCs w:val="24"/>
        </w:rPr>
        <w:t>, las administraciones implicadas utilizarán, en toda la medida de lo posible, el formato que figura en el Apéndice </w:t>
      </w:r>
      <w:r w:rsidRPr="006537F1">
        <w:rPr>
          <w:b/>
          <w:bCs/>
          <w:szCs w:val="24"/>
        </w:rPr>
        <w:t>10</w:t>
      </w:r>
      <w:r w:rsidRPr="006537F1">
        <w:rPr>
          <w:szCs w:val="24"/>
        </w:rPr>
        <w:t xml:space="preserve"> del Reglamento de Radiocomunicaciones.</w:t>
      </w:r>
      <w:r w:rsidRPr="006537F1">
        <w:rPr>
          <w:sz w:val="16"/>
          <w:szCs w:val="16"/>
        </w:rPr>
        <w:t>     (CMR</w:t>
      </w:r>
      <w:r w:rsidRPr="006537F1">
        <w:rPr>
          <w:sz w:val="16"/>
          <w:szCs w:val="16"/>
        </w:rPr>
        <w:noBreakHyphen/>
        <w:t>12)</w:t>
      </w:r>
    </w:p>
  </w:footnote>
  <w:footnote w:id="10">
    <w:p w14:paraId="18CD3DC5" w14:textId="40583E90" w:rsidR="006A32EB" w:rsidRPr="00AB25C8" w:rsidRDefault="006A32EB" w:rsidP="006A32E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7B74BC">
        <w:t>4</w:t>
      </w:r>
      <w:r w:rsidRPr="007B74BC">
        <w:rPr>
          <w:rStyle w:val="Artdef"/>
          <w:color w:val="000000"/>
          <w:szCs w:val="24"/>
          <w:lang w:val="es-ES"/>
        </w:rPr>
        <w:t>.</w:t>
      </w:r>
      <w:r w:rsidRPr="007B74BC">
        <w:rPr>
          <w:rStyle w:val="Artdef"/>
          <w:b w:val="0"/>
          <w:bCs/>
          <w:color w:val="000000"/>
          <w:szCs w:val="24"/>
          <w:lang w:val="es-ES"/>
        </w:rPr>
        <w:t>1.20.1</w:t>
      </w:r>
      <w:r w:rsidRPr="006537F1">
        <w:rPr>
          <w:rStyle w:val="Artdef"/>
          <w:szCs w:val="24"/>
        </w:rPr>
        <w:tab/>
      </w:r>
      <w:r w:rsidRPr="006537F1">
        <w:rPr>
          <w:szCs w:val="24"/>
        </w:rPr>
        <w:t>Cuando faciliten los pormenores de la interferencia prejudicial con arreglo al número </w:t>
      </w:r>
      <w:r w:rsidR="007B74BC" w:rsidRPr="007B74BC">
        <w:t>4</w:t>
      </w:r>
      <w:r w:rsidR="007B74BC" w:rsidRPr="007B74BC">
        <w:rPr>
          <w:rStyle w:val="Artdef"/>
          <w:color w:val="000000"/>
          <w:szCs w:val="24"/>
          <w:lang w:val="es-ES"/>
        </w:rPr>
        <w:t>.</w:t>
      </w:r>
      <w:r w:rsidR="007B74BC" w:rsidRPr="007B74BC">
        <w:rPr>
          <w:rStyle w:val="Artdef"/>
          <w:b w:val="0"/>
          <w:bCs/>
          <w:color w:val="000000"/>
          <w:szCs w:val="24"/>
          <w:lang w:val="es-ES"/>
        </w:rPr>
        <w:t>1.20</w:t>
      </w:r>
      <w:r w:rsidRPr="006537F1">
        <w:rPr>
          <w:szCs w:val="24"/>
        </w:rPr>
        <w:t>, l</w:t>
      </w:r>
      <w:bookmarkStart w:id="5" w:name="_GoBack"/>
      <w:bookmarkEnd w:id="5"/>
      <w:r w:rsidRPr="006537F1">
        <w:rPr>
          <w:szCs w:val="24"/>
        </w:rPr>
        <w:t>as administraciones implicadas utilizarán, en toda la medida de lo posible, el formato que figura en el Apéndice </w:t>
      </w:r>
      <w:r w:rsidRPr="006537F1">
        <w:rPr>
          <w:b/>
          <w:bCs/>
          <w:szCs w:val="24"/>
        </w:rPr>
        <w:t>10</w:t>
      </w:r>
      <w:r w:rsidRPr="006537F1">
        <w:rPr>
          <w:szCs w:val="24"/>
        </w:rPr>
        <w:t xml:space="preserve"> del Reglamento de Radiocomunicaciones.</w:t>
      </w:r>
      <w:r w:rsidRPr="006537F1">
        <w:rPr>
          <w:sz w:val="16"/>
          <w:szCs w:val="16"/>
        </w:rPr>
        <w:t>     (CMR</w:t>
      </w:r>
      <w:r w:rsidRPr="006537F1">
        <w:rPr>
          <w:sz w:val="16"/>
          <w:szCs w:val="16"/>
        </w:rPr>
        <w:noBreakHyphen/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6C1" w14:textId="77777777" w:rsidR="007D74AE" w:rsidRDefault="007D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2AF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89554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80(Add.19)(Add.7)-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904F" w14:textId="77777777" w:rsidR="007D74AE" w:rsidRDefault="007D7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F66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ED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E0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50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6E8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4E6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EF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A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4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4A63"/>
    <w:rsid w:val="00064EF0"/>
    <w:rsid w:val="000767B6"/>
    <w:rsid w:val="00087AE8"/>
    <w:rsid w:val="000924DA"/>
    <w:rsid w:val="000A5B9A"/>
    <w:rsid w:val="000B4361"/>
    <w:rsid w:val="000C49D6"/>
    <w:rsid w:val="000E5BF9"/>
    <w:rsid w:val="000F0E6D"/>
    <w:rsid w:val="00111C1D"/>
    <w:rsid w:val="00121170"/>
    <w:rsid w:val="00123CC5"/>
    <w:rsid w:val="0015142D"/>
    <w:rsid w:val="001616DC"/>
    <w:rsid w:val="00161DF2"/>
    <w:rsid w:val="00163962"/>
    <w:rsid w:val="00191A97"/>
    <w:rsid w:val="0019729C"/>
    <w:rsid w:val="001A083F"/>
    <w:rsid w:val="001C41FA"/>
    <w:rsid w:val="001E2B52"/>
    <w:rsid w:val="001E3F27"/>
    <w:rsid w:val="001E7D42"/>
    <w:rsid w:val="001F2C7F"/>
    <w:rsid w:val="00223CB3"/>
    <w:rsid w:val="0023659C"/>
    <w:rsid w:val="00236D2A"/>
    <w:rsid w:val="0024569E"/>
    <w:rsid w:val="00255F12"/>
    <w:rsid w:val="002612E6"/>
    <w:rsid w:val="00262C09"/>
    <w:rsid w:val="00292AE7"/>
    <w:rsid w:val="00296223"/>
    <w:rsid w:val="002A22A2"/>
    <w:rsid w:val="002A791F"/>
    <w:rsid w:val="002B6837"/>
    <w:rsid w:val="002C1A52"/>
    <w:rsid w:val="002C1B26"/>
    <w:rsid w:val="002C5D6C"/>
    <w:rsid w:val="002E701F"/>
    <w:rsid w:val="002F018A"/>
    <w:rsid w:val="002F64EA"/>
    <w:rsid w:val="003248A9"/>
    <w:rsid w:val="00324FFA"/>
    <w:rsid w:val="0032680B"/>
    <w:rsid w:val="00342831"/>
    <w:rsid w:val="00363A65"/>
    <w:rsid w:val="003B1E8C"/>
    <w:rsid w:val="003C0613"/>
    <w:rsid w:val="003C2508"/>
    <w:rsid w:val="003D0AA3"/>
    <w:rsid w:val="003E2086"/>
    <w:rsid w:val="003F4325"/>
    <w:rsid w:val="003F7F66"/>
    <w:rsid w:val="00440B3A"/>
    <w:rsid w:val="0044375A"/>
    <w:rsid w:val="00452D90"/>
    <w:rsid w:val="0045384C"/>
    <w:rsid w:val="00454553"/>
    <w:rsid w:val="00472A86"/>
    <w:rsid w:val="004B124A"/>
    <w:rsid w:val="004B3095"/>
    <w:rsid w:val="004B7ECF"/>
    <w:rsid w:val="004D2C7C"/>
    <w:rsid w:val="004D6B77"/>
    <w:rsid w:val="00504AD2"/>
    <w:rsid w:val="005133B5"/>
    <w:rsid w:val="00520F08"/>
    <w:rsid w:val="00524392"/>
    <w:rsid w:val="00532097"/>
    <w:rsid w:val="0053362C"/>
    <w:rsid w:val="005451ED"/>
    <w:rsid w:val="0055347F"/>
    <w:rsid w:val="00560360"/>
    <w:rsid w:val="00563ED4"/>
    <w:rsid w:val="00566F4B"/>
    <w:rsid w:val="00576041"/>
    <w:rsid w:val="0058350F"/>
    <w:rsid w:val="00583C7E"/>
    <w:rsid w:val="00586DE3"/>
    <w:rsid w:val="0059098E"/>
    <w:rsid w:val="005A7279"/>
    <w:rsid w:val="005D46FB"/>
    <w:rsid w:val="005F2605"/>
    <w:rsid w:val="005F3B0E"/>
    <w:rsid w:val="005F3DB8"/>
    <w:rsid w:val="005F559C"/>
    <w:rsid w:val="00602857"/>
    <w:rsid w:val="006124AD"/>
    <w:rsid w:val="00624009"/>
    <w:rsid w:val="006347C6"/>
    <w:rsid w:val="00647AF3"/>
    <w:rsid w:val="00654AE1"/>
    <w:rsid w:val="00662BA0"/>
    <w:rsid w:val="006705AA"/>
    <w:rsid w:val="0067344B"/>
    <w:rsid w:val="00677F43"/>
    <w:rsid w:val="00682655"/>
    <w:rsid w:val="00684A94"/>
    <w:rsid w:val="006903AC"/>
    <w:rsid w:val="00692AAE"/>
    <w:rsid w:val="006A32EB"/>
    <w:rsid w:val="006C0E38"/>
    <w:rsid w:val="006D6E67"/>
    <w:rsid w:val="006E1A13"/>
    <w:rsid w:val="006F0B11"/>
    <w:rsid w:val="00701201"/>
    <w:rsid w:val="00701C20"/>
    <w:rsid w:val="00702F3D"/>
    <w:rsid w:val="00704F16"/>
    <w:rsid w:val="0070518E"/>
    <w:rsid w:val="00733CF3"/>
    <w:rsid w:val="007354E9"/>
    <w:rsid w:val="007424E8"/>
    <w:rsid w:val="00744F8E"/>
    <w:rsid w:val="0074579D"/>
    <w:rsid w:val="00755587"/>
    <w:rsid w:val="00757B32"/>
    <w:rsid w:val="00764851"/>
    <w:rsid w:val="00765578"/>
    <w:rsid w:val="00766333"/>
    <w:rsid w:val="00766DBC"/>
    <w:rsid w:val="0077084A"/>
    <w:rsid w:val="007952C7"/>
    <w:rsid w:val="007A2A9A"/>
    <w:rsid w:val="007B238F"/>
    <w:rsid w:val="007B74BC"/>
    <w:rsid w:val="007B78A8"/>
    <w:rsid w:val="007C0B95"/>
    <w:rsid w:val="007C2317"/>
    <w:rsid w:val="007D330A"/>
    <w:rsid w:val="007D74AE"/>
    <w:rsid w:val="007E7EDC"/>
    <w:rsid w:val="007F46FC"/>
    <w:rsid w:val="00866AE6"/>
    <w:rsid w:val="008750A8"/>
    <w:rsid w:val="00893299"/>
    <w:rsid w:val="008A7A8D"/>
    <w:rsid w:val="008B45F5"/>
    <w:rsid w:val="008D3316"/>
    <w:rsid w:val="008E5AF2"/>
    <w:rsid w:val="0090121B"/>
    <w:rsid w:val="009144C9"/>
    <w:rsid w:val="0094091F"/>
    <w:rsid w:val="00962171"/>
    <w:rsid w:val="00973754"/>
    <w:rsid w:val="00995677"/>
    <w:rsid w:val="009C0BED"/>
    <w:rsid w:val="009C47AF"/>
    <w:rsid w:val="009D12F5"/>
    <w:rsid w:val="009E11EC"/>
    <w:rsid w:val="009E608D"/>
    <w:rsid w:val="00A021CC"/>
    <w:rsid w:val="00A118DB"/>
    <w:rsid w:val="00A31D80"/>
    <w:rsid w:val="00A4450C"/>
    <w:rsid w:val="00A57EA5"/>
    <w:rsid w:val="00AA5E6C"/>
    <w:rsid w:val="00AA7810"/>
    <w:rsid w:val="00AB25C8"/>
    <w:rsid w:val="00AB6879"/>
    <w:rsid w:val="00AE5677"/>
    <w:rsid w:val="00AE658F"/>
    <w:rsid w:val="00AF2F78"/>
    <w:rsid w:val="00B0232F"/>
    <w:rsid w:val="00B239FA"/>
    <w:rsid w:val="00B33E88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2038"/>
    <w:rsid w:val="00C23CED"/>
    <w:rsid w:val="00C24127"/>
    <w:rsid w:val="00C43140"/>
    <w:rsid w:val="00C44E9E"/>
    <w:rsid w:val="00C525DB"/>
    <w:rsid w:val="00C63EB5"/>
    <w:rsid w:val="00C87DA7"/>
    <w:rsid w:val="00C97922"/>
    <w:rsid w:val="00CC01E0"/>
    <w:rsid w:val="00CD1280"/>
    <w:rsid w:val="00CD5FEE"/>
    <w:rsid w:val="00CE60D2"/>
    <w:rsid w:val="00CE7431"/>
    <w:rsid w:val="00CF5A5B"/>
    <w:rsid w:val="00D00CA8"/>
    <w:rsid w:val="00D0288A"/>
    <w:rsid w:val="00D23344"/>
    <w:rsid w:val="00D30F28"/>
    <w:rsid w:val="00D430E9"/>
    <w:rsid w:val="00D4387B"/>
    <w:rsid w:val="00D72A5D"/>
    <w:rsid w:val="00D82F6D"/>
    <w:rsid w:val="00DA3177"/>
    <w:rsid w:val="00DA71A3"/>
    <w:rsid w:val="00DB6580"/>
    <w:rsid w:val="00DC629B"/>
    <w:rsid w:val="00DE1C31"/>
    <w:rsid w:val="00E05BFF"/>
    <w:rsid w:val="00E262F1"/>
    <w:rsid w:val="00E3176A"/>
    <w:rsid w:val="00E36CE4"/>
    <w:rsid w:val="00E404E3"/>
    <w:rsid w:val="00E54754"/>
    <w:rsid w:val="00E56BD3"/>
    <w:rsid w:val="00E71D14"/>
    <w:rsid w:val="00EA77F0"/>
    <w:rsid w:val="00ED71C1"/>
    <w:rsid w:val="00F127C8"/>
    <w:rsid w:val="00F32316"/>
    <w:rsid w:val="00F37B45"/>
    <w:rsid w:val="00F41889"/>
    <w:rsid w:val="00F66597"/>
    <w:rsid w:val="00F675D0"/>
    <w:rsid w:val="00F72ECB"/>
    <w:rsid w:val="00F8150C"/>
    <w:rsid w:val="00FA05BE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AB7F0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23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3CED"/>
    <w:rPr>
      <w:rFonts w:ascii="Segoe UI" w:hAnsi="Segoe UI" w:cs="Segoe UI"/>
      <w:sz w:val="18"/>
      <w:szCs w:val="18"/>
      <w:lang w:val="es-ES_tradnl" w:eastAsia="en-US"/>
    </w:rPr>
  </w:style>
  <w:style w:type="table" w:styleId="TableGrid">
    <w:name w:val="Table Grid"/>
    <w:basedOn w:val="TableNormal"/>
    <w:rsid w:val="00C23CE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733CF3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R16-WRC19-C-0080!A19-A7!MSW-S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AC760-FAE9-4FDA-8B58-838E416D0A43}">
  <ds:schemaRefs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D36121-AC27-4218-B667-61CF46C3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2879</Words>
  <Characters>14336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R16-WRC19-C-0080!A19-A7!MSW-S</vt:lpstr>
    </vt:vector>
  </TitlesOfParts>
  <Manager>Secretaría General - Pool</Manager>
  <Company>Unión Internacional de Telecomunicaciones (UIT)</Company>
  <LinksUpToDate>false</LinksUpToDate>
  <CharactersWithSpaces>17181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R16-WRC19-C-0080!A19-A7!MSW-S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18</cp:revision>
  <cp:lastPrinted>2019-10-24T00:34:00Z</cp:lastPrinted>
  <dcterms:created xsi:type="dcterms:W3CDTF">2019-10-22T11:51:00Z</dcterms:created>
  <dcterms:modified xsi:type="dcterms:W3CDTF">2019-10-24T00:46:00Z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