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F42E8" w14:paraId="1216C55E" w14:textId="77777777" w:rsidTr="0050008E">
        <w:trPr>
          <w:cantSplit/>
        </w:trPr>
        <w:tc>
          <w:tcPr>
            <w:tcW w:w="6911" w:type="dxa"/>
          </w:tcPr>
          <w:p w14:paraId="1D7418B2" w14:textId="77777777" w:rsidR="0090121B" w:rsidRPr="00DF42E8" w:rsidRDefault="005D46FB" w:rsidP="00C44E9E">
            <w:pPr>
              <w:spacing w:before="400" w:after="48" w:line="240" w:lineRule="atLeast"/>
              <w:rPr>
                <w:rFonts w:ascii="Verdana" w:hAnsi="Verdana"/>
                <w:position w:val="6"/>
              </w:rPr>
            </w:pPr>
            <w:r w:rsidRPr="00DF42E8">
              <w:rPr>
                <w:rFonts w:ascii="Verdana" w:hAnsi="Verdana" w:cs="Times"/>
                <w:b/>
                <w:position w:val="6"/>
                <w:sz w:val="20"/>
              </w:rPr>
              <w:t>Conferencia Mundial de Radiocomunicaciones (</w:t>
            </w:r>
            <w:proofErr w:type="spellStart"/>
            <w:r w:rsidRPr="00DF42E8">
              <w:rPr>
                <w:rFonts w:ascii="Verdana" w:hAnsi="Verdana" w:cs="Times"/>
                <w:b/>
                <w:position w:val="6"/>
                <w:sz w:val="20"/>
              </w:rPr>
              <w:t>CMR</w:t>
            </w:r>
            <w:proofErr w:type="spellEnd"/>
            <w:r w:rsidRPr="00DF42E8">
              <w:rPr>
                <w:rFonts w:ascii="Verdana" w:hAnsi="Verdana" w:cs="Times"/>
                <w:b/>
                <w:position w:val="6"/>
                <w:sz w:val="20"/>
              </w:rPr>
              <w:t>-1</w:t>
            </w:r>
            <w:r w:rsidR="00C44E9E" w:rsidRPr="00DF42E8">
              <w:rPr>
                <w:rFonts w:ascii="Verdana" w:hAnsi="Verdana" w:cs="Times"/>
                <w:b/>
                <w:position w:val="6"/>
                <w:sz w:val="20"/>
              </w:rPr>
              <w:t>9</w:t>
            </w:r>
            <w:r w:rsidRPr="00DF42E8">
              <w:rPr>
                <w:rFonts w:ascii="Verdana" w:hAnsi="Verdana" w:cs="Times"/>
                <w:b/>
                <w:position w:val="6"/>
                <w:sz w:val="20"/>
              </w:rPr>
              <w:t>)</w:t>
            </w:r>
            <w:r w:rsidRPr="00DF42E8">
              <w:rPr>
                <w:rFonts w:ascii="Verdana" w:hAnsi="Verdana" w:cs="Times"/>
                <w:b/>
                <w:position w:val="6"/>
                <w:sz w:val="20"/>
              </w:rPr>
              <w:br/>
            </w:r>
            <w:r w:rsidR="006124AD" w:rsidRPr="00DF42E8">
              <w:rPr>
                <w:rFonts w:ascii="Verdana" w:hAnsi="Verdana"/>
                <w:b/>
                <w:bCs/>
                <w:position w:val="6"/>
                <w:sz w:val="17"/>
                <w:szCs w:val="17"/>
              </w:rPr>
              <w:t>Sharm el-</w:t>
            </w:r>
            <w:proofErr w:type="spellStart"/>
            <w:r w:rsidR="006124AD" w:rsidRPr="00DF42E8">
              <w:rPr>
                <w:rFonts w:ascii="Verdana" w:hAnsi="Verdana"/>
                <w:b/>
                <w:bCs/>
                <w:position w:val="6"/>
                <w:sz w:val="17"/>
                <w:szCs w:val="17"/>
              </w:rPr>
              <w:t>Sheikh</w:t>
            </w:r>
            <w:proofErr w:type="spellEnd"/>
            <w:r w:rsidR="006124AD" w:rsidRPr="00DF42E8">
              <w:rPr>
                <w:rFonts w:ascii="Verdana" w:hAnsi="Verdana"/>
                <w:b/>
                <w:bCs/>
                <w:position w:val="6"/>
                <w:sz w:val="17"/>
                <w:szCs w:val="17"/>
              </w:rPr>
              <w:t xml:space="preserve"> (Egipto)</w:t>
            </w:r>
            <w:r w:rsidRPr="00DF42E8">
              <w:rPr>
                <w:rFonts w:ascii="Verdana" w:hAnsi="Verdana"/>
                <w:b/>
                <w:bCs/>
                <w:position w:val="6"/>
                <w:sz w:val="17"/>
                <w:szCs w:val="17"/>
              </w:rPr>
              <w:t>, 2</w:t>
            </w:r>
            <w:r w:rsidR="00C44E9E" w:rsidRPr="00DF42E8">
              <w:rPr>
                <w:rFonts w:ascii="Verdana" w:hAnsi="Verdana"/>
                <w:b/>
                <w:bCs/>
                <w:position w:val="6"/>
                <w:sz w:val="17"/>
                <w:szCs w:val="17"/>
              </w:rPr>
              <w:t xml:space="preserve">8 de octubre </w:t>
            </w:r>
            <w:r w:rsidR="00DE1C31" w:rsidRPr="00DF42E8">
              <w:rPr>
                <w:rFonts w:ascii="Verdana" w:hAnsi="Verdana"/>
                <w:b/>
                <w:bCs/>
                <w:position w:val="6"/>
                <w:sz w:val="17"/>
                <w:szCs w:val="17"/>
              </w:rPr>
              <w:t>–</w:t>
            </w:r>
            <w:r w:rsidR="00C44E9E" w:rsidRPr="00DF42E8">
              <w:rPr>
                <w:rFonts w:ascii="Verdana" w:hAnsi="Verdana"/>
                <w:b/>
                <w:bCs/>
                <w:position w:val="6"/>
                <w:sz w:val="17"/>
                <w:szCs w:val="17"/>
              </w:rPr>
              <w:t xml:space="preserve"> </w:t>
            </w:r>
            <w:r w:rsidRPr="00DF42E8">
              <w:rPr>
                <w:rFonts w:ascii="Verdana" w:hAnsi="Verdana"/>
                <w:b/>
                <w:bCs/>
                <w:position w:val="6"/>
                <w:sz w:val="17"/>
                <w:szCs w:val="17"/>
              </w:rPr>
              <w:t>2</w:t>
            </w:r>
            <w:r w:rsidR="00C44E9E" w:rsidRPr="00DF42E8">
              <w:rPr>
                <w:rFonts w:ascii="Verdana" w:hAnsi="Verdana"/>
                <w:b/>
                <w:bCs/>
                <w:position w:val="6"/>
                <w:sz w:val="17"/>
                <w:szCs w:val="17"/>
              </w:rPr>
              <w:t>2</w:t>
            </w:r>
            <w:r w:rsidRPr="00DF42E8">
              <w:rPr>
                <w:rFonts w:ascii="Verdana" w:hAnsi="Verdana"/>
                <w:b/>
                <w:bCs/>
                <w:position w:val="6"/>
                <w:sz w:val="17"/>
                <w:szCs w:val="17"/>
              </w:rPr>
              <w:t xml:space="preserve"> de noviembre de 201</w:t>
            </w:r>
            <w:r w:rsidR="00C44E9E" w:rsidRPr="00DF42E8">
              <w:rPr>
                <w:rFonts w:ascii="Verdana" w:hAnsi="Verdana"/>
                <w:b/>
                <w:bCs/>
                <w:position w:val="6"/>
                <w:sz w:val="17"/>
                <w:szCs w:val="17"/>
              </w:rPr>
              <w:t>9</w:t>
            </w:r>
          </w:p>
        </w:tc>
        <w:tc>
          <w:tcPr>
            <w:tcW w:w="3120" w:type="dxa"/>
          </w:tcPr>
          <w:p w14:paraId="09E4301F" w14:textId="77777777" w:rsidR="0090121B" w:rsidRPr="00DF42E8" w:rsidRDefault="00DA71A3" w:rsidP="00CE7431">
            <w:pPr>
              <w:spacing w:before="0" w:line="240" w:lineRule="atLeast"/>
              <w:jc w:val="right"/>
            </w:pPr>
            <w:r w:rsidRPr="00DF42E8">
              <w:rPr>
                <w:rFonts w:ascii="Verdana" w:hAnsi="Verdana"/>
                <w:b/>
                <w:bCs/>
                <w:noProof/>
                <w:szCs w:val="24"/>
                <w:lang w:eastAsia="zh-CN"/>
              </w:rPr>
              <w:drawing>
                <wp:inline distT="0" distB="0" distL="0" distR="0" wp14:anchorId="6301E506" wp14:editId="5ABC03C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DF42E8" w14:paraId="38CFB62B" w14:textId="77777777" w:rsidTr="0050008E">
        <w:trPr>
          <w:cantSplit/>
        </w:trPr>
        <w:tc>
          <w:tcPr>
            <w:tcW w:w="6911" w:type="dxa"/>
            <w:tcBorders>
              <w:bottom w:val="single" w:sz="12" w:space="0" w:color="auto"/>
            </w:tcBorders>
          </w:tcPr>
          <w:p w14:paraId="0E9E7228" w14:textId="77777777" w:rsidR="0090121B" w:rsidRPr="00DF42E8"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6F8E1530" w14:textId="77777777" w:rsidR="0090121B" w:rsidRPr="00DF42E8" w:rsidRDefault="0090121B" w:rsidP="0090121B">
            <w:pPr>
              <w:spacing w:before="0" w:line="240" w:lineRule="atLeast"/>
              <w:rPr>
                <w:rFonts w:ascii="Verdana" w:hAnsi="Verdana"/>
                <w:szCs w:val="24"/>
              </w:rPr>
            </w:pPr>
          </w:p>
        </w:tc>
      </w:tr>
      <w:tr w:rsidR="0090121B" w:rsidRPr="00DF42E8" w14:paraId="24F7D5A5" w14:textId="77777777" w:rsidTr="0090121B">
        <w:trPr>
          <w:cantSplit/>
        </w:trPr>
        <w:tc>
          <w:tcPr>
            <w:tcW w:w="6911" w:type="dxa"/>
            <w:tcBorders>
              <w:top w:val="single" w:sz="12" w:space="0" w:color="auto"/>
            </w:tcBorders>
          </w:tcPr>
          <w:p w14:paraId="138C6079" w14:textId="77777777" w:rsidR="0090121B" w:rsidRPr="00DF42E8"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0B5DB510" w14:textId="77777777" w:rsidR="0090121B" w:rsidRPr="00DF42E8" w:rsidRDefault="0090121B" w:rsidP="0090121B">
            <w:pPr>
              <w:spacing w:before="0" w:line="240" w:lineRule="atLeast"/>
              <w:rPr>
                <w:rFonts w:ascii="Verdana" w:hAnsi="Verdana"/>
                <w:sz w:val="20"/>
              </w:rPr>
            </w:pPr>
          </w:p>
        </w:tc>
      </w:tr>
      <w:tr w:rsidR="0090121B" w:rsidRPr="00DF42E8" w14:paraId="4810E279" w14:textId="77777777" w:rsidTr="0090121B">
        <w:trPr>
          <w:cantSplit/>
        </w:trPr>
        <w:tc>
          <w:tcPr>
            <w:tcW w:w="6911" w:type="dxa"/>
          </w:tcPr>
          <w:p w14:paraId="52CBE292" w14:textId="77777777" w:rsidR="0090121B" w:rsidRPr="00DF42E8" w:rsidRDefault="001E7D42" w:rsidP="00EA77F0">
            <w:pPr>
              <w:pStyle w:val="Committee"/>
              <w:framePr w:hSpace="0" w:wrap="auto" w:hAnchor="text" w:yAlign="inline"/>
              <w:rPr>
                <w:sz w:val="18"/>
                <w:szCs w:val="18"/>
                <w:lang w:val="es-ES_tradnl"/>
              </w:rPr>
            </w:pPr>
            <w:r w:rsidRPr="00DF42E8">
              <w:rPr>
                <w:sz w:val="18"/>
                <w:szCs w:val="18"/>
                <w:lang w:val="es-ES_tradnl"/>
              </w:rPr>
              <w:t>SESIÓN PLENARIA</w:t>
            </w:r>
          </w:p>
        </w:tc>
        <w:tc>
          <w:tcPr>
            <w:tcW w:w="3120" w:type="dxa"/>
          </w:tcPr>
          <w:p w14:paraId="72BFEDC0" w14:textId="77777777" w:rsidR="0090121B" w:rsidRPr="00DF42E8" w:rsidRDefault="00AE658F" w:rsidP="0045384C">
            <w:pPr>
              <w:spacing w:before="0"/>
              <w:rPr>
                <w:rFonts w:ascii="Verdana" w:hAnsi="Verdana"/>
                <w:sz w:val="18"/>
                <w:szCs w:val="18"/>
              </w:rPr>
            </w:pPr>
            <w:proofErr w:type="spellStart"/>
            <w:r w:rsidRPr="00DF42E8">
              <w:rPr>
                <w:rFonts w:ascii="Verdana" w:hAnsi="Verdana"/>
                <w:b/>
                <w:sz w:val="18"/>
                <w:szCs w:val="18"/>
              </w:rPr>
              <w:t>Addéndum</w:t>
            </w:r>
            <w:proofErr w:type="spellEnd"/>
            <w:r w:rsidRPr="00DF42E8">
              <w:rPr>
                <w:rFonts w:ascii="Verdana" w:hAnsi="Verdana"/>
                <w:b/>
                <w:sz w:val="18"/>
                <w:szCs w:val="18"/>
              </w:rPr>
              <w:t xml:space="preserve"> 2 al</w:t>
            </w:r>
            <w:r w:rsidRPr="00DF42E8">
              <w:rPr>
                <w:rFonts w:ascii="Verdana" w:hAnsi="Verdana"/>
                <w:b/>
                <w:sz w:val="18"/>
                <w:szCs w:val="18"/>
              </w:rPr>
              <w:br/>
              <w:t>Documento 80(</w:t>
            </w:r>
            <w:proofErr w:type="spellStart"/>
            <w:r w:rsidRPr="00DF42E8">
              <w:rPr>
                <w:rFonts w:ascii="Verdana" w:hAnsi="Verdana"/>
                <w:b/>
                <w:sz w:val="18"/>
                <w:szCs w:val="18"/>
              </w:rPr>
              <w:t>Add.13</w:t>
            </w:r>
            <w:proofErr w:type="spellEnd"/>
            <w:r w:rsidRPr="00DF42E8">
              <w:rPr>
                <w:rFonts w:ascii="Verdana" w:hAnsi="Verdana"/>
                <w:b/>
                <w:sz w:val="18"/>
                <w:szCs w:val="18"/>
              </w:rPr>
              <w:t>)</w:t>
            </w:r>
            <w:r w:rsidR="0090121B" w:rsidRPr="00DF42E8">
              <w:rPr>
                <w:rFonts w:ascii="Verdana" w:hAnsi="Verdana"/>
                <w:b/>
                <w:sz w:val="18"/>
                <w:szCs w:val="18"/>
              </w:rPr>
              <w:t>-</w:t>
            </w:r>
            <w:r w:rsidRPr="00DF42E8">
              <w:rPr>
                <w:rFonts w:ascii="Verdana" w:hAnsi="Verdana"/>
                <w:b/>
                <w:sz w:val="18"/>
                <w:szCs w:val="18"/>
              </w:rPr>
              <w:t>S</w:t>
            </w:r>
          </w:p>
        </w:tc>
      </w:tr>
      <w:bookmarkEnd w:id="0"/>
      <w:tr w:rsidR="000A5B9A" w:rsidRPr="00DF42E8" w14:paraId="175BC3AE" w14:textId="77777777" w:rsidTr="0090121B">
        <w:trPr>
          <w:cantSplit/>
        </w:trPr>
        <w:tc>
          <w:tcPr>
            <w:tcW w:w="6911" w:type="dxa"/>
          </w:tcPr>
          <w:p w14:paraId="4ACD2262" w14:textId="77777777" w:rsidR="000A5B9A" w:rsidRPr="00DF42E8" w:rsidRDefault="000A5B9A" w:rsidP="0045384C">
            <w:pPr>
              <w:spacing w:before="0" w:after="48"/>
              <w:rPr>
                <w:rFonts w:ascii="Verdana" w:hAnsi="Verdana"/>
                <w:b/>
                <w:smallCaps/>
                <w:sz w:val="18"/>
                <w:szCs w:val="18"/>
              </w:rPr>
            </w:pPr>
          </w:p>
        </w:tc>
        <w:tc>
          <w:tcPr>
            <w:tcW w:w="3120" w:type="dxa"/>
          </w:tcPr>
          <w:p w14:paraId="3AACEF0E" w14:textId="77777777" w:rsidR="000A5B9A" w:rsidRPr="00DF42E8" w:rsidRDefault="000A5B9A" w:rsidP="0045384C">
            <w:pPr>
              <w:spacing w:before="0"/>
              <w:rPr>
                <w:rFonts w:ascii="Verdana" w:hAnsi="Verdana"/>
                <w:b/>
                <w:sz w:val="18"/>
                <w:szCs w:val="18"/>
              </w:rPr>
            </w:pPr>
            <w:r w:rsidRPr="00DF42E8">
              <w:rPr>
                <w:rFonts w:ascii="Verdana" w:hAnsi="Verdana"/>
                <w:b/>
                <w:sz w:val="18"/>
                <w:szCs w:val="18"/>
              </w:rPr>
              <w:t>7 de octubre de 2019</w:t>
            </w:r>
          </w:p>
        </w:tc>
      </w:tr>
      <w:tr w:rsidR="000A5B9A" w:rsidRPr="00DF42E8" w14:paraId="58FEDB25" w14:textId="77777777" w:rsidTr="0090121B">
        <w:trPr>
          <w:cantSplit/>
        </w:trPr>
        <w:tc>
          <w:tcPr>
            <w:tcW w:w="6911" w:type="dxa"/>
          </w:tcPr>
          <w:p w14:paraId="366EAAA6" w14:textId="77777777" w:rsidR="000A5B9A" w:rsidRPr="00DF42E8" w:rsidRDefault="000A5B9A" w:rsidP="0045384C">
            <w:pPr>
              <w:spacing w:before="0" w:after="48"/>
              <w:rPr>
                <w:rFonts w:ascii="Verdana" w:hAnsi="Verdana"/>
                <w:b/>
                <w:smallCaps/>
                <w:sz w:val="18"/>
                <w:szCs w:val="18"/>
              </w:rPr>
            </w:pPr>
          </w:p>
        </w:tc>
        <w:tc>
          <w:tcPr>
            <w:tcW w:w="3120" w:type="dxa"/>
          </w:tcPr>
          <w:p w14:paraId="4E95843C" w14:textId="77777777" w:rsidR="000A5B9A" w:rsidRPr="00DF42E8" w:rsidRDefault="000A5B9A" w:rsidP="0045384C">
            <w:pPr>
              <w:spacing w:before="0"/>
              <w:rPr>
                <w:rFonts w:ascii="Verdana" w:hAnsi="Verdana"/>
                <w:b/>
                <w:sz w:val="18"/>
                <w:szCs w:val="18"/>
              </w:rPr>
            </w:pPr>
            <w:r w:rsidRPr="00DF42E8">
              <w:rPr>
                <w:rFonts w:ascii="Verdana" w:hAnsi="Verdana"/>
                <w:b/>
                <w:sz w:val="18"/>
                <w:szCs w:val="18"/>
              </w:rPr>
              <w:t>Original: inglés</w:t>
            </w:r>
          </w:p>
        </w:tc>
      </w:tr>
      <w:tr w:rsidR="000A5B9A" w:rsidRPr="00DF42E8" w14:paraId="1AC66639" w14:textId="77777777" w:rsidTr="006744FC">
        <w:trPr>
          <w:cantSplit/>
        </w:trPr>
        <w:tc>
          <w:tcPr>
            <w:tcW w:w="10031" w:type="dxa"/>
            <w:gridSpan w:val="2"/>
          </w:tcPr>
          <w:p w14:paraId="442A031E" w14:textId="77777777" w:rsidR="000A5B9A" w:rsidRPr="00DF42E8" w:rsidRDefault="000A5B9A" w:rsidP="0045384C">
            <w:pPr>
              <w:spacing w:before="0"/>
              <w:rPr>
                <w:rFonts w:ascii="Verdana" w:hAnsi="Verdana"/>
                <w:b/>
                <w:sz w:val="18"/>
                <w:szCs w:val="22"/>
              </w:rPr>
            </w:pPr>
          </w:p>
        </w:tc>
      </w:tr>
      <w:tr w:rsidR="000A5B9A" w:rsidRPr="00DF42E8" w14:paraId="36354928" w14:textId="77777777" w:rsidTr="0050008E">
        <w:trPr>
          <w:cantSplit/>
        </w:trPr>
        <w:tc>
          <w:tcPr>
            <w:tcW w:w="10031" w:type="dxa"/>
            <w:gridSpan w:val="2"/>
          </w:tcPr>
          <w:p w14:paraId="484C67C2" w14:textId="77777777" w:rsidR="000A5B9A" w:rsidRPr="00DF42E8" w:rsidRDefault="000A5B9A" w:rsidP="000A5B9A">
            <w:pPr>
              <w:pStyle w:val="Source"/>
            </w:pPr>
            <w:bookmarkStart w:id="1" w:name="dsource" w:colFirst="0" w:colLast="0"/>
            <w:r w:rsidRPr="00DF42E8">
              <w:t>Japón</w:t>
            </w:r>
          </w:p>
        </w:tc>
      </w:tr>
      <w:tr w:rsidR="000A5B9A" w:rsidRPr="00DF42E8" w14:paraId="179FBB24" w14:textId="77777777" w:rsidTr="0050008E">
        <w:trPr>
          <w:cantSplit/>
        </w:trPr>
        <w:tc>
          <w:tcPr>
            <w:tcW w:w="10031" w:type="dxa"/>
            <w:gridSpan w:val="2"/>
          </w:tcPr>
          <w:p w14:paraId="3544488B" w14:textId="77777777" w:rsidR="000A5B9A" w:rsidRPr="00DF42E8" w:rsidRDefault="000A5B9A" w:rsidP="000A5B9A">
            <w:pPr>
              <w:pStyle w:val="Title1"/>
            </w:pPr>
            <w:bookmarkStart w:id="2" w:name="dtitle1" w:colFirst="0" w:colLast="0"/>
            <w:bookmarkEnd w:id="1"/>
            <w:r w:rsidRPr="00DF42E8">
              <w:t>Propuestas para los trabajos de la Conferencia</w:t>
            </w:r>
          </w:p>
        </w:tc>
      </w:tr>
      <w:tr w:rsidR="000A5B9A" w:rsidRPr="00DF42E8" w14:paraId="1DE32E17" w14:textId="77777777" w:rsidTr="0050008E">
        <w:trPr>
          <w:cantSplit/>
        </w:trPr>
        <w:tc>
          <w:tcPr>
            <w:tcW w:w="10031" w:type="dxa"/>
            <w:gridSpan w:val="2"/>
          </w:tcPr>
          <w:p w14:paraId="65DB01DB" w14:textId="77777777" w:rsidR="000A5B9A" w:rsidRPr="00DF42E8" w:rsidRDefault="000A5B9A" w:rsidP="000A5B9A">
            <w:pPr>
              <w:pStyle w:val="Title2"/>
            </w:pPr>
            <w:bookmarkStart w:id="3" w:name="dtitle2" w:colFirst="0" w:colLast="0"/>
            <w:bookmarkEnd w:id="2"/>
          </w:p>
        </w:tc>
      </w:tr>
      <w:tr w:rsidR="000A5B9A" w:rsidRPr="00DF42E8" w14:paraId="58BD81F6" w14:textId="77777777" w:rsidTr="0050008E">
        <w:trPr>
          <w:cantSplit/>
        </w:trPr>
        <w:tc>
          <w:tcPr>
            <w:tcW w:w="10031" w:type="dxa"/>
            <w:gridSpan w:val="2"/>
          </w:tcPr>
          <w:p w14:paraId="2F6BE1AD" w14:textId="77777777" w:rsidR="000A5B9A" w:rsidRPr="00DF42E8" w:rsidRDefault="000A5B9A" w:rsidP="000A5B9A">
            <w:pPr>
              <w:pStyle w:val="Agendaitem"/>
            </w:pPr>
            <w:bookmarkStart w:id="4" w:name="dtitle3" w:colFirst="0" w:colLast="0"/>
            <w:bookmarkEnd w:id="3"/>
            <w:r w:rsidRPr="00DF42E8">
              <w:t>Punto 1.13 del orden del día</w:t>
            </w:r>
          </w:p>
        </w:tc>
      </w:tr>
    </w:tbl>
    <w:bookmarkEnd w:id="4"/>
    <w:p w14:paraId="792FAB95" w14:textId="77777777" w:rsidR="001C0E40" w:rsidRPr="00DF42E8" w:rsidRDefault="0011502D" w:rsidP="00403155">
      <w:r w:rsidRPr="00DF42E8">
        <w:t>1.13</w:t>
      </w:r>
      <w:r w:rsidRPr="00DF42E8">
        <w:tab/>
        <w:t xml:space="preserve">considerar la identificación de bandas de frecuencias para el futuro despliegue de las Telecomunicaciones Móviles Internacionales </w:t>
      </w:r>
      <w:r w:rsidRPr="00DF42E8">
        <w:rPr>
          <w:lang w:eastAsia="ja-JP"/>
        </w:rPr>
        <w:t>(</w:t>
      </w:r>
      <w:r w:rsidRPr="00DF42E8">
        <w:t>IMT</w:t>
      </w:r>
      <w:r w:rsidRPr="00DF42E8">
        <w:rPr>
          <w:lang w:eastAsia="ko-KR"/>
        </w:rPr>
        <w:t>)</w:t>
      </w:r>
      <w:r w:rsidRPr="00DF42E8">
        <w:t>, incluidas posibles atribuciones adicionales al servicio móvil a título primario, de conformidad con la Resolución </w:t>
      </w:r>
      <w:r w:rsidRPr="00DF42E8">
        <w:rPr>
          <w:rFonts w:eastAsia="SimSun"/>
          <w:b/>
          <w:szCs w:val="24"/>
          <w:lang w:eastAsia="zh-CN"/>
        </w:rPr>
        <w:t>238 (</w:t>
      </w:r>
      <w:proofErr w:type="spellStart"/>
      <w:r w:rsidRPr="00DF42E8">
        <w:rPr>
          <w:rFonts w:eastAsia="SimSun"/>
          <w:b/>
          <w:szCs w:val="24"/>
          <w:lang w:eastAsia="zh-CN"/>
        </w:rPr>
        <w:t>CMR</w:t>
      </w:r>
      <w:proofErr w:type="spellEnd"/>
      <w:r w:rsidRPr="00DF42E8">
        <w:rPr>
          <w:rFonts w:eastAsia="SimSun"/>
          <w:b/>
          <w:szCs w:val="24"/>
          <w:lang w:eastAsia="zh-CN"/>
        </w:rPr>
        <w:t>-15)</w:t>
      </w:r>
      <w:r w:rsidRPr="00DF42E8">
        <w:rPr>
          <w:rFonts w:eastAsia="SimSun"/>
          <w:szCs w:val="24"/>
          <w:lang w:eastAsia="zh-CN"/>
        </w:rPr>
        <w:t>;</w:t>
      </w:r>
    </w:p>
    <w:p w14:paraId="3B585D61" w14:textId="7BC840F6" w:rsidR="0023506D" w:rsidRPr="00DF42E8" w:rsidRDefault="00280B22" w:rsidP="00403155">
      <w:pPr>
        <w:pStyle w:val="Headingb"/>
      </w:pPr>
      <w:r w:rsidRPr="00DF42E8">
        <w:t>Introducción</w:t>
      </w:r>
    </w:p>
    <w:p w14:paraId="568001D6" w14:textId="5A31CFEB" w:rsidR="00280B22" w:rsidRPr="00DF42E8" w:rsidRDefault="00280B22" w:rsidP="00403155">
      <w:r w:rsidRPr="00DF42E8">
        <w:t>En el presente documento se exponen las propuestas de Japón para las bandas de frecuencias 37</w:t>
      </w:r>
      <w:r w:rsidR="009B6F47">
        <w:noBreakHyphen/>
      </w:r>
      <w:r w:rsidRPr="00DF42E8">
        <w:t>40,5 GHz, 40,5-42,5 GHz y 42,5-43,5 GHz, en el marco del punto 1.13 del orden del día de la</w:t>
      </w:r>
      <w:r w:rsidR="001D7039">
        <w:t> </w:t>
      </w:r>
      <w:proofErr w:type="spellStart"/>
      <w:r w:rsidRPr="00DF42E8">
        <w:t>CMR</w:t>
      </w:r>
      <w:proofErr w:type="spellEnd"/>
      <w:r w:rsidRPr="00DF42E8">
        <w:t>-19.</w:t>
      </w:r>
    </w:p>
    <w:p w14:paraId="07D3425E" w14:textId="52941856" w:rsidR="00280B22" w:rsidRPr="00DF42E8" w:rsidRDefault="00280B22" w:rsidP="00403155">
      <w:pPr>
        <w:pStyle w:val="Headingb"/>
      </w:pPr>
      <w:r w:rsidRPr="00DF42E8">
        <w:t>Propuestas</w:t>
      </w:r>
    </w:p>
    <w:p w14:paraId="0B913AED" w14:textId="54F78CF3" w:rsidR="00280B22" w:rsidRPr="00DF42E8" w:rsidRDefault="00280B22" w:rsidP="00403155">
      <w:r w:rsidRPr="00DF42E8">
        <w:t xml:space="preserve">Japón apoya las propuestas comunes presentadas por la </w:t>
      </w:r>
      <w:proofErr w:type="spellStart"/>
      <w:r w:rsidRPr="00DF42E8">
        <w:t>APT</w:t>
      </w:r>
      <w:proofErr w:type="spellEnd"/>
      <w:r w:rsidRPr="00DF42E8">
        <w:t xml:space="preserve"> para las bandas de frecuencias 37</w:t>
      </w:r>
      <w:r w:rsidR="009B6F47">
        <w:noBreakHyphen/>
      </w:r>
      <w:r w:rsidRPr="00DF42E8">
        <w:t xml:space="preserve">40,5, 40,5-42,5 y 42,5-43,5 GHz en el marco del punto 1.13 del orden del día de la </w:t>
      </w:r>
      <w:proofErr w:type="spellStart"/>
      <w:r w:rsidRPr="00DF42E8">
        <w:t>CMR</w:t>
      </w:r>
      <w:proofErr w:type="spellEnd"/>
      <w:r w:rsidRPr="00DF42E8">
        <w:t xml:space="preserve">-19, es decir, la identificación de la banda de frecuencias 37-43,5 GHz, o partes de la misma, para las IMT a escala mundial a través de los métodos </w:t>
      </w:r>
      <w:proofErr w:type="spellStart"/>
      <w:r w:rsidRPr="00DF42E8">
        <w:t>C2</w:t>
      </w:r>
      <w:proofErr w:type="spellEnd"/>
      <w:r w:rsidRPr="00DF42E8">
        <w:t xml:space="preserve">, </w:t>
      </w:r>
      <w:proofErr w:type="spellStart"/>
      <w:r w:rsidRPr="00DF42E8">
        <w:t>D2</w:t>
      </w:r>
      <w:proofErr w:type="spellEnd"/>
      <w:r w:rsidRPr="00DF42E8">
        <w:t xml:space="preserve"> y </w:t>
      </w:r>
      <w:proofErr w:type="spellStart"/>
      <w:r w:rsidRPr="00DF42E8">
        <w:t>E2</w:t>
      </w:r>
      <w:proofErr w:type="spellEnd"/>
      <w:r w:rsidRPr="00DF42E8">
        <w:t xml:space="preserve">, con la </w:t>
      </w:r>
      <w:r w:rsidR="00BA1F59" w:rsidRPr="00DF42E8">
        <w:t xml:space="preserve">Alternativa </w:t>
      </w:r>
      <w:r w:rsidRPr="00DF42E8">
        <w:t>2</w:t>
      </w:r>
      <w:r w:rsidR="00BA1F59" w:rsidRPr="00DF42E8">
        <w:t>,</w:t>
      </w:r>
      <w:r w:rsidRPr="00DF42E8">
        <w:t xml:space="preserve"> del Informe de la RPC, junto con una nueva Resolución de la </w:t>
      </w:r>
      <w:proofErr w:type="spellStart"/>
      <w:r w:rsidRPr="00DF42E8">
        <w:t>CMR</w:t>
      </w:r>
      <w:proofErr w:type="spellEnd"/>
      <w:r w:rsidRPr="00DF42E8">
        <w:t>.</w:t>
      </w:r>
    </w:p>
    <w:p w14:paraId="34D65E94" w14:textId="39B6EA6B" w:rsidR="00363A65" w:rsidRPr="00DF42E8" w:rsidRDefault="00280B22" w:rsidP="00403155">
      <w:r w:rsidRPr="00DF42E8">
        <w:t xml:space="preserve">A fin de complementar estas propuestas comunes de la </w:t>
      </w:r>
      <w:proofErr w:type="spellStart"/>
      <w:r w:rsidRPr="00DF42E8">
        <w:t>APT</w:t>
      </w:r>
      <w:proofErr w:type="spellEnd"/>
      <w:r w:rsidRPr="00DF42E8">
        <w:t xml:space="preserve">, Japón propone las disposiciones adicionales </w:t>
      </w:r>
      <w:r w:rsidRPr="00DF42E8">
        <w:rPr>
          <w:i/>
          <w:iCs/>
        </w:rPr>
        <w:t xml:space="preserve">infra </w:t>
      </w:r>
      <w:r w:rsidRPr="00DF42E8">
        <w:t>para la nueva Resoluci</w:t>
      </w:r>
      <w:r w:rsidR="00BA1F59" w:rsidRPr="00DF42E8">
        <w:t>ón</w:t>
      </w:r>
      <w:r w:rsidRPr="00DF42E8">
        <w:t xml:space="preserve"> de la </w:t>
      </w:r>
      <w:proofErr w:type="spellStart"/>
      <w:r w:rsidRPr="00DF42E8">
        <w:t>CMR</w:t>
      </w:r>
      <w:proofErr w:type="spellEnd"/>
      <w:r w:rsidRPr="00DF42E8">
        <w:t>.</w:t>
      </w:r>
    </w:p>
    <w:p w14:paraId="1EF71987" w14:textId="77777777" w:rsidR="008750A8" w:rsidRPr="00DF42E8" w:rsidRDefault="008750A8" w:rsidP="00403155">
      <w:pPr>
        <w:tabs>
          <w:tab w:val="clear" w:pos="1134"/>
          <w:tab w:val="clear" w:pos="1871"/>
          <w:tab w:val="clear" w:pos="2268"/>
        </w:tabs>
        <w:overflowPunct/>
        <w:autoSpaceDE/>
        <w:autoSpaceDN/>
        <w:adjustRightInd/>
        <w:spacing w:before="0"/>
        <w:textAlignment w:val="auto"/>
      </w:pPr>
      <w:r w:rsidRPr="00DF42E8">
        <w:br w:type="page"/>
      </w:r>
    </w:p>
    <w:p w14:paraId="089B07A5" w14:textId="77777777" w:rsidR="00C1159C" w:rsidRPr="00DF42E8" w:rsidRDefault="0011502D" w:rsidP="00403155">
      <w:pPr>
        <w:pStyle w:val="Proposal"/>
      </w:pPr>
      <w:proofErr w:type="spellStart"/>
      <w:r w:rsidRPr="00DF42E8">
        <w:lastRenderedPageBreak/>
        <w:t>ADD</w:t>
      </w:r>
      <w:proofErr w:type="spellEnd"/>
      <w:r w:rsidRPr="00DF42E8">
        <w:tab/>
        <w:t>J/</w:t>
      </w:r>
      <w:proofErr w:type="spellStart"/>
      <w:r w:rsidRPr="00DF42E8">
        <w:t>80A13A2</w:t>
      </w:r>
      <w:proofErr w:type="spellEnd"/>
      <w:r w:rsidRPr="00DF42E8">
        <w:t>/1</w:t>
      </w:r>
      <w:r w:rsidRPr="00DF42E8">
        <w:rPr>
          <w:vanish/>
          <w:color w:val="7F7F7F" w:themeColor="text1" w:themeTint="80"/>
          <w:vertAlign w:val="superscript"/>
        </w:rPr>
        <w:t>#49927</w:t>
      </w:r>
    </w:p>
    <w:p w14:paraId="3E80EFE0" w14:textId="50C22339" w:rsidR="00713E3A" w:rsidRPr="00DF42E8" w:rsidRDefault="0011502D" w:rsidP="00403155">
      <w:pPr>
        <w:pStyle w:val="ResNo"/>
      </w:pPr>
      <w:r w:rsidRPr="00DF42E8">
        <w:t xml:space="preserve">PROYECTO DE NUEVA RESOLUCIÓN </w:t>
      </w:r>
      <w:r w:rsidR="00415545" w:rsidRPr="00DF42E8">
        <w:br/>
      </w:r>
      <w:r w:rsidRPr="00DF42E8">
        <w:t>[J-</w:t>
      </w:r>
      <w:proofErr w:type="spellStart"/>
      <w:r w:rsidRPr="00DF42E8">
        <w:t>B113</w:t>
      </w:r>
      <w:proofErr w:type="spellEnd"/>
      <w:r w:rsidRPr="00DF42E8">
        <w:t>-IMT 40/50 GHZ] (</w:t>
      </w:r>
      <w:proofErr w:type="spellStart"/>
      <w:r w:rsidRPr="00DF42E8">
        <w:t>CMR</w:t>
      </w:r>
      <w:proofErr w:type="spellEnd"/>
      <w:r w:rsidRPr="00DF42E8">
        <w:t>-19)</w:t>
      </w:r>
    </w:p>
    <w:p w14:paraId="737F4149" w14:textId="1AB5EFED" w:rsidR="00713E3A" w:rsidRPr="00DF42E8" w:rsidRDefault="0011502D" w:rsidP="00403155">
      <w:pPr>
        <w:pStyle w:val="Restitle"/>
        <w:rPr>
          <w:lang w:eastAsia="ja-JP"/>
        </w:rPr>
      </w:pPr>
      <w:r w:rsidRPr="00DF42E8">
        <w:rPr>
          <w:lang w:eastAsia="ja-JP"/>
        </w:rPr>
        <w:t xml:space="preserve">Telecomunicaciones móviles internacionales </w:t>
      </w:r>
      <w:r w:rsidR="00415545" w:rsidRPr="00DF42E8">
        <w:rPr>
          <w:lang w:eastAsia="ja-JP"/>
        </w:rPr>
        <w:br/>
      </w:r>
      <w:r w:rsidRPr="00DF42E8">
        <w:rPr>
          <w:lang w:eastAsia="ja-JP"/>
        </w:rPr>
        <w:t>en la banda de frecuencias 37</w:t>
      </w:r>
      <w:r w:rsidRPr="00DF42E8">
        <w:rPr>
          <w:lang w:eastAsia="ja-JP"/>
        </w:rPr>
        <w:noBreakHyphen/>
        <w:t>43,5 GHz</w:t>
      </w:r>
    </w:p>
    <w:p w14:paraId="73F87059" w14:textId="77777777" w:rsidR="00713E3A" w:rsidRPr="00DF42E8" w:rsidRDefault="0011502D" w:rsidP="00403155">
      <w:pPr>
        <w:pStyle w:val="Normalaftertitle0"/>
        <w:rPr>
          <w:lang w:eastAsia="nl-NL"/>
        </w:rPr>
      </w:pPr>
      <w:r w:rsidRPr="00DF42E8">
        <w:rPr>
          <w:lang w:eastAsia="nl-NL"/>
        </w:rPr>
        <w:t>La Conferencia Mundial de Radiocomunicaciones (Sharm el-</w:t>
      </w:r>
      <w:proofErr w:type="spellStart"/>
      <w:r w:rsidRPr="00DF42E8">
        <w:rPr>
          <w:lang w:eastAsia="nl-NL"/>
        </w:rPr>
        <w:t>Sheikh</w:t>
      </w:r>
      <w:proofErr w:type="spellEnd"/>
      <w:r w:rsidRPr="00DF42E8">
        <w:rPr>
          <w:lang w:eastAsia="nl-NL"/>
        </w:rPr>
        <w:t>, 2019),</w:t>
      </w:r>
    </w:p>
    <w:p w14:paraId="1CFAF6A7" w14:textId="77777777" w:rsidR="00713E3A" w:rsidRPr="00DF42E8" w:rsidRDefault="0011502D" w:rsidP="00403155">
      <w:pPr>
        <w:pStyle w:val="Call"/>
        <w:rPr>
          <w:lang w:eastAsia="ja-JP"/>
        </w:rPr>
      </w:pPr>
      <w:r w:rsidRPr="00DF42E8">
        <w:t>considerando</w:t>
      </w:r>
    </w:p>
    <w:p w14:paraId="6F8D90C7" w14:textId="6E74D28A" w:rsidR="0023506D" w:rsidRPr="00DF42E8" w:rsidRDefault="0023506D" w:rsidP="00403155">
      <w:pPr>
        <w:rPr>
          <w:i/>
          <w:iCs/>
          <w:lang w:eastAsia="ja-JP"/>
        </w:rPr>
      </w:pPr>
      <w:r w:rsidRPr="00DF42E8">
        <w:rPr>
          <w:i/>
          <w:iCs/>
          <w:lang w:eastAsia="ja-JP"/>
        </w:rPr>
        <w:t>...</w:t>
      </w:r>
    </w:p>
    <w:p w14:paraId="047B1B48" w14:textId="5D8F5EDA" w:rsidR="00713E3A" w:rsidRPr="00DF42E8" w:rsidRDefault="0023506D" w:rsidP="00403155">
      <w:pPr>
        <w:rPr>
          <w:lang w:eastAsia="ja-JP"/>
        </w:rPr>
      </w:pPr>
      <w:r w:rsidRPr="00DF42E8">
        <w:rPr>
          <w:i/>
          <w:iCs/>
          <w:lang w:eastAsia="ja-JP"/>
        </w:rPr>
        <w:t>j</w:t>
      </w:r>
      <w:r w:rsidR="0011502D" w:rsidRPr="00DF42E8">
        <w:rPr>
          <w:i/>
          <w:iCs/>
        </w:rPr>
        <w:t>)</w:t>
      </w:r>
      <w:r w:rsidR="0011502D" w:rsidRPr="00DF42E8">
        <w:tab/>
        <w:t xml:space="preserve">que, en el marco de los preparativos de la </w:t>
      </w:r>
      <w:proofErr w:type="spellStart"/>
      <w:r w:rsidR="0011502D" w:rsidRPr="00DF42E8">
        <w:t>CMR</w:t>
      </w:r>
      <w:proofErr w:type="spellEnd"/>
      <w:r w:rsidR="0011502D" w:rsidRPr="00DF42E8">
        <w:t>-19, el UIT-R ha estudiado la compartición y la compatibilidad con los servicios a que está atribuida la banda de frecuencias</w:t>
      </w:r>
      <w:r w:rsidR="0011502D" w:rsidRPr="00DF42E8">
        <w:rPr>
          <w:lang w:eastAsia="ja-JP"/>
        </w:rPr>
        <w:t xml:space="preserve"> 37</w:t>
      </w:r>
      <w:r w:rsidR="00B61F97">
        <w:rPr>
          <w:lang w:eastAsia="ja-JP"/>
        </w:rPr>
        <w:noBreakHyphen/>
      </w:r>
      <w:r w:rsidR="0011502D" w:rsidRPr="00DF42E8">
        <w:rPr>
          <w:lang w:eastAsia="ja-JP"/>
        </w:rPr>
        <w:t xml:space="preserve">43,5 GHz y </w:t>
      </w:r>
      <w:r w:rsidR="001C7D2D" w:rsidRPr="00DF42E8">
        <w:rPr>
          <w:lang w:eastAsia="ja-JP"/>
        </w:rPr>
        <w:t>su</w:t>
      </w:r>
      <w:r w:rsidR="0011502D" w:rsidRPr="00DF42E8">
        <w:rPr>
          <w:lang w:eastAsia="ja-JP"/>
        </w:rPr>
        <w:t xml:space="preserve"> banda adyacente, basándose en las características disponibles en ese momento</w:t>
      </w:r>
      <w:r w:rsidR="0011502D" w:rsidRPr="00DF42E8">
        <w:t>;</w:t>
      </w:r>
    </w:p>
    <w:p w14:paraId="55C8C1D1" w14:textId="22E66249" w:rsidR="00713E3A" w:rsidRPr="00DF42E8" w:rsidRDefault="0023506D" w:rsidP="00403155">
      <w:pPr>
        <w:rPr>
          <w:i/>
          <w:iCs/>
          <w:lang w:eastAsia="ja-JP"/>
        </w:rPr>
      </w:pPr>
      <w:r w:rsidRPr="00DF42E8">
        <w:rPr>
          <w:i/>
          <w:iCs/>
          <w:lang w:eastAsia="ja-JP"/>
        </w:rPr>
        <w:t>k</w:t>
      </w:r>
      <w:r w:rsidR="0011502D" w:rsidRPr="00DF42E8">
        <w:rPr>
          <w:i/>
          <w:iCs/>
          <w:lang w:eastAsia="nl-NL"/>
        </w:rPr>
        <w:t>)</w:t>
      </w:r>
      <w:r w:rsidR="0011502D" w:rsidRPr="00DF42E8">
        <w:rPr>
          <w:lang w:eastAsia="nl-NL"/>
        </w:rPr>
        <w:tab/>
        <w:t>que los resultados de los estudios de compatibilidad de los sistemas IMT-2020 realizados por el UIT-R son probabilísticos y que, por consiguiente, los parámetros de implantación de los sistemas IMT-2020 que atañen a la compatibilidad con los receptores de satélite podrán variar cuando se implanten y desplieguen efectivamente las redes IMT-2020;</w:t>
      </w:r>
    </w:p>
    <w:p w14:paraId="64A89FB2" w14:textId="60A86BF5" w:rsidR="00713E3A" w:rsidRPr="00DF42E8" w:rsidRDefault="0023506D" w:rsidP="00403155">
      <w:r w:rsidRPr="00DF42E8">
        <w:rPr>
          <w:i/>
          <w:iCs/>
        </w:rPr>
        <w:t>l</w:t>
      </w:r>
      <w:r w:rsidR="0011502D" w:rsidRPr="00DF42E8">
        <w:rPr>
          <w:i/>
          <w:iCs/>
        </w:rPr>
        <w:t>)</w:t>
      </w:r>
      <w:r w:rsidR="0011502D" w:rsidRPr="00DF42E8">
        <w:tab/>
        <w:t>que la elevación de apuntamiento del haz principal (eléctrico y mecánico) de las estaciones base en exteriores debe normalmente situarse por debajo del horizonte;</w:t>
      </w:r>
    </w:p>
    <w:p w14:paraId="7FBCCDC9" w14:textId="61B4CDB6" w:rsidR="00713E3A" w:rsidRPr="00DF42E8" w:rsidRDefault="0023506D" w:rsidP="00403155">
      <w:r w:rsidRPr="00DF42E8">
        <w:rPr>
          <w:i/>
          <w:iCs/>
        </w:rPr>
        <w:t>m</w:t>
      </w:r>
      <w:r w:rsidR="0011502D" w:rsidRPr="00DF42E8">
        <w:rPr>
          <w:i/>
          <w:iCs/>
        </w:rPr>
        <w:t>)</w:t>
      </w:r>
      <w:r w:rsidR="0011502D" w:rsidRPr="00DF42E8">
        <w:tab/>
        <w:t>que en los estudios de compartición se supone que la cobertura de puntos de acceso en exteriores se logrará con el despliegue de estaciones base comunicantes con los terminales en tierra y un número muy limitado de terminales en interiores con elevación positiva, por lo que la elevación del haz principal de las estaciones base en exteriores se situará normalmente por debajo del horizonte y ofrecerá, por tanto, una alta discriminación hacia los satélites</w:t>
      </w:r>
      <w:r w:rsidRPr="00DF42E8">
        <w:t>,</w:t>
      </w:r>
    </w:p>
    <w:p w14:paraId="6183AEC9" w14:textId="1C1D7FA6" w:rsidR="0023506D" w:rsidRPr="00DF42E8" w:rsidRDefault="0023506D" w:rsidP="00403155">
      <w:pPr>
        <w:rPr>
          <w:rFonts w:eastAsia="???"/>
          <w:iCs/>
        </w:rPr>
      </w:pPr>
      <w:r w:rsidRPr="00DF42E8">
        <w:t>...</w:t>
      </w:r>
    </w:p>
    <w:p w14:paraId="7FD3F991" w14:textId="096CA520" w:rsidR="00713E3A" w:rsidRPr="00DF42E8" w:rsidRDefault="0011502D" w:rsidP="00403155">
      <w:pPr>
        <w:pStyle w:val="Call"/>
        <w:rPr>
          <w:rFonts w:eastAsia="???"/>
        </w:rPr>
      </w:pPr>
      <w:r w:rsidRPr="00DF42E8">
        <w:rPr>
          <w:rFonts w:eastAsia="???"/>
        </w:rPr>
        <w:t>reconociendo</w:t>
      </w:r>
    </w:p>
    <w:p w14:paraId="1DAF3344" w14:textId="5C082942" w:rsidR="00713E3A" w:rsidRPr="00DF42E8" w:rsidRDefault="0023506D" w:rsidP="00403155">
      <w:r w:rsidRPr="00DF42E8">
        <w:t>...</w:t>
      </w:r>
      <w:bookmarkStart w:id="5" w:name="_GoBack"/>
      <w:bookmarkEnd w:id="5"/>
    </w:p>
    <w:p w14:paraId="2F19D683" w14:textId="37B9AB89" w:rsidR="00475A0B" w:rsidRPr="00DF42E8" w:rsidRDefault="00475A0B" w:rsidP="00403155">
      <w:r w:rsidRPr="00DF42E8">
        <w:rPr>
          <w:i/>
          <w:iCs/>
        </w:rPr>
        <w:t>f)</w:t>
      </w:r>
      <w:r w:rsidRPr="00DF42E8">
        <w:rPr>
          <w:i/>
          <w:iCs/>
        </w:rPr>
        <w:tab/>
      </w:r>
      <w:r w:rsidR="00466C1F" w:rsidRPr="00DF42E8">
        <w:t xml:space="preserve">que el UIT-R ha demostrado la viabilidad de la compartición entre las IMT y el </w:t>
      </w:r>
      <w:proofErr w:type="spellStart"/>
      <w:r w:rsidR="00466C1F" w:rsidRPr="00DF42E8">
        <w:t>SFS</w:t>
      </w:r>
      <w:proofErr w:type="spellEnd"/>
      <w:r w:rsidR="00466C1F" w:rsidRPr="00DF42E8">
        <w:t xml:space="preserve"> (Tierra-espacio) en la banda de frecuencias 42,5-43,5 GHz a partir de un conjunto de parámetros de referencia, incluid</w:t>
      </w:r>
      <w:r w:rsidR="00CE6BE0" w:rsidRPr="00DF42E8">
        <w:t>a</w:t>
      </w:r>
      <w:r w:rsidR="00466C1F" w:rsidRPr="00DF42E8">
        <w:t xml:space="preserve"> un</w:t>
      </w:r>
      <w:r w:rsidR="00CE6BE0" w:rsidRPr="00DF42E8">
        <w:t xml:space="preserve">a </w:t>
      </w:r>
      <w:r w:rsidR="00466C1F" w:rsidRPr="00DF42E8">
        <w:t>densidad de implantación de estaciones base IMT de 1</w:t>
      </w:r>
      <w:r w:rsidR="00B9448B">
        <w:t> </w:t>
      </w:r>
      <w:r w:rsidR="00466C1F" w:rsidRPr="00DF42E8">
        <w:t>200 por 10</w:t>
      </w:r>
      <w:r w:rsidR="00B9448B">
        <w:t> </w:t>
      </w:r>
      <w:r w:rsidR="00466C1F" w:rsidRPr="00DF42E8">
        <w:t xml:space="preserve">000 </w:t>
      </w:r>
      <w:proofErr w:type="spellStart"/>
      <w:r w:rsidR="00466C1F" w:rsidRPr="00DF42E8">
        <w:t>km</w:t>
      </w:r>
      <w:r w:rsidR="00466C1F" w:rsidRPr="00DF42E8">
        <w:rPr>
          <w:vertAlign w:val="superscript"/>
        </w:rPr>
        <w:t>2</w:t>
      </w:r>
      <w:proofErr w:type="spellEnd"/>
      <w:r w:rsidRPr="00DF42E8">
        <w:t>,</w:t>
      </w:r>
    </w:p>
    <w:p w14:paraId="654E8660" w14:textId="77777777" w:rsidR="00713E3A" w:rsidRPr="00DF42E8" w:rsidRDefault="0011502D" w:rsidP="00403155">
      <w:pPr>
        <w:pStyle w:val="Call"/>
      </w:pPr>
      <w:r w:rsidRPr="00DF42E8">
        <w:t>resuelve</w:t>
      </w:r>
    </w:p>
    <w:p w14:paraId="5A7AE60C" w14:textId="7D19A0C6" w:rsidR="0011502D" w:rsidRPr="00DF42E8" w:rsidRDefault="0011502D" w:rsidP="00403155">
      <w:pPr>
        <w:rPr>
          <w:i/>
          <w:iCs/>
          <w:lang w:eastAsia="ja-JP"/>
        </w:rPr>
      </w:pPr>
      <w:r w:rsidRPr="00DF42E8">
        <w:rPr>
          <w:i/>
          <w:iCs/>
          <w:lang w:eastAsia="ja-JP"/>
        </w:rPr>
        <w:t>...</w:t>
      </w:r>
    </w:p>
    <w:p w14:paraId="3FAD39F5" w14:textId="27F4F7CB" w:rsidR="00713E3A" w:rsidRPr="00DF42E8" w:rsidRDefault="00475A0B" w:rsidP="00403155">
      <w:pPr>
        <w:rPr>
          <w:lang w:eastAsia="ja-JP"/>
        </w:rPr>
      </w:pPr>
      <w:r w:rsidRPr="00DF42E8">
        <w:rPr>
          <w:lang w:eastAsia="ja-JP"/>
        </w:rPr>
        <w:t>2</w:t>
      </w:r>
      <w:r w:rsidR="0011502D" w:rsidRPr="00DF42E8">
        <w:rPr>
          <w:lang w:eastAsia="ja-JP"/>
        </w:rPr>
        <w:tab/>
        <w:t xml:space="preserve">que las emisiones no deseadas de </w:t>
      </w:r>
      <w:r w:rsidR="00CE6BE0" w:rsidRPr="00DF42E8">
        <w:rPr>
          <w:lang w:eastAsia="ja-JP"/>
        </w:rPr>
        <w:t xml:space="preserve">las </w:t>
      </w:r>
      <w:r w:rsidR="0011502D" w:rsidRPr="00DF42E8">
        <w:rPr>
          <w:lang w:eastAsia="ja-JP"/>
        </w:rPr>
        <w:t>estaciones IMT puestas en servicio en las bandas de frecuencias y los servicios del Cuadro 1 que figura a continuación no rebasen los correspondientes límites indicados en dicho Cuadro, ateniéndose a las condiciones especificadas;</w:t>
      </w:r>
    </w:p>
    <w:p w14:paraId="739534E8" w14:textId="77777777" w:rsidR="00713E3A" w:rsidRPr="00DF42E8" w:rsidRDefault="0011502D" w:rsidP="00403155">
      <w:pPr>
        <w:pStyle w:val="TableNo"/>
        <w:rPr>
          <w:lang w:eastAsia="ja-JP"/>
        </w:rPr>
      </w:pPr>
      <w:r w:rsidRPr="00DF42E8">
        <w:lastRenderedPageBreak/>
        <w:t xml:space="preserve">CUADRO </w:t>
      </w:r>
      <w:r w:rsidRPr="00DF42E8">
        <w:rPr>
          <w:lang w:eastAsia="ja-JP"/>
        </w:rPr>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713E3A" w:rsidRPr="00DF42E8" w14:paraId="64612D31" w14:textId="77777777" w:rsidTr="004F2D3F">
        <w:trPr>
          <w:cantSplit/>
          <w:jc w:val="center"/>
        </w:trPr>
        <w:tc>
          <w:tcPr>
            <w:tcW w:w="1696" w:type="dxa"/>
            <w:vAlign w:val="center"/>
          </w:tcPr>
          <w:p w14:paraId="3E1B9E5E" w14:textId="77777777" w:rsidR="00713E3A" w:rsidRPr="00DF42E8" w:rsidRDefault="0011502D" w:rsidP="00403155">
            <w:pPr>
              <w:pStyle w:val="Tablehead"/>
              <w:rPr>
                <w:lang w:eastAsia="ja-JP"/>
              </w:rPr>
            </w:pPr>
            <w:r w:rsidRPr="00DF42E8">
              <w:rPr>
                <w:lang w:eastAsia="ja-JP"/>
              </w:rPr>
              <w:t>Banda atribuida al SETS (pasivo)</w:t>
            </w:r>
          </w:p>
        </w:tc>
        <w:tc>
          <w:tcPr>
            <w:tcW w:w="1701" w:type="dxa"/>
            <w:vAlign w:val="center"/>
          </w:tcPr>
          <w:p w14:paraId="4497602E" w14:textId="77777777" w:rsidR="00713E3A" w:rsidRPr="00DF42E8" w:rsidRDefault="0011502D" w:rsidP="00403155">
            <w:pPr>
              <w:pStyle w:val="Tablehead"/>
              <w:rPr>
                <w:rFonts w:ascii="Times New Roman Bold" w:hAnsi="Times New Roman Bold" w:cs="Times New Roman Bold"/>
                <w:b w:val="0"/>
              </w:rPr>
            </w:pPr>
            <w:r w:rsidRPr="00DF42E8">
              <w:t>Banda atribuida</w:t>
            </w:r>
            <w:r w:rsidRPr="00DF42E8">
              <w:br/>
              <w:t>a los servicios activos</w:t>
            </w:r>
          </w:p>
        </w:tc>
        <w:tc>
          <w:tcPr>
            <w:tcW w:w="1418" w:type="dxa"/>
            <w:vAlign w:val="center"/>
          </w:tcPr>
          <w:p w14:paraId="7E518AFD" w14:textId="77777777" w:rsidR="00713E3A" w:rsidRPr="00DF42E8" w:rsidRDefault="0011502D" w:rsidP="00403155">
            <w:pPr>
              <w:pStyle w:val="Tablehead"/>
              <w:rPr>
                <w:rFonts w:ascii="Times New Roman Bold" w:hAnsi="Times New Roman Bold" w:cs="Times New Roman Bold"/>
                <w:b w:val="0"/>
              </w:rPr>
            </w:pPr>
            <w:r w:rsidRPr="00DF42E8">
              <w:t>Servicio activo</w:t>
            </w:r>
          </w:p>
        </w:tc>
        <w:tc>
          <w:tcPr>
            <w:tcW w:w="4881" w:type="dxa"/>
            <w:vAlign w:val="center"/>
          </w:tcPr>
          <w:p w14:paraId="194E1AA7" w14:textId="3F4D1754" w:rsidR="00713E3A" w:rsidRPr="00DF42E8" w:rsidRDefault="0011502D" w:rsidP="00403155">
            <w:pPr>
              <w:pStyle w:val="Tablehead"/>
              <w:rPr>
                <w:lang w:eastAsia="ja-JP"/>
              </w:rPr>
            </w:pPr>
            <w:r w:rsidRPr="00DF42E8">
              <w:rPr>
                <w:lang w:eastAsia="ja-JP"/>
              </w:rPr>
              <w:t>Límites de la potencia de las emisiones no deseadas de las estaciones IMT</w:t>
            </w:r>
            <w:r w:rsidRPr="00DF42E8">
              <w:rPr>
                <w:lang w:eastAsia="ja-JP"/>
              </w:rPr>
              <w:noBreakHyphen/>
              <w:t>2020</w:t>
            </w:r>
            <w:r w:rsidR="00CE6BE0" w:rsidRPr="00DF42E8">
              <w:rPr>
                <w:lang w:eastAsia="ja-JP"/>
              </w:rPr>
              <w:t xml:space="preserve"> </w:t>
            </w:r>
            <w:r w:rsidRPr="00DF42E8">
              <w:rPr>
                <w:lang w:eastAsia="ja-JP"/>
              </w:rPr>
              <w:t>en un ancho de banda determinado en la banda</w:t>
            </w:r>
            <w:r w:rsidRPr="00DF42E8">
              <w:rPr>
                <w:lang w:eastAsia="ja-JP"/>
              </w:rPr>
              <w:br/>
              <w:t>atribuida al SETS (pasivo)</w:t>
            </w:r>
            <w:r w:rsidRPr="00DF42E8">
              <w:rPr>
                <w:vertAlign w:val="superscript"/>
                <w:lang w:eastAsia="ja-JP"/>
              </w:rPr>
              <w:t>1</w:t>
            </w:r>
          </w:p>
        </w:tc>
      </w:tr>
      <w:tr w:rsidR="00713E3A" w:rsidRPr="00DF42E8" w14:paraId="71C111D7" w14:textId="77777777" w:rsidTr="004F2D3F">
        <w:trPr>
          <w:cantSplit/>
          <w:trHeight w:val="201"/>
          <w:jc w:val="center"/>
        </w:trPr>
        <w:tc>
          <w:tcPr>
            <w:tcW w:w="1696" w:type="dxa"/>
            <w:vAlign w:val="center"/>
          </w:tcPr>
          <w:p w14:paraId="7F0F974D" w14:textId="77777777" w:rsidR="00713E3A" w:rsidRPr="00DF42E8" w:rsidRDefault="0011502D" w:rsidP="00403155">
            <w:pPr>
              <w:pStyle w:val="Tabletext"/>
              <w:keepNext/>
              <w:keepLines/>
              <w:jc w:val="center"/>
            </w:pPr>
            <w:r w:rsidRPr="00DF42E8">
              <w:t>36-37 GHz</w:t>
            </w:r>
          </w:p>
        </w:tc>
        <w:tc>
          <w:tcPr>
            <w:tcW w:w="1701" w:type="dxa"/>
            <w:vAlign w:val="center"/>
          </w:tcPr>
          <w:p w14:paraId="142C5166" w14:textId="77777777" w:rsidR="00713E3A" w:rsidRPr="00DF42E8" w:rsidRDefault="0011502D" w:rsidP="00403155">
            <w:pPr>
              <w:pStyle w:val="Tabletext"/>
              <w:keepNext/>
              <w:keepLines/>
              <w:jc w:val="center"/>
            </w:pPr>
            <w:r w:rsidRPr="00DF42E8">
              <w:t>37</w:t>
            </w:r>
            <w:r w:rsidRPr="00DF42E8">
              <w:noBreakHyphen/>
              <w:t>40,5 GHz</w:t>
            </w:r>
          </w:p>
        </w:tc>
        <w:tc>
          <w:tcPr>
            <w:tcW w:w="1418" w:type="dxa"/>
            <w:vAlign w:val="center"/>
          </w:tcPr>
          <w:p w14:paraId="033B633E" w14:textId="77777777" w:rsidR="00713E3A" w:rsidRPr="00DF42E8" w:rsidRDefault="0011502D" w:rsidP="00403155">
            <w:pPr>
              <w:pStyle w:val="Tabletext"/>
              <w:keepNext/>
              <w:keepLines/>
              <w:jc w:val="center"/>
              <w:rPr>
                <w:lang w:eastAsia="ko-KR"/>
              </w:rPr>
            </w:pPr>
            <w:r w:rsidRPr="00DF42E8">
              <w:t>Móvil</w:t>
            </w:r>
          </w:p>
        </w:tc>
        <w:tc>
          <w:tcPr>
            <w:tcW w:w="4881" w:type="dxa"/>
          </w:tcPr>
          <w:p w14:paraId="185AE2F2" w14:textId="685FF0F2" w:rsidR="00713E3A" w:rsidRPr="00DF42E8" w:rsidRDefault="0011502D" w:rsidP="00403155">
            <w:pPr>
              <w:pStyle w:val="Tabletext"/>
              <w:keepNext/>
              <w:keepLines/>
              <w:jc w:val="center"/>
            </w:pPr>
            <w:r w:rsidRPr="00DF42E8">
              <w:t>[Por determinar] </w:t>
            </w:r>
            <w:proofErr w:type="gramStart"/>
            <w:r w:rsidRPr="00DF42E8">
              <w:t>dB(</w:t>
            </w:r>
            <w:proofErr w:type="gramEnd"/>
            <w:r w:rsidRPr="00DF42E8">
              <w:t xml:space="preserve">W/100 MHz) para EB y </w:t>
            </w:r>
            <w:r w:rsidRPr="00DF42E8">
              <w:br/>
              <w:t>[Por determinar] dB(W/100 MHz) para EU.</w:t>
            </w:r>
          </w:p>
        </w:tc>
      </w:tr>
      <w:tr w:rsidR="00713E3A" w:rsidRPr="00DF42E8" w14:paraId="3C327013" w14:textId="77777777" w:rsidTr="004F2D3F">
        <w:trPr>
          <w:cantSplit/>
          <w:jc w:val="center"/>
        </w:trPr>
        <w:tc>
          <w:tcPr>
            <w:tcW w:w="9696" w:type="dxa"/>
            <w:gridSpan w:val="4"/>
            <w:tcBorders>
              <w:left w:val="nil"/>
              <w:bottom w:val="nil"/>
              <w:right w:val="nil"/>
            </w:tcBorders>
            <w:vAlign w:val="center"/>
          </w:tcPr>
          <w:p w14:paraId="36F6FC1B" w14:textId="411E9DE1" w:rsidR="00713E3A" w:rsidRPr="00DF42E8" w:rsidRDefault="0011502D" w:rsidP="00750994">
            <w:pPr>
              <w:pStyle w:val="Tablelegend"/>
              <w:tabs>
                <w:tab w:val="clear" w:pos="567"/>
                <w:tab w:val="left" w:pos="313"/>
              </w:tabs>
              <w:spacing w:before="80" w:after="0"/>
            </w:pPr>
            <w:r w:rsidRPr="00DF42E8">
              <w:rPr>
                <w:vertAlign w:val="superscript"/>
              </w:rPr>
              <w:t>1</w:t>
            </w:r>
            <w:r w:rsidRPr="00DF42E8">
              <w:tab/>
              <w:t xml:space="preserve">El nivel de potencia de las emisiones no deseadas se </w:t>
            </w:r>
            <w:r w:rsidR="00F36174" w:rsidRPr="00DF42E8">
              <w:t>mide utilizando la</w:t>
            </w:r>
            <w:r w:rsidRPr="00DF42E8">
              <w:t xml:space="preserve"> potencia radiada total (</w:t>
            </w:r>
            <w:proofErr w:type="spellStart"/>
            <w:r w:rsidRPr="00DF42E8">
              <w:t>PRT</w:t>
            </w:r>
            <w:proofErr w:type="spellEnd"/>
            <w:r w:rsidRPr="00DF42E8">
              <w:t xml:space="preserve">). </w:t>
            </w:r>
            <w:r w:rsidR="00DD69C1" w:rsidRPr="00DF42E8">
              <w:t>En este contexto, se entiende por</w:t>
            </w:r>
            <w:r w:rsidRPr="00DF42E8">
              <w:t xml:space="preserve"> </w:t>
            </w:r>
            <w:proofErr w:type="spellStart"/>
            <w:r w:rsidRPr="00DF42E8">
              <w:t>PRT</w:t>
            </w:r>
            <w:proofErr w:type="spellEnd"/>
            <w:r w:rsidR="00DD69C1" w:rsidRPr="00DF42E8">
              <w:rPr>
                <w:rFonts w:ascii="Segoe UI" w:hAnsi="Segoe UI" w:cs="Segoe UI"/>
                <w:color w:val="000000"/>
                <w:shd w:val="clear" w:color="auto" w:fill="F0F0F0"/>
              </w:rPr>
              <w:t xml:space="preserve"> </w:t>
            </w:r>
            <w:r w:rsidR="00DD69C1" w:rsidRPr="00DF42E8">
              <w:t>la integral de la potencia transmitida en diferentes direcciones por toda la esfera de radiación</w:t>
            </w:r>
            <w:r w:rsidRPr="00DF42E8">
              <w:t>.</w:t>
            </w:r>
          </w:p>
        </w:tc>
      </w:tr>
    </w:tbl>
    <w:p w14:paraId="532C9EFE" w14:textId="6B85919B" w:rsidR="00713E3A" w:rsidRPr="00DF42E8" w:rsidRDefault="009A4489" w:rsidP="004438E4">
      <w:pPr>
        <w:rPr>
          <w:lang w:eastAsia="ja-JP"/>
        </w:rPr>
      </w:pPr>
      <w:r w:rsidRPr="00DF42E8">
        <w:rPr>
          <w:lang w:eastAsia="ja-JP"/>
        </w:rPr>
        <w:t>2</w:t>
      </w:r>
      <w:r w:rsidR="0011502D" w:rsidRPr="00DF42E8">
        <w:tab/>
        <w:t>que, al implantar estaciones base IMT en exteriores, se garantice que cada antena normalmente</w:t>
      </w:r>
      <w:r w:rsidR="00764510" w:rsidRPr="00DF42E8">
        <w:rPr>
          <w:rStyle w:val="FootnoteReference"/>
        </w:rPr>
        <w:footnoteReference w:customMarkFollows="1" w:id="1"/>
        <w:sym w:font="Symbol" w:char="F02A"/>
      </w:r>
      <w:r w:rsidR="0011502D" w:rsidRPr="00DF42E8">
        <w:t xml:space="preserve"> sólo transmite con el haz principal apuntando por debajo del horizonte</w:t>
      </w:r>
      <w:r w:rsidR="0011502D" w:rsidRPr="00DF42E8">
        <w:rPr>
          <w:lang w:eastAsia="ja-JP"/>
        </w:rPr>
        <w:t>, excepto cuando la estación base es sólo receptora</w:t>
      </w:r>
      <w:r w:rsidR="00DD69C1" w:rsidRPr="00DF42E8">
        <w:rPr>
          <w:lang w:eastAsia="ja-JP"/>
        </w:rPr>
        <w:t>,</w:t>
      </w:r>
    </w:p>
    <w:p w14:paraId="3FE32A2C" w14:textId="1DDDB366" w:rsidR="00713E3A" w:rsidRPr="00DF42E8" w:rsidRDefault="0011502D" w:rsidP="00403155">
      <w:pPr>
        <w:pStyle w:val="Call"/>
      </w:pPr>
      <w:r w:rsidRPr="00DF42E8">
        <w:rPr>
          <w:lang w:eastAsia="nl-NL"/>
        </w:rPr>
        <w:t xml:space="preserve">invita </w:t>
      </w:r>
      <w:r w:rsidRPr="00DF42E8">
        <w:t>al UIT</w:t>
      </w:r>
      <w:r w:rsidRPr="00DF42E8">
        <w:noBreakHyphen/>
        <w:t>R</w:t>
      </w:r>
    </w:p>
    <w:p w14:paraId="38DF05A8" w14:textId="489BA13F" w:rsidR="0011502D" w:rsidRPr="00DF42E8" w:rsidRDefault="0011502D" w:rsidP="002B52F1">
      <w:pPr>
        <w:rPr>
          <w:iCs/>
        </w:rPr>
      </w:pPr>
      <w:r w:rsidRPr="00DF42E8">
        <w:rPr>
          <w:iCs/>
        </w:rPr>
        <w:t>...</w:t>
      </w:r>
    </w:p>
    <w:p w14:paraId="55452BAB" w14:textId="533DA87E" w:rsidR="00713E3A" w:rsidRPr="00DF42E8" w:rsidRDefault="00CC7565" w:rsidP="00403155">
      <w:pPr>
        <w:rPr>
          <w:i/>
          <w:lang w:eastAsia="ja-JP"/>
        </w:rPr>
      </w:pPr>
      <w:r w:rsidRPr="00DF42E8">
        <w:t>2</w:t>
      </w:r>
      <w:r w:rsidR="0011502D" w:rsidRPr="00DF42E8">
        <w:tab/>
        <w:t>a elaborar Recomendaciones UIT-R, según convenga, para ofrecer información sobre posibles medidas de coordinación y protección para las estaciones terrenas SIE existentes y futuras que operan en la banda de frecuencias 37-38 GHz;</w:t>
      </w:r>
    </w:p>
    <w:p w14:paraId="5C037412" w14:textId="2342CFFE" w:rsidR="00713E3A" w:rsidRPr="00DF42E8" w:rsidRDefault="00CC7565" w:rsidP="00403155">
      <w:r w:rsidRPr="00DF42E8">
        <w:rPr>
          <w:lang w:eastAsia="ja-JP"/>
        </w:rPr>
        <w:t>3</w:t>
      </w:r>
      <w:r w:rsidR="0011502D" w:rsidRPr="00DF42E8">
        <w:rPr>
          <w:lang w:eastAsia="ja-JP"/>
        </w:rPr>
        <w:tab/>
      </w:r>
      <w:r w:rsidR="0011502D" w:rsidRPr="00DF42E8">
        <w:t>a examinar periódicamente la incidencia de la evolución de las características técnicas y operativas de las IMT (incluido su despliegue y la densidad de estaciones base</w:t>
      </w:r>
      <w:r w:rsidR="00DD69C1" w:rsidRPr="00DF42E8">
        <w:t xml:space="preserve">, habida cuenta de los parámetros de referencia mencionados en el </w:t>
      </w:r>
      <w:r w:rsidR="00DD69C1" w:rsidRPr="00DF42E8">
        <w:rPr>
          <w:i/>
          <w:iCs/>
        </w:rPr>
        <w:t>reconociendo f)</w:t>
      </w:r>
      <w:r w:rsidR="00DD69C1" w:rsidRPr="00DF42E8">
        <w:t xml:space="preserve"> anterior</w:t>
      </w:r>
      <w:r w:rsidR="0011502D" w:rsidRPr="00DF42E8">
        <w:t>) en la compartición y la compatibilidad con otros servicios (por ejemplo, los servicios espaciales) y, si procede, a tener en cuenta los resultados de estos exámenes en la elaboración o revisión de las Recomendaciones e Informes del UIT-R, por ejemplo, sobre las características de las IMT</w:t>
      </w:r>
      <w:r w:rsidR="00AF1FD7">
        <w:t>;</w:t>
      </w:r>
    </w:p>
    <w:p w14:paraId="10ED85DE" w14:textId="77777777" w:rsidR="00AF1FD7" w:rsidRDefault="0011502D" w:rsidP="00411C49">
      <w:pPr>
        <w:pStyle w:val="Reasons"/>
      </w:pPr>
      <w:r w:rsidRPr="00DF42E8">
        <w:rPr>
          <w:b/>
        </w:rPr>
        <w:t>Motivos:</w:t>
      </w:r>
      <w:r w:rsidRPr="00DF42E8">
        <w:tab/>
      </w:r>
      <w:r w:rsidR="00DD69C1" w:rsidRPr="00DF42E8">
        <w:t xml:space="preserve">Japón apoya la identificación de la banda de frecuencias 37-43,5 GHz para las IMT, junto con las condiciones que figuran en la nueva Resolución de la </w:t>
      </w:r>
      <w:proofErr w:type="spellStart"/>
      <w:r w:rsidR="00DD69C1" w:rsidRPr="00DF42E8">
        <w:t>CMR</w:t>
      </w:r>
      <w:proofErr w:type="spellEnd"/>
      <w:r w:rsidR="00DD69C1" w:rsidRPr="00DF42E8">
        <w:t xml:space="preserve"> </w:t>
      </w:r>
      <w:r w:rsidR="00DD69C1" w:rsidRPr="00DF42E8">
        <w:rPr>
          <w:i/>
          <w:iCs/>
        </w:rPr>
        <w:t>supra</w:t>
      </w:r>
      <w:r w:rsidR="00DD69C1" w:rsidRPr="00DF42E8">
        <w:t xml:space="preserve">. En cuanto a las medidas de protección del SETS (pasivo) en la banda de frecuencias de 36-37 GHz, Japón está sopesando la Opción 1, con la condición </w:t>
      </w:r>
      <w:proofErr w:type="spellStart"/>
      <w:r w:rsidR="00DD69C1" w:rsidRPr="00DF42E8">
        <w:t>C2a</w:t>
      </w:r>
      <w:proofErr w:type="spellEnd"/>
      <w:r w:rsidR="00DD69C1" w:rsidRPr="00DF42E8">
        <w:t xml:space="preserve">, del Informe de la RPC. Con respecto a los valores por determinar del Cuadro 2, Japón está </w:t>
      </w:r>
      <w:r w:rsidR="00DC368F" w:rsidRPr="00DF42E8">
        <w:t>considerando</w:t>
      </w:r>
      <w:r w:rsidR="00DD69C1" w:rsidRPr="00DF42E8">
        <w:t xml:space="preserve"> la posibilidad de elegir un valor</w:t>
      </w:r>
      <w:r w:rsidR="00DC368F" w:rsidRPr="00DF42E8">
        <w:t xml:space="preserve"> comprendido</w:t>
      </w:r>
      <w:r w:rsidR="00DD69C1" w:rsidRPr="00DF42E8">
        <w:t xml:space="preserve"> entre </w:t>
      </w:r>
      <w:r w:rsidR="00DC368F" w:rsidRPr="00DF42E8">
        <w:t>–</w:t>
      </w:r>
      <w:r w:rsidR="00DD69C1" w:rsidRPr="00DF42E8">
        <w:t xml:space="preserve">47 y </w:t>
      </w:r>
      <w:r w:rsidR="00DC368F" w:rsidRPr="00DF42E8">
        <w:t>–</w:t>
      </w:r>
      <w:r w:rsidR="00DD69C1" w:rsidRPr="00DF42E8">
        <w:t xml:space="preserve">33 </w:t>
      </w:r>
      <w:proofErr w:type="gramStart"/>
      <w:r w:rsidR="00DD69C1" w:rsidRPr="00DF42E8">
        <w:t>dB(</w:t>
      </w:r>
      <w:proofErr w:type="gramEnd"/>
      <w:r w:rsidR="00DD69C1" w:rsidRPr="00DF42E8">
        <w:t>W/100 MHz) para las estaciones base IMT</w:t>
      </w:r>
      <w:r w:rsidR="00DC368F" w:rsidRPr="00DF42E8">
        <w:t>,</w:t>
      </w:r>
      <w:r w:rsidR="00DD69C1" w:rsidRPr="00DF42E8">
        <w:t xml:space="preserve"> y</w:t>
      </w:r>
      <w:r w:rsidR="00DC368F" w:rsidRPr="00DF42E8">
        <w:t xml:space="preserve"> entre</w:t>
      </w:r>
      <w:r w:rsidR="00DD69C1" w:rsidRPr="00DF42E8">
        <w:t xml:space="preserve"> </w:t>
      </w:r>
      <w:r w:rsidR="00DC368F" w:rsidRPr="00DF42E8">
        <w:t>–</w:t>
      </w:r>
      <w:r w:rsidR="00DD69C1" w:rsidRPr="00DF42E8">
        <w:t xml:space="preserve">46 </w:t>
      </w:r>
      <w:r w:rsidR="00DC368F" w:rsidRPr="00DF42E8">
        <w:t>y</w:t>
      </w:r>
      <w:r w:rsidR="00DD69C1" w:rsidRPr="00DF42E8">
        <w:t xml:space="preserve"> </w:t>
      </w:r>
      <w:r w:rsidR="00DC368F" w:rsidRPr="00DF42E8">
        <w:t>–</w:t>
      </w:r>
      <w:r w:rsidR="00DD69C1" w:rsidRPr="00DF42E8">
        <w:t xml:space="preserve">32 dB(W/100 MHz) para las estaciones móviles IMT. Japón también está </w:t>
      </w:r>
      <w:r w:rsidR="00DC368F" w:rsidRPr="00DF42E8">
        <w:t xml:space="preserve">considerando la posibilidad de flexibilizar aún más </w:t>
      </w:r>
      <w:r w:rsidR="00DD69C1" w:rsidRPr="00DF42E8">
        <w:t>estos límites de emisiones no deseadas de estaciones IMT asociad</w:t>
      </w:r>
      <w:r w:rsidR="00DC368F" w:rsidRPr="00DF42E8">
        <w:t>o</w:t>
      </w:r>
      <w:r w:rsidR="00DD69C1" w:rsidRPr="00DF42E8">
        <w:t xml:space="preserve">s </w:t>
      </w:r>
      <w:r w:rsidR="00DC368F" w:rsidRPr="00DF42E8">
        <w:t>a</w:t>
      </w:r>
      <w:r w:rsidR="00DD69C1" w:rsidRPr="00DF42E8">
        <w:t xml:space="preserve">l criterio de interferencia </w:t>
      </w:r>
      <w:r w:rsidR="00DC368F" w:rsidRPr="00DF42E8">
        <w:t>referente a</w:t>
      </w:r>
      <w:r w:rsidR="00DD69C1" w:rsidRPr="00DF42E8">
        <w:t xml:space="preserve"> los sensores </w:t>
      </w:r>
      <w:r w:rsidR="00DC368F" w:rsidRPr="00DF42E8">
        <w:t xml:space="preserve">del SETS </w:t>
      </w:r>
      <w:r w:rsidR="00DD69C1" w:rsidRPr="00DF42E8">
        <w:t xml:space="preserve">(pasivo) en la banda de frecuencias 36-37 GHz </w:t>
      </w:r>
      <w:r w:rsidR="00DC368F" w:rsidRPr="00DF42E8">
        <w:t xml:space="preserve">que figura en </w:t>
      </w:r>
      <w:r w:rsidR="00DD69C1" w:rsidRPr="00DF42E8">
        <w:t xml:space="preserve">la Recomendación UIT-R </w:t>
      </w:r>
      <w:proofErr w:type="spellStart"/>
      <w:r w:rsidR="00DD69C1" w:rsidRPr="00DF42E8">
        <w:t>RS.2017</w:t>
      </w:r>
      <w:proofErr w:type="spellEnd"/>
      <w:r w:rsidR="00DD69C1" w:rsidRPr="00DF42E8">
        <w:t xml:space="preserve">, </w:t>
      </w:r>
      <w:r w:rsidR="00A277D1" w:rsidRPr="00DF42E8">
        <w:t xml:space="preserve">la cual prevé un porcentaje de zona o tiempo en que puede rebasarse el nivel de interferencia admisible del </w:t>
      </w:r>
      <w:r w:rsidR="00DD69C1" w:rsidRPr="00DF42E8">
        <w:t xml:space="preserve">0,1% en </w:t>
      </w:r>
      <w:r w:rsidR="00A277D1" w:rsidRPr="00DF42E8">
        <w:t>una superficie de</w:t>
      </w:r>
      <w:r w:rsidR="00DD69C1" w:rsidRPr="00DF42E8">
        <w:t xml:space="preserve"> </w:t>
      </w:r>
      <w:r w:rsidR="00A277D1" w:rsidRPr="00DF42E8">
        <w:t>10</w:t>
      </w:r>
      <w:r w:rsidR="00AF1FD7">
        <w:t> </w:t>
      </w:r>
      <w:r w:rsidR="00A277D1" w:rsidRPr="00DF42E8">
        <w:t>000</w:t>
      </w:r>
      <w:r w:rsidR="00AF1FD7">
        <w:t> </w:t>
      </w:r>
      <w:r w:rsidR="00A277D1" w:rsidRPr="00DF42E8">
        <w:t>000</w:t>
      </w:r>
      <w:r w:rsidR="00AF1FD7">
        <w:t> </w:t>
      </w:r>
      <w:r w:rsidR="00A277D1" w:rsidRPr="00DF42E8">
        <w:t>km²</w:t>
      </w:r>
      <w:r w:rsidR="00DD69C1" w:rsidRPr="00DF42E8">
        <w:t>.</w:t>
      </w:r>
    </w:p>
    <w:p w14:paraId="0335520B" w14:textId="77777777" w:rsidR="00AF1FD7" w:rsidRDefault="00AF1FD7">
      <w:pPr>
        <w:jc w:val="center"/>
      </w:pPr>
      <w:r>
        <w:t>______________</w:t>
      </w:r>
    </w:p>
    <w:sectPr w:rsidR="00AF1FD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66302" w14:textId="77777777" w:rsidR="003C0613" w:rsidRDefault="003C0613">
      <w:r>
        <w:separator/>
      </w:r>
    </w:p>
  </w:endnote>
  <w:endnote w:type="continuationSeparator" w:id="0">
    <w:p w14:paraId="71778429"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E53B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4DAA82" w14:textId="2DFE5B57" w:rsidR="0077084A" w:rsidRPr="00DF42E8" w:rsidRDefault="0077084A">
    <w:pPr>
      <w:ind w:right="360"/>
    </w:pPr>
    <w:r>
      <w:fldChar w:fldCharType="begin"/>
    </w:r>
    <w:r w:rsidRPr="00DF42E8">
      <w:instrText xml:space="preserve"> FILENAME \p  \* MERGEFORMAT </w:instrText>
    </w:r>
    <w:r>
      <w:fldChar w:fldCharType="separate"/>
    </w:r>
    <w:r w:rsidR="00DF42E8">
      <w:rPr>
        <w:noProof/>
      </w:rPr>
      <w:t>P:\ESP\ITU-R\CONF-R\CMR19\000\080ADD13ADD02S.docx</w:t>
    </w:r>
    <w:r>
      <w:fldChar w:fldCharType="end"/>
    </w:r>
    <w:r w:rsidRPr="00DF42E8">
      <w:tab/>
    </w:r>
    <w:r>
      <w:fldChar w:fldCharType="begin"/>
    </w:r>
    <w:r>
      <w:instrText xml:space="preserve"> SAVEDATE \@ DD.MM.YY </w:instrText>
    </w:r>
    <w:r>
      <w:fldChar w:fldCharType="separate"/>
    </w:r>
    <w:r w:rsidR="00DF42E8">
      <w:rPr>
        <w:noProof/>
      </w:rPr>
      <w:t>23.10.19</w:t>
    </w:r>
    <w:r>
      <w:fldChar w:fldCharType="end"/>
    </w:r>
    <w:r w:rsidRPr="00DF42E8">
      <w:tab/>
    </w:r>
    <w:r>
      <w:fldChar w:fldCharType="begin"/>
    </w:r>
    <w:r>
      <w:instrText xml:space="preserve"> PRINTDATE \@ DD.MM.YY </w:instrText>
    </w:r>
    <w:r>
      <w:fldChar w:fldCharType="separate"/>
    </w:r>
    <w:r w:rsidR="00DF42E8">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87888" w14:textId="15249C36" w:rsidR="0077084A" w:rsidRPr="0018610E" w:rsidRDefault="0018610E" w:rsidP="0018610E">
    <w:pPr>
      <w:pStyle w:val="Footer"/>
      <w:rPr>
        <w:lang w:val="en-US"/>
      </w:rPr>
    </w:pPr>
    <w:r>
      <w:fldChar w:fldCharType="begin"/>
    </w:r>
    <w:r w:rsidRPr="0018610E">
      <w:rPr>
        <w:lang w:val="en-US"/>
      </w:rPr>
      <w:instrText xml:space="preserve"> FILENAME \p  \* MERGEFORMAT </w:instrText>
    </w:r>
    <w:r>
      <w:fldChar w:fldCharType="separate"/>
    </w:r>
    <w:r w:rsidR="00DF42E8">
      <w:rPr>
        <w:lang w:val="en-US"/>
      </w:rPr>
      <w:t>P:\ESP\ITU-R\CONF-R\CMR19\000\080ADD13ADD02S.docx</w:t>
    </w:r>
    <w:r>
      <w:fldChar w:fldCharType="end"/>
    </w:r>
    <w:r>
      <w:rPr>
        <w:lang w:val="en-US"/>
      </w:rPr>
      <w:t xml:space="preserve"> </w:t>
    </w:r>
    <w:r w:rsidR="0011502D">
      <w:rPr>
        <w:lang w:val="en-GB"/>
      </w:rPr>
      <w:t>(462163)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C3541" w14:textId="0DF81664" w:rsidR="0077084A" w:rsidRPr="0018610E" w:rsidRDefault="0018610E" w:rsidP="0018610E">
    <w:pPr>
      <w:pStyle w:val="Footer"/>
      <w:rPr>
        <w:lang w:val="en-US"/>
      </w:rPr>
    </w:pPr>
    <w:r>
      <w:fldChar w:fldCharType="begin"/>
    </w:r>
    <w:r w:rsidRPr="0018610E">
      <w:rPr>
        <w:lang w:val="en-US"/>
      </w:rPr>
      <w:instrText xml:space="preserve"> FILENAME \p  \* MERGEFORMAT </w:instrText>
    </w:r>
    <w:r>
      <w:fldChar w:fldCharType="separate"/>
    </w:r>
    <w:r w:rsidR="00DF42E8">
      <w:rPr>
        <w:lang w:val="en-US"/>
      </w:rPr>
      <w:t>P:\ESP\ITU-R\CONF-R\CMR19\000\080ADD13ADD02S.docx</w:t>
    </w:r>
    <w:r>
      <w:fldChar w:fldCharType="end"/>
    </w:r>
    <w:r>
      <w:rPr>
        <w:lang w:val="en-US"/>
      </w:rPr>
      <w:t xml:space="preserve"> (462163)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8BE27" w14:textId="77777777" w:rsidR="003C0613" w:rsidRDefault="003C0613">
      <w:r>
        <w:rPr>
          <w:b/>
        </w:rPr>
        <w:t>_______________</w:t>
      </w:r>
    </w:p>
  </w:footnote>
  <w:footnote w:type="continuationSeparator" w:id="0">
    <w:p w14:paraId="0BCA2B78" w14:textId="77777777" w:rsidR="003C0613" w:rsidRDefault="003C0613">
      <w:r>
        <w:continuationSeparator/>
      </w:r>
    </w:p>
  </w:footnote>
  <w:footnote w:id="1">
    <w:p w14:paraId="5A7FC0F1" w14:textId="29F7C1F7" w:rsidR="00764510" w:rsidRPr="00DD69C1" w:rsidRDefault="00764510" w:rsidP="00DD69C1">
      <w:pPr>
        <w:pStyle w:val="FootnoteText"/>
        <w:rPr>
          <w:lang w:val="es-ES"/>
        </w:rPr>
      </w:pPr>
      <w:r w:rsidRPr="00764510">
        <w:rPr>
          <w:rStyle w:val="FootnoteReference"/>
        </w:rPr>
        <w:sym w:font="Symbol" w:char="F02A"/>
      </w:r>
      <w:r w:rsidRPr="002B52F1">
        <w:tab/>
      </w:r>
      <w:r w:rsidR="00DD69C1">
        <w:t xml:space="preserve">Se parte del supuesto de solo </w:t>
      </w:r>
      <w:r w:rsidR="00DD69C1" w:rsidRPr="00DD69C1">
        <w:t>un número muy limitado de estaciones móviles IMT se comunicará con estaciones base IMT cuyo haz principal apunte por encima del horizonte.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5AE1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5C51D5F" w14:textId="77777777" w:rsidR="0077084A" w:rsidRDefault="008750A8" w:rsidP="00C44E9E">
    <w:pPr>
      <w:pStyle w:val="Header"/>
      <w:rPr>
        <w:lang w:val="en-US"/>
      </w:rPr>
    </w:pPr>
    <w:r>
      <w:rPr>
        <w:lang w:val="en-US"/>
      </w:rPr>
      <w:t>CMR1</w:t>
    </w:r>
    <w:r w:rsidR="00C44E9E">
      <w:rPr>
        <w:lang w:val="en-US"/>
      </w:rPr>
      <w:t>9</w:t>
    </w:r>
    <w:r>
      <w:rPr>
        <w:lang w:val="en-US"/>
      </w:rPr>
      <w:t>/</w:t>
    </w:r>
    <w:r w:rsidR="00702F3D">
      <w:t>80(Add.</w:t>
    </w:r>
    <w:proofErr w:type="gramStart"/>
    <w:r w:rsidR="00702F3D">
      <w:t>13)(</w:t>
    </w:r>
    <w:proofErr w:type="gramEnd"/>
    <w:r w:rsidR="00702F3D">
      <w:t>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1F0A"/>
    <w:rsid w:val="0002785D"/>
    <w:rsid w:val="00087AE8"/>
    <w:rsid w:val="000A5B9A"/>
    <w:rsid w:val="000E4BD9"/>
    <w:rsid w:val="000E5BF9"/>
    <w:rsid w:val="000F0E6D"/>
    <w:rsid w:val="00102444"/>
    <w:rsid w:val="0011502D"/>
    <w:rsid w:val="00121170"/>
    <w:rsid w:val="00123CC5"/>
    <w:rsid w:val="00132E55"/>
    <w:rsid w:val="0015142D"/>
    <w:rsid w:val="001616DC"/>
    <w:rsid w:val="00163962"/>
    <w:rsid w:val="0018610E"/>
    <w:rsid w:val="00191A97"/>
    <w:rsid w:val="0019729C"/>
    <w:rsid w:val="001A083F"/>
    <w:rsid w:val="001C41FA"/>
    <w:rsid w:val="001C7D2D"/>
    <w:rsid w:val="001D7039"/>
    <w:rsid w:val="001E2B52"/>
    <w:rsid w:val="001E3F27"/>
    <w:rsid w:val="001E7D42"/>
    <w:rsid w:val="0023506D"/>
    <w:rsid w:val="0023659C"/>
    <w:rsid w:val="00236D2A"/>
    <w:rsid w:val="0024569E"/>
    <w:rsid w:val="00255F12"/>
    <w:rsid w:val="00262C09"/>
    <w:rsid w:val="00280B22"/>
    <w:rsid w:val="002A791F"/>
    <w:rsid w:val="002B52F1"/>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03155"/>
    <w:rsid w:val="00415545"/>
    <w:rsid w:val="00440B3A"/>
    <w:rsid w:val="0044375A"/>
    <w:rsid w:val="004438E4"/>
    <w:rsid w:val="0045384C"/>
    <w:rsid w:val="00454553"/>
    <w:rsid w:val="00466C1F"/>
    <w:rsid w:val="00472A86"/>
    <w:rsid w:val="00475A0B"/>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50994"/>
    <w:rsid w:val="00764510"/>
    <w:rsid w:val="00765578"/>
    <w:rsid w:val="00766333"/>
    <w:rsid w:val="00766E04"/>
    <w:rsid w:val="0077084A"/>
    <w:rsid w:val="007952C7"/>
    <w:rsid w:val="007C0B95"/>
    <w:rsid w:val="007C2317"/>
    <w:rsid w:val="007D330A"/>
    <w:rsid w:val="00866AE6"/>
    <w:rsid w:val="008750A8"/>
    <w:rsid w:val="008D3316"/>
    <w:rsid w:val="008E5AF2"/>
    <w:rsid w:val="0090121B"/>
    <w:rsid w:val="00902D64"/>
    <w:rsid w:val="009144C9"/>
    <w:rsid w:val="0094091F"/>
    <w:rsid w:val="00962171"/>
    <w:rsid w:val="00973754"/>
    <w:rsid w:val="009A4489"/>
    <w:rsid w:val="009B6F47"/>
    <w:rsid w:val="009C0BED"/>
    <w:rsid w:val="009E11EC"/>
    <w:rsid w:val="00A021CC"/>
    <w:rsid w:val="00A118DB"/>
    <w:rsid w:val="00A277D1"/>
    <w:rsid w:val="00A4450C"/>
    <w:rsid w:val="00AA5E6C"/>
    <w:rsid w:val="00AE5677"/>
    <w:rsid w:val="00AE658F"/>
    <w:rsid w:val="00AF1FD7"/>
    <w:rsid w:val="00AF2F78"/>
    <w:rsid w:val="00AF6518"/>
    <w:rsid w:val="00B239FA"/>
    <w:rsid w:val="00B372AB"/>
    <w:rsid w:val="00B47331"/>
    <w:rsid w:val="00B52D55"/>
    <w:rsid w:val="00B61F97"/>
    <w:rsid w:val="00B8288C"/>
    <w:rsid w:val="00B86034"/>
    <w:rsid w:val="00B9448B"/>
    <w:rsid w:val="00BA1F59"/>
    <w:rsid w:val="00BE2E80"/>
    <w:rsid w:val="00BE5EDD"/>
    <w:rsid w:val="00BE6A1F"/>
    <w:rsid w:val="00C1159C"/>
    <w:rsid w:val="00C126C4"/>
    <w:rsid w:val="00C44E9E"/>
    <w:rsid w:val="00C63EB5"/>
    <w:rsid w:val="00C87DA7"/>
    <w:rsid w:val="00CA6882"/>
    <w:rsid w:val="00CC01E0"/>
    <w:rsid w:val="00CC7565"/>
    <w:rsid w:val="00CD5FEE"/>
    <w:rsid w:val="00CE60D2"/>
    <w:rsid w:val="00CE6BE0"/>
    <w:rsid w:val="00CE7431"/>
    <w:rsid w:val="00D00CA8"/>
    <w:rsid w:val="00D0288A"/>
    <w:rsid w:val="00D10812"/>
    <w:rsid w:val="00D72A5D"/>
    <w:rsid w:val="00DA71A3"/>
    <w:rsid w:val="00DC368F"/>
    <w:rsid w:val="00DC629B"/>
    <w:rsid w:val="00DD69C1"/>
    <w:rsid w:val="00DE1C31"/>
    <w:rsid w:val="00DF42E8"/>
    <w:rsid w:val="00E05BFF"/>
    <w:rsid w:val="00E262F1"/>
    <w:rsid w:val="00E3176A"/>
    <w:rsid w:val="00E36CE4"/>
    <w:rsid w:val="00E54754"/>
    <w:rsid w:val="00E56BD3"/>
    <w:rsid w:val="00E71D14"/>
    <w:rsid w:val="00EA77F0"/>
    <w:rsid w:val="00F32316"/>
    <w:rsid w:val="00F36174"/>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0F4FB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Normalaftertitle0">
    <w:name w:val="Normal_after_title"/>
    <w:basedOn w:val="Normal"/>
    <w:next w:val="Normal"/>
    <w:uiPriority w:val="99"/>
    <w:qFormat/>
    <w:rsid w:val="00142003"/>
    <w:pPr>
      <w:spacing w:before="360"/>
    </w:pPr>
  </w:style>
  <w:style w:type="paragraph" w:customStyle="1" w:styleId="Tablefin">
    <w:name w:val="Table_fin"/>
    <w:basedOn w:val="Normal"/>
    <w:rsid w:val="00713E3A"/>
    <w:pPr>
      <w:spacing w:before="0"/>
      <w:textAlignment w:val="auto"/>
    </w:pPr>
    <w:rPr>
      <w:rFonts w:eastAsia="SimSun"/>
      <w:i/>
      <w:sz w:val="20"/>
      <w:lang w:val="en-US" w:eastAsia="ja-JP"/>
    </w:rPr>
  </w:style>
  <w:style w:type="paragraph" w:styleId="BalloonText">
    <w:name w:val="Balloon Text"/>
    <w:basedOn w:val="Normal"/>
    <w:link w:val="BalloonTextChar"/>
    <w:semiHidden/>
    <w:unhideWhenUsed/>
    <w:rsid w:val="0023506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3506D"/>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R16-WRC19-C-0080!A13-A2!MSW-S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6E9BDFA9-960B-45E3-A753-79A3CA6EC5AB}">
  <ds:schemaRefs>
    <ds:schemaRef ds:uri="996b2e75-67fd-4955-a3b0-5ab9934cb50b"/>
    <ds:schemaRef ds:uri="32a1a8c5-2265-4ebc-b7a0-2071e2c5c9bb"/>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84AB3F-1B89-4CD8-AEA1-617AF959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979</Words>
  <Characters>5166</Characters>
  <Application>Microsoft Office Word</Application>
  <DocSecurity>0</DocSecurity>
  <Lines>178</Lines>
  <Paragraphs>118</Paragraphs>
  <ScaleCrop>false</ScaleCrop>
  <HeadingPairs>
    <vt:vector size="2" baseType="variant">
      <vt:variant>
        <vt:lpstr>Title</vt:lpstr>
      </vt:variant>
      <vt:variant>
        <vt:i4>1</vt:i4>
      </vt:variant>
    </vt:vector>
  </HeadingPairs>
  <TitlesOfParts>
    <vt:vector size="1" baseType="lpstr">
      <vt:lpstr>R16-WRC19-C-0080!A13-A2!MSW-S</vt:lpstr>
    </vt:vector>
  </TitlesOfParts>
  <Manager>Secretaría General - Pool</Manager>
  <Company>Unión Internacional de Telecomunicaciones (UIT)</Company>
  <LinksUpToDate>false</LinksUpToDate>
  <CharactersWithSpaces>6027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R16-WRC19-C-0080!A13-A2!MSW-S</dc:title>
  <dc:subject>Conferencia Mundial de Radiocomunicaciones - 2019</dc:subject>
  <dc:creator>Documents Proposals Manager (DPM)</dc:creator>
  <cp:keywords>DPM_v2019.10.11.1_prod</cp:keywords>
  <dc:description/>
  <cp:lastModifiedBy>Spanish1</cp:lastModifiedBy>
  <cp:revision>18</cp:revision>
  <cp:lastPrinted>2019-10-23T22:42:00Z</cp:lastPrinted>
  <dcterms:created xsi:type="dcterms:W3CDTF">2019-10-23T16:08:00Z</dcterms:created>
  <dcterms:modified xsi:type="dcterms:W3CDTF">2019-10-23T23:19:00Z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