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A0EF3" w14:paraId="0BC5BD84" w14:textId="77777777" w:rsidTr="002E3752">
        <w:trPr>
          <w:cantSplit/>
        </w:trPr>
        <w:tc>
          <w:tcPr>
            <w:tcW w:w="6663" w:type="dxa"/>
          </w:tcPr>
          <w:p w14:paraId="4CF25B84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368" w:type="dxa"/>
          </w:tcPr>
          <w:p w14:paraId="08ADBA03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D9C178D" wp14:editId="0840483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E6ACBD0" w14:textId="77777777" w:rsidTr="002E3752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C041BD0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04ABD08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2C6689A" w14:textId="77777777" w:rsidTr="002E375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219DA6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64DD8F1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35E542DB" w14:textId="77777777" w:rsidTr="002E3752">
        <w:trPr>
          <w:cantSplit/>
        </w:trPr>
        <w:tc>
          <w:tcPr>
            <w:tcW w:w="6663" w:type="dxa"/>
          </w:tcPr>
          <w:p w14:paraId="30A7A53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</w:tcPr>
          <w:p w14:paraId="2A7A6E46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Дополнительный документ 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br/>
              <w:t>к Документу 80(Add.13)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97519C4" w14:textId="77777777" w:rsidTr="002E3752">
        <w:trPr>
          <w:cantSplit/>
        </w:trPr>
        <w:tc>
          <w:tcPr>
            <w:tcW w:w="6663" w:type="dxa"/>
          </w:tcPr>
          <w:p w14:paraId="374293B7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14:paraId="1029AA4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A944E85" w14:textId="77777777" w:rsidTr="002E3752">
        <w:trPr>
          <w:cantSplit/>
        </w:trPr>
        <w:tc>
          <w:tcPr>
            <w:tcW w:w="6663" w:type="dxa"/>
          </w:tcPr>
          <w:p w14:paraId="0C6A36B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14:paraId="61C2D5E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9FECEEC" w14:textId="77777777" w:rsidTr="009546EA">
        <w:trPr>
          <w:cantSplit/>
        </w:trPr>
        <w:tc>
          <w:tcPr>
            <w:tcW w:w="10031" w:type="dxa"/>
            <w:gridSpan w:val="2"/>
          </w:tcPr>
          <w:p w14:paraId="7694EAC0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B1F274A" w14:textId="77777777">
        <w:trPr>
          <w:cantSplit/>
        </w:trPr>
        <w:tc>
          <w:tcPr>
            <w:tcW w:w="10031" w:type="dxa"/>
            <w:gridSpan w:val="2"/>
          </w:tcPr>
          <w:p w14:paraId="4F550149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Япония</w:t>
            </w:r>
          </w:p>
        </w:tc>
      </w:tr>
      <w:tr w:rsidR="000F33D8" w:rsidRPr="000A0EF3" w14:paraId="4CB6F638" w14:textId="77777777">
        <w:trPr>
          <w:cantSplit/>
        </w:trPr>
        <w:tc>
          <w:tcPr>
            <w:tcW w:w="10031" w:type="dxa"/>
            <w:gridSpan w:val="2"/>
          </w:tcPr>
          <w:p w14:paraId="4532E639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0789D70" w14:textId="77777777">
        <w:trPr>
          <w:cantSplit/>
        </w:trPr>
        <w:tc>
          <w:tcPr>
            <w:tcW w:w="10031" w:type="dxa"/>
            <w:gridSpan w:val="2"/>
          </w:tcPr>
          <w:p w14:paraId="22109032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598FE026" w14:textId="77777777">
        <w:trPr>
          <w:cantSplit/>
        </w:trPr>
        <w:tc>
          <w:tcPr>
            <w:tcW w:w="10031" w:type="dxa"/>
            <w:gridSpan w:val="2"/>
          </w:tcPr>
          <w:p w14:paraId="5E3CB245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1.13 повестки дня</w:t>
            </w:r>
          </w:p>
        </w:tc>
      </w:tr>
    </w:tbl>
    <w:bookmarkEnd w:id="6"/>
    <w:p w14:paraId="7F96FEE6" w14:textId="77777777" w:rsidR="00D51940" w:rsidRPr="000878E6" w:rsidRDefault="00E14894" w:rsidP="005D36FD">
      <w:pPr>
        <w:pStyle w:val="Normalaftertitle0"/>
        <w:rPr>
          <w:szCs w:val="22"/>
          <w:lang w:val="fr-CA"/>
        </w:rPr>
      </w:pPr>
      <w:r w:rsidRPr="00205246">
        <w:t>1.13</w:t>
      </w:r>
      <w:r w:rsidRPr="00205246">
        <w:tab/>
        <w:t xml:space="preserve"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</w:t>
      </w:r>
      <w:r w:rsidRPr="00205246">
        <w:t>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485EA954" w14:textId="77777777" w:rsidR="005D36FD" w:rsidRPr="00717C94" w:rsidRDefault="005D36FD" w:rsidP="005D36FD">
      <w:pPr>
        <w:pStyle w:val="Headingb"/>
        <w:rPr>
          <w:lang w:val="ru-RU"/>
        </w:rPr>
      </w:pPr>
      <w:r w:rsidRPr="00717C94">
        <w:rPr>
          <w:lang w:val="ru-RU"/>
        </w:rPr>
        <w:t>Введение</w:t>
      </w:r>
      <w:bookmarkStart w:id="7" w:name="_GoBack"/>
      <w:bookmarkEnd w:id="7"/>
    </w:p>
    <w:p w14:paraId="7292E4CA" w14:textId="77777777" w:rsidR="005D36FD" w:rsidRPr="00717C94" w:rsidRDefault="005D36FD" w:rsidP="005D36FD">
      <w:r w:rsidRPr="00717C94">
        <w:t>В настоящем документе представлены предложения Японии в отношении полос частот 37−40,5 ГГц, 40,5−42,5 ГГц и 42,5−43,5 ГГц в соответствии с пунктом 1.13 повестки дня ВКР</w:t>
      </w:r>
      <w:r>
        <w:noBreakHyphen/>
      </w:r>
      <w:r w:rsidRPr="00717C94">
        <w:t>19.</w:t>
      </w:r>
    </w:p>
    <w:p w14:paraId="085FFB18" w14:textId="77777777" w:rsidR="005D36FD" w:rsidRPr="00717C94" w:rsidRDefault="005D36FD" w:rsidP="005D36FD">
      <w:pPr>
        <w:pStyle w:val="Headingb"/>
        <w:rPr>
          <w:lang w:val="ru-RU"/>
        </w:rPr>
      </w:pPr>
      <w:r w:rsidRPr="00717C94">
        <w:rPr>
          <w:lang w:val="ru-RU"/>
        </w:rPr>
        <w:t>Предложение</w:t>
      </w:r>
    </w:p>
    <w:p w14:paraId="653075CC" w14:textId="77777777" w:rsidR="005D36FD" w:rsidRPr="00717C94" w:rsidRDefault="005D36FD" w:rsidP="005D36FD">
      <w:r w:rsidRPr="00717C94">
        <w:t xml:space="preserve">Япония поддерживает общие предложения </w:t>
      </w:r>
      <w:proofErr w:type="spellStart"/>
      <w:r w:rsidRPr="00717C94">
        <w:t>АТСЭ</w:t>
      </w:r>
      <w:proofErr w:type="spellEnd"/>
      <w:r w:rsidRPr="00717C94">
        <w:t xml:space="preserve"> в отношении полос частот 37−40,5, 40,5−42,5 и 42,5−43,5 ГГц в соответствии с пунктом 1.13 повестки дня ВКР</w:t>
      </w:r>
      <w:r>
        <w:noBreakHyphen/>
      </w:r>
      <w:r w:rsidRPr="00717C94">
        <w:t xml:space="preserve">19, а именно определить полосу частот 37−43,5 ГГц или ее участки для IMT на всемирной основе с помощью методов </w:t>
      </w:r>
      <w:proofErr w:type="spellStart"/>
      <w:r w:rsidRPr="00717C94">
        <w:t>C2</w:t>
      </w:r>
      <w:proofErr w:type="spellEnd"/>
      <w:r w:rsidRPr="00717C94">
        <w:t xml:space="preserve">, </w:t>
      </w:r>
      <w:proofErr w:type="spellStart"/>
      <w:r w:rsidRPr="00717C94">
        <w:t>D2</w:t>
      </w:r>
      <w:proofErr w:type="spellEnd"/>
      <w:r w:rsidRPr="00717C94">
        <w:t xml:space="preserve"> и </w:t>
      </w:r>
      <w:proofErr w:type="spellStart"/>
      <w:r w:rsidRPr="00717C94">
        <w:t>E2</w:t>
      </w:r>
      <w:proofErr w:type="spellEnd"/>
      <w:r w:rsidRPr="00717C94">
        <w:t xml:space="preserve"> с использованием альтернативного варианта 2 Отчета ПСК наряду с принятием новой </w:t>
      </w:r>
      <w:r>
        <w:t>Р</w:t>
      </w:r>
      <w:r w:rsidRPr="00717C94">
        <w:t>езолюции ВКР.</w:t>
      </w:r>
    </w:p>
    <w:p w14:paraId="0F240827" w14:textId="77777777" w:rsidR="005D36FD" w:rsidRPr="00717C94" w:rsidRDefault="005D36FD" w:rsidP="005D36FD">
      <w:r w:rsidRPr="00717C94">
        <w:t xml:space="preserve">В качестве дополнения к общим предложениям </w:t>
      </w:r>
      <w:proofErr w:type="spellStart"/>
      <w:r w:rsidRPr="00717C94">
        <w:t>АТСЭ</w:t>
      </w:r>
      <w:proofErr w:type="spellEnd"/>
      <w:r w:rsidRPr="00717C94">
        <w:t xml:space="preserve"> Япония предлагает добавить ряд положений в новые </w:t>
      </w:r>
      <w:r>
        <w:t>Р</w:t>
      </w:r>
      <w:r w:rsidRPr="00717C94">
        <w:t>езолюции ВКР, как представлено ниже.</w:t>
      </w:r>
    </w:p>
    <w:p w14:paraId="74596900" w14:textId="77777777" w:rsidR="005D36FD" w:rsidRPr="00717C94" w:rsidRDefault="005D36FD" w:rsidP="005D36FD">
      <w:r w:rsidRPr="00717C94">
        <w:br w:type="page"/>
      </w:r>
    </w:p>
    <w:p w14:paraId="00D721CF" w14:textId="77777777" w:rsidR="003E3592" w:rsidRDefault="00E14894">
      <w:pPr>
        <w:pStyle w:val="Proposal"/>
      </w:pPr>
      <w:r>
        <w:lastRenderedPageBreak/>
        <w:t>ADD</w:t>
      </w:r>
      <w:r>
        <w:tab/>
        <w:t>J/</w:t>
      </w:r>
      <w:proofErr w:type="spellStart"/>
      <w:r>
        <w:t>80A13A2</w:t>
      </w:r>
      <w:proofErr w:type="spellEnd"/>
      <w:r>
        <w:t>/1</w:t>
      </w:r>
      <w:r>
        <w:rPr>
          <w:vanish/>
          <w:color w:val="7F7F7F" w:themeColor="text1" w:themeTint="80"/>
          <w:vertAlign w:val="superscript"/>
        </w:rPr>
        <w:t>#49927</w:t>
      </w:r>
    </w:p>
    <w:p w14:paraId="2994B328" w14:textId="77777777" w:rsidR="005D36FD" w:rsidRPr="00717C94" w:rsidRDefault="005D36FD" w:rsidP="005D36FD">
      <w:pPr>
        <w:pStyle w:val="ResNo"/>
      </w:pPr>
      <w:r w:rsidRPr="00717C94">
        <w:t>ПРОЕКТ НОВОЙ РЕЗОЛЮЦИИ [J-</w:t>
      </w:r>
      <w:proofErr w:type="spellStart"/>
      <w:r w:rsidRPr="00717C94">
        <w:t>B113</w:t>
      </w:r>
      <w:proofErr w:type="spellEnd"/>
      <w:r w:rsidRPr="00717C94">
        <w:t xml:space="preserve">-IMT 40/50 </w:t>
      </w:r>
      <w:proofErr w:type="spellStart"/>
      <w:r w:rsidRPr="00717C94">
        <w:t>GHZ</w:t>
      </w:r>
      <w:proofErr w:type="spellEnd"/>
      <w:r w:rsidRPr="00717C94">
        <w:t>] (ВКР</w:t>
      </w:r>
      <w:r w:rsidRPr="00717C94">
        <w:noBreakHyphen/>
        <w:t>19)</w:t>
      </w:r>
    </w:p>
    <w:p w14:paraId="48A9DA46" w14:textId="77777777" w:rsidR="005D36FD" w:rsidRPr="00717C94" w:rsidRDefault="005D36FD" w:rsidP="005D36FD">
      <w:pPr>
        <w:pStyle w:val="Restitle"/>
        <w:rPr>
          <w:lang w:eastAsia="ja-JP"/>
        </w:rPr>
      </w:pPr>
      <w:r w:rsidRPr="00717C94">
        <w:rPr>
          <w:lang w:eastAsia="ja-JP"/>
        </w:rPr>
        <w:t xml:space="preserve">Международная подвижная электросвязь в полосах частот 37–43,5 ГГц </w:t>
      </w:r>
    </w:p>
    <w:p w14:paraId="372799FB" w14:textId="77777777" w:rsidR="005D36FD" w:rsidRPr="00717C94" w:rsidRDefault="005D36FD" w:rsidP="005D36FD">
      <w:pPr>
        <w:pStyle w:val="Normalaftertitle1"/>
        <w:rPr>
          <w:lang w:eastAsia="nl-NL"/>
        </w:rPr>
      </w:pPr>
      <w:r w:rsidRPr="00717C94">
        <w:rPr>
          <w:lang w:eastAsia="nl-NL"/>
        </w:rPr>
        <w:t>Всемирная конференция радиосвязи (Шарм-эль-Шейх, 201</w:t>
      </w:r>
      <w:r w:rsidRPr="00717C94">
        <w:rPr>
          <w:lang w:eastAsia="ja-JP"/>
        </w:rPr>
        <w:t>9 г.</w:t>
      </w:r>
      <w:r w:rsidRPr="00717C94">
        <w:rPr>
          <w:lang w:eastAsia="nl-NL"/>
        </w:rPr>
        <w:t>),</w:t>
      </w:r>
    </w:p>
    <w:p w14:paraId="054AF0E7" w14:textId="77777777" w:rsidR="005D36FD" w:rsidRPr="00717C94" w:rsidRDefault="005D36FD" w:rsidP="005D36FD">
      <w:pPr>
        <w:pStyle w:val="Call"/>
        <w:rPr>
          <w:i w:val="0"/>
          <w:iCs/>
          <w:lang w:eastAsia="ja-JP"/>
        </w:rPr>
      </w:pPr>
      <w:r w:rsidRPr="00717C94">
        <w:t>учитывая</w:t>
      </w:r>
      <w:r w:rsidRPr="00717C94">
        <w:rPr>
          <w:i w:val="0"/>
          <w:iCs/>
        </w:rPr>
        <w:t>,</w:t>
      </w:r>
    </w:p>
    <w:p w14:paraId="270882AB" w14:textId="77777777" w:rsidR="005D36FD" w:rsidRPr="00717C94" w:rsidRDefault="005D36FD" w:rsidP="005D36FD">
      <w:pPr>
        <w:rPr>
          <w:iCs/>
          <w:lang w:eastAsia="ja-JP"/>
        </w:rPr>
      </w:pPr>
      <w:r w:rsidRPr="00717C94">
        <w:rPr>
          <w:iCs/>
        </w:rPr>
        <w:t>...</w:t>
      </w:r>
    </w:p>
    <w:p w14:paraId="0C89AF2B" w14:textId="77777777" w:rsidR="005D36FD" w:rsidRPr="00717C94" w:rsidRDefault="005D36FD" w:rsidP="005D36FD">
      <w:pPr>
        <w:rPr>
          <w:lang w:eastAsia="ja-JP"/>
        </w:rPr>
      </w:pPr>
      <w:r w:rsidRPr="00717C94">
        <w:rPr>
          <w:i/>
          <w:iCs/>
        </w:rPr>
        <w:t>j)</w:t>
      </w:r>
      <w:r w:rsidRPr="00717C94">
        <w:tab/>
        <w:t>что МСЭ</w:t>
      </w:r>
      <w:r w:rsidRPr="00717C94">
        <w:noBreakHyphen/>
        <w:t>R провел в рамках подготовки к ВКР</w:t>
      </w:r>
      <w:r w:rsidRPr="00717C94">
        <w:noBreakHyphen/>
        <w:t>19 исследования совместного использования частот и совместимости со службами, имеющим распределения в полосе частот</w:t>
      </w:r>
      <w:r w:rsidRPr="00717C94">
        <w:rPr>
          <w:lang w:eastAsia="ja-JP"/>
        </w:rPr>
        <w:t xml:space="preserve"> 37−43,5 ГГц и соседней с ней полосе, на основании характеристик, имеющихся на тот момент времени</w:t>
      </w:r>
      <w:r w:rsidRPr="00717C94">
        <w:t>;</w:t>
      </w:r>
    </w:p>
    <w:p w14:paraId="1911BE52" w14:textId="77777777" w:rsidR="005D36FD" w:rsidRPr="00717C94" w:rsidRDefault="005D36FD" w:rsidP="005D36FD">
      <w:pPr>
        <w:rPr>
          <w:lang w:eastAsia="nl-NL"/>
        </w:rPr>
      </w:pPr>
      <w:r w:rsidRPr="00717C94">
        <w:rPr>
          <w:i/>
          <w:iCs/>
          <w:lang w:eastAsia="nl-NL"/>
        </w:rPr>
        <w:t>k)</w:t>
      </w:r>
      <w:r w:rsidRPr="00717C94">
        <w:rPr>
          <w:lang w:eastAsia="nl-NL"/>
        </w:rPr>
        <w:tab/>
        <w:t>что результаты проведенных МСЭ</w:t>
      </w:r>
      <w:r w:rsidRPr="00717C94">
        <w:rPr>
          <w:lang w:eastAsia="nl-NL"/>
        </w:rPr>
        <w:noBreakHyphen/>
        <w:t>R исследований совместимости систем IMT</w:t>
      </w:r>
      <w:r w:rsidRPr="00717C94">
        <w:rPr>
          <w:lang w:eastAsia="nl-NL"/>
        </w:rPr>
        <w:noBreakHyphen/>
        <w:t>2020 имеют вероятностный характер и, вследствие этого, параметры развертывания систем IMT</w:t>
      </w:r>
      <w:r w:rsidRPr="00717C94">
        <w:rPr>
          <w:lang w:eastAsia="nl-NL"/>
        </w:rPr>
        <w:noBreakHyphen/>
        <w:t>2020, влияющие на совместимость со спутниковыми приемниками, могут изменяться в процессе реального внедрения и развертывания сетей IMT</w:t>
      </w:r>
      <w:r w:rsidRPr="00717C94">
        <w:rPr>
          <w:lang w:eastAsia="nl-NL"/>
        </w:rPr>
        <w:noBreakHyphen/>
        <w:t>2020;</w:t>
      </w:r>
    </w:p>
    <w:p w14:paraId="58BEFE05" w14:textId="77777777" w:rsidR="005D36FD" w:rsidRPr="00717C94" w:rsidRDefault="005D36FD" w:rsidP="005D36FD">
      <w:pPr>
        <w:rPr>
          <w:lang w:eastAsia="nl-NL"/>
        </w:rPr>
      </w:pPr>
      <w:r w:rsidRPr="00717C94">
        <w:rPr>
          <w:i/>
        </w:rPr>
        <w:t>l)</w:t>
      </w:r>
      <w:r w:rsidRPr="00717C94">
        <w:tab/>
      </w:r>
      <w:r w:rsidRPr="00717C94">
        <w:rPr>
          <w:lang w:eastAsia="nl-NL"/>
        </w:rPr>
        <w:t>что угол места при (электрическом и механическом) наведении главного луча обычно должен быть ниже горизонта для базовых станций вне помещения;</w:t>
      </w:r>
    </w:p>
    <w:p w14:paraId="3223E26E" w14:textId="77777777" w:rsidR="005D36FD" w:rsidRPr="00717C94" w:rsidRDefault="005D36FD" w:rsidP="005D36FD">
      <w:r w:rsidRPr="00717C94">
        <w:rPr>
          <w:i/>
          <w:iCs/>
        </w:rPr>
        <w:t>m)</w:t>
      </w:r>
      <w:r w:rsidRPr="00717C94">
        <w:tab/>
        <w:t xml:space="preserve">что в исследованиях совместного использования частот предполагается, </w:t>
      </w:r>
      <w:r w:rsidRPr="00717C94">
        <w:rPr>
          <w:color w:val="000000"/>
        </w:rPr>
        <w:t xml:space="preserve">что </w:t>
      </w:r>
      <w:r w:rsidRPr="00717C94">
        <w:t>покрытие точек доступа вне помещения достигается при развертывании базовых станций, поддерживающих связь с терминалами на земле и весьма ограниченным количеством терминалов внутри помещения с</w:t>
      </w:r>
      <w:r>
        <w:rPr>
          <w:lang w:val="en-US"/>
        </w:rPr>
        <w:t> </w:t>
      </w:r>
      <w:r w:rsidRPr="00717C94">
        <w:rPr>
          <w:color w:val="000000"/>
        </w:rPr>
        <w:t>положительным углом места</w:t>
      </w:r>
      <w:r w:rsidRPr="00717C94">
        <w:t xml:space="preserve">, и в результате угол места главного луча базовых станций вне помещения обычно ниже горизонта и таким образом имеет </w:t>
      </w:r>
      <w:r w:rsidRPr="00717C94">
        <w:rPr>
          <w:color w:val="000000"/>
        </w:rPr>
        <w:t>высокую избирательность</w:t>
      </w:r>
      <w:r>
        <w:rPr>
          <w:color w:val="000000"/>
        </w:rPr>
        <w:t xml:space="preserve"> в направлении</w:t>
      </w:r>
      <w:r w:rsidRPr="00717C94">
        <w:rPr>
          <w:color w:val="000000"/>
        </w:rPr>
        <w:t xml:space="preserve"> спутник</w:t>
      </w:r>
      <w:r>
        <w:rPr>
          <w:color w:val="000000"/>
        </w:rPr>
        <w:t>ов</w:t>
      </w:r>
      <w:r w:rsidRPr="00717C94">
        <w:t>,</w:t>
      </w:r>
    </w:p>
    <w:p w14:paraId="25B25CEC" w14:textId="77777777" w:rsidR="005D36FD" w:rsidRPr="00717C94" w:rsidRDefault="005D36FD" w:rsidP="005D36FD">
      <w:pPr>
        <w:rPr>
          <w:iCs/>
          <w:lang w:eastAsia="ja-JP"/>
        </w:rPr>
      </w:pPr>
      <w:r w:rsidRPr="00717C94">
        <w:rPr>
          <w:iCs/>
          <w:lang w:eastAsia="ja-JP"/>
        </w:rPr>
        <w:t>...</w:t>
      </w:r>
    </w:p>
    <w:p w14:paraId="46A37DBC" w14:textId="77777777" w:rsidR="005D36FD" w:rsidRPr="00717C94" w:rsidRDefault="005D36FD" w:rsidP="005D36FD">
      <w:pPr>
        <w:pStyle w:val="Call"/>
      </w:pPr>
      <w:r w:rsidRPr="00717C94">
        <w:t>признавая</w:t>
      </w:r>
      <w:r w:rsidRPr="00717C94">
        <w:rPr>
          <w:i w:val="0"/>
        </w:rPr>
        <w:t>,</w:t>
      </w:r>
    </w:p>
    <w:p w14:paraId="091B7163" w14:textId="77777777" w:rsidR="005D36FD" w:rsidRPr="00717C94" w:rsidRDefault="005D36FD" w:rsidP="005D36FD">
      <w:pPr>
        <w:rPr>
          <w:iCs/>
        </w:rPr>
      </w:pPr>
      <w:r w:rsidRPr="00717C94">
        <w:rPr>
          <w:iCs/>
          <w:lang w:eastAsia="ja-JP"/>
        </w:rPr>
        <w:t>...</w:t>
      </w:r>
    </w:p>
    <w:p w14:paraId="7CD99F81" w14:textId="77777777" w:rsidR="005D36FD" w:rsidRPr="00717C94" w:rsidRDefault="005D36FD" w:rsidP="005D36FD">
      <w:pPr>
        <w:rPr>
          <w:rFonts w:asciiTheme="majorBidi" w:hAnsiTheme="majorBidi" w:cstheme="majorBidi"/>
        </w:rPr>
      </w:pPr>
      <w:r w:rsidRPr="00717C94">
        <w:rPr>
          <w:rFonts w:asciiTheme="majorBidi" w:hAnsiTheme="majorBidi" w:cstheme="majorBidi"/>
          <w:i/>
        </w:rPr>
        <w:t>f)</w:t>
      </w:r>
      <w:r w:rsidRPr="00717C94">
        <w:rPr>
          <w:rFonts w:asciiTheme="majorBidi" w:hAnsiTheme="majorBidi" w:cstheme="majorBidi"/>
        </w:rPr>
        <w:tab/>
      </w:r>
      <w:r w:rsidRPr="00717C94">
        <w:t xml:space="preserve">что исследования МСЭ-R показали возможность совместного использования IMT и </w:t>
      </w:r>
      <w:proofErr w:type="spellStart"/>
      <w:r w:rsidRPr="00717C94">
        <w:t>ФСС</w:t>
      </w:r>
      <w:proofErr w:type="spellEnd"/>
      <w:r w:rsidRPr="00717C94">
        <w:t xml:space="preserve"> (Земля-космос) полосы частот 42,5−43,5 ГГц, исходя из набора основных параметров, включая плотность развертывания базовых станций IMT, составляющую 1200 на 10 000 </w:t>
      </w:r>
      <w:proofErr w:type="spellStart"/>
      <w:r w:rsidRPr="00717C94">
        <w:t>км</w:t>
      </w:r>
      <w:r w:rsidRPr="00717C94">
        <w:rPr>
          <w:vertAlign w:val="superscript"/>
        </w:rPr>
        <w:t>2</w:t>
      </w:r>
      <w:proofErr w:type="spellEnd"/>
      <w:r w:rsidRPr="00717C94">
        <w:rPr>
          <w:rFonts w:asciiTheme="majorBidi" w:hAnsiTheme="majorBidi" w:cstheme="majorBidi"/>
        </w:rPr>
        <w:t>,</w:t>
      </w:r>
    </w:p>
    <w:p w14:paraId="43C90F13" w14:textId="77777777" w:rsidR="005D36FD" w:rsidRPr="00717C94" w:rsidRDefault="005D36FD" w:rsidP="005D36FD">
      <w:pPr>
        <w:pStyle w:val="Call"/>
        <w:rPr>
          <w:iCs/>
        </w:rPr>
      </w:pPr>
      <w:r w:rsidRPr="00717C94">
        <w:t>решает</w:t>
      </w:r>
      <w:r w:rsidRPr="007B325A">
        <w:rPr>
          <w:i w:val="0"/>
        </w:rPr>
        <w:t>,</w:t>
      </w:r>
    </w:p>
    <w:p w14:paraId="13542572" w14:textId="77777777" w:rsidR="005D36FD" w:rsidRPr="00717C94" w:rsidRDefault="005D36FD" w:rsidP="005D36FD">
      <w:pPr>
        <w:pStyle w:val="Note"/>
        <w:spacing w:after="120"/>
        <w:rPr>
          <w:lang w:val="ru-RU" w:eastAsia="ja-JP"/>
        </w:rPr>
      </w:pPr>
      <w:r w:rsidRPr="00717C94">
        <w:rPr>
          <w:lang w:val="ru-RU" w:eastAsia="ja-JP"/>
        </w:rPr>
        <w:t>...</w:t>
      </w:r>
    </w:p>
    <w:p w14:paraId="1E2D3C37" w14:textId="77777777" w:rsidR="005D36FD" w:rsidRPr="00717C94" w:rsidRDefault="005D36FD" w:rsidP="005D36FD">
      <w:pPr>
        <w:rPr>
          <w:iCs/>
          <w:lang w:eastAsia="ja-JP"/>
        </w:rPr>
      </w:pPr>
      <w:r>
        <w:rPr>
          <w:iCs/>
          <w:lang w:eastAsia="ja-JP"/>
        </w:rPr>
        <w:t>1</w:t>
      </w:r>
      <w:r w:rsidRPr="00717C94">
        <w:rPr>
          <w:iCs/>
          <w:lang w:eastAsia="ja-JP"/>
        </w:rPr>
        <w:tab/>
        <w:t>что нежелательные излучения станций IMT, которые введены в действие в полосах частот и службах, перечисленных в Таблице 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486BCD7E" w14:textId="77777777" w:rsidR="005D36FD" w:rsidRPr="00717C94" w:rsidRDefault="005D36FD" w:rsidP="005D36FD">
      <w:pPr>
        <w:pStyle w:val="TableNo"/>
        <w:rPr>
          <w:lang w:eastAsia="ja-JP"/>
        </w:rPr>
      </w:pPr>
      <w:r w:rsidRPr="00717C94">
        <w:t>ТАБЛИЦА </w:t>
      </w:r>
      <w:r w:rsidRPr="00717C94">
        <w:rPr>
          <w:lang w:eastAsia="ja-JP"/>
        </w:rPr>
        <w:t>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418"/>
        <w:gridCol w:w="4881"/>
      </w:tblGrid>
      <w:tr w:rsidR="005D36FD" w:rsidRPr="00717C94" w14:paraId="083E344E" w14:textId="77777777" w:rsidTr="00186FCA">
        <w:trPr>
          <w:cantSplit/>
          <w:jc w:val="center"/>
        </w:trPr>
        <w:tc>
          <w:tcPr>
            <w:tcW w:w="1696" w:type="dxa"/>
            <w:vAlign w:val="center"/>
          </w:tcPr>
          <w:p w14:paraId="6AB7277F" w14:textId="77777777" w:rsidR="005D36FD" w:rsidRPr="00717C94" w:rsidRDefault="005D36FD" w:rsidP="00186FCA">
            <w:pPr>
              <w:pStyle w:val="Tablehead"/>
              <w:rPr>
                <w:lang w:val="ru-RU"/>
              </w:rPr>
            </w:pPr>
            <w:r w:rsidRPr="00717C94">
              <w:rPr>
                <w:lang w:val="ru-RU"/>
              </w:rPr>
              <w:t xml:space="preserve">Полоса </w:t>
            </w:r>
            <w:r w:rsidRPr="00717C94">
              <w:rPr>
                <w:lang w:val="ru-RU"/>
              </w:rPr>
              <w:br/>
            </w:r>
            <w:proofErr w:type="spellStart"/>
            <w:r w:rsidRPr="00717C94">
              <w:rPr>
                <w:lang w:val="ru-RU"/>
              </w:rPr>
              <w:t>ССИЗ</w:t>
            </w:r>
            <w:proofErr w:type="spellEnd"/>
            <w:r w:rsidRPr="00717C94">
              <w:rPr>
                <w:lang w:val="ru-RU"/>
              </w:rPr>
              <w:br/>
              <w:t>(пассивной)</w:t>
            </w:r>
          </w:p>
        </w:tc>
        <w:tc>
          <w:tcPr>
            <w:tcW w:w="1701" w:type="dxa"/>
            <w:vAlign w:val="center"/>
          </w:tcPr>
          <w:p w14:paraId="0F733358" w14:textId="77777777" w:rsidR="005D36FD" w:rsidRPr="00717C94" w:rsidRDefault="005D36FD" w:rsidP="00186FCA">
            <w:pPr>
              <w:pStyle w:val="Tablehead"/>
              <w:rPr>
                <w:lang w:val="ru-RU"/>
              </w:rPr>
            </w:pPr>
            <w:r w:rsidRPr="00717C94">
              <w:rPr>
                <w:lang w:val="ru-RU"/>
              </w:rPr>
              <w:t>Полоса активной службы</w:t>
            </w:r>
          </w:p>
        </w:tc>
        <w:tc>
          <w:tcPr>
            <w:tcW w:w="1418" w:type="dxa"/>
            <w:vAlign w:val="center"/>
          </w:tcPr>
          <w:p w14:paraId="51856247" w14:textId="77777777" w:rsidR="005D36FD" w:rsidRPr="00717C94" w:rsidRDefault="005D36FD" w:rsidP="00186FCA">
            <w:pPr>
              <w:pStyle w:val="Tablehead"/>
              <w:rPr>
                <w:lang w:val="ru-RU"/>
              </w:rPr>
            </w:pPr>
            <w:r w:rsidRPr="00717C94">
              <w:rPr>
                <w:lang w:val="ru-RU"/>
              </w:rPr>
              <w:t>Активная служба</w:t>
            </w:r>
          </w:p>
        </w:tc>
        <w:tc>
          <w:tcPr>
            <w:tcW w:w="4881" w:type="dxa"/>
            <w:vAlign w:val="center"/>
          </w:tcPr>
          <w:p w14:paraId="05181730" w14:textId="77777777" w:rsidR="005D36FD" w:rsidRPr="00717C94" w:rsidRDefault="005D36FD" w:rsidP="00186FCA">
            <w:pPr>
              <w:pStyle w:val="Tablehead"/>
              <w:rPr>
                <w:lang w:val="ru-RU"/>
              </w:rPr>
            </w:pPr>
            <w:r w:rsidRPr="00717C94">
              <w:rPr>
                <w:lang w:val="ru-RU"/>
              </w:rPr>
              <w:t>Предельные значения мощности нежелательного излучения от станций IMT</w:t>
            </w:r>
            <w:r w:rsidRPr="00717C94">
              <w:rPr>
                <w:lang w:val="ru-RU"/>
              </w:rPr>
              <w:noBreakHyphen/>
              <w:t xml:space="preserve">2020 в указанной ширине полосы в полосе </w:t>
            </w:r>
            <w:proofErr w:type="spellStart"/>
            <w:r w:rsidRPr="00717C94">
              <w:rPr>
                <w:lang w:val="ru-RU"/>
              </w:rPr>
              <w:t>ССИЗ</w:t>
            </w:r>
            <w:proofErr w:type="spellEnd"/>
            <w:r w:rsidRPr="00717C94">
              <w:rPr>
                <w:lang w:val="ru-RU"/>
              </w:rPr>
              <w:t> (пассивной)</w:t>
            </w:r>
            <w:r w:rsidRPr="001D7A77">
              <w:rPr>
                <w:rStyle w:val="FootnoteReference"/>
                <w:lang w:val="ru-RU"/>
              </w:rPr>
              <w:t>1</w:t>
            </w:r>
          </w:p>
        </w:tc>
      </w:tr>
      <w:tr w:rsidR="005D36FD" w:rsidRPr="00717C94" w14:paraId="3B0E7624" w14:textId="77777777" w:rsidTr="00186FCA">
        <w:trPr>
          <w:cantSplit/>
          <w:trHeight w:val="201"/>
          <w:jc w:val="center"/>
        </w:trPr>
        <w:tc>
          <w:tcPr>
            <w:tcW w:w="1696" w:type="dxa"/>
            <w:vAlign w:val="center"/>
          </w:tcPr>
          <w:p w14:paraId="556939B9" w14:textId="77777777" w:rsidR="005D36FD" w:rsidRPr="00717C94" w:rsidRDefault="005D36FD" w:rsidP="00186FCA">
            <w:pPr>
              <w:pStyle w:val="Tabletext"/>
              <w:jc w:val="center"/>
            </w:pPr>
            <w:r w:rsidRPr="00717C94">
              <w:t>36−37 ГГц</w:t>
            </w:r>
          </w:p>
        </w:tc>
        <w:tc>
          <w:tcPr>
            <w:tcW w:w="1701" w:type="dxa"/>
            <w:vAlign w:val="center"/>
          </w:tcPr>
          <w:p w14:paraId="40D8608C" w14:textId="77777777" w:rsidR="005D36FD" w:rsidRPr="00717C94" w:rsidRDefault="005D36FD" w:rsidP="00186FCA">
            <w:pPr>
              <w:pStyle w:val="Tabletext"/>
              <w:jc w:val="center"/>
              <w:rPr>
                <w:b/>
                <w:bCs/>
                <w:lang w:eastAsia="ko-KR"/>
              </w:rPr>
            </w:pPr>
            <w:r w:rsidRPr="00717C94">
              <w:rPr>
                <w:bCs/>
              </w:rPr>
              <w:t>37−40,5 ГГц</w:t>
            </w:r>
          </w:p>
        </w:tc>
        <w:tc>
          <w:tcPr>
            <w:tcW w:w="1418" w:type="dxa"/>
            <w:vAlign w:val="center"/>
          </w:tcPr>
          <w:p w14:paraId="47FCBBBE" w14:textId="77777777" w:rsidR="005D36FD" w:rsidRPr="00717C94" w:rsidRDefault="005D36FD" w:rsidP="00186FCA">
            <w:pPr>
              <w:pStyle w:val="Tabletext"/>
              <w:jc w:val="center"/>
              <w:rPr>
                <w:lang w:eastAsia="ko-KR"/>
              </w:rPr>
            </w:pPr>
            <w:r w:rsidRPr="00717C94">
              <w:t>Подвижная</w:t>
            </w:r>
          </w:p>
        </w:tc>
        <w:tc>
          <w:tcPr>
            <w:tcW w:w="4881" w:type="dxa"/>
          </w:tcPr>
          <w:p w14:paraId="45BB3C8B" w14:textId="77777777" w:rsidR="005D36FD" w:rsidRPr="00717C94" w:rsidRDefault="005D36FD" w:rsidP="00186FCA">
            <w:pPr>
              <w:pStyle w:val="Tabletext"/>
              <w:jc w:val="center"/>
              <w:rPr>
                <w:lang w:eastAsia="ko-KR"/>
              </w:rPr>
            </w:pPr>
            <w:r w:rsidRPr="00717C94">
              <w:rPr>
                <w:lang w:eastAsia="ja-JP"/>
              </w:rPr>
              <w:t>[</w:t>
            </w:r>
            <w:proofErr w:type="spellStart"/>
            <w:r w:rsidRPr="00717C94">
              <w:rPr>
                <w:lang w:eastAsia="ja-JP"/>
              </w:rPr>
              <w:t>TBD</w:t>
            </w:r>
            <w:proofErr w:type="spellEnd"/>
            <w:r w:rsidRPr="00717C94">
              <w:rPr>
                <w:lang w:eastAsia="ja-JP"/>
              </w:rPr>
              <w:t xml:space="preserve">] дБ(Вт/100 МГц) для </w:t>
            </w:r>
            <w:proofErr w:type="spellStart"/>
            <w:r w:rsidRPr="00717C94">
              <w:rPr>
                <w:lang w:eastAsia="ja-JP"/>
              </w:rPr>
              <w:t>БС</w:t>
            </w:r>
            <w:proofErr w:type="spellEnd"/>
            <w:r w:rsidRPr="00717C94">
              <w:rPr>
                <w:lang w:eastAsia="ja-JP"/>
              </w:rPr>
              <w:t xml:space="preserve"> и </w:t>
            </w:r>
            <w:r w:rsidRPr="00717C94">
              <w:rPr>
                <w:lang w:eastAsia="ja-JP"/>
              </w:rPr>
              <w:br/>
              <w:t>[</w:t>
            </w:r>
            <w:proofErr w:type="spellStart"/>
            <w:r w:rsidRPr="00717C94">
              <w:rPr>
                <w:lang w:eastAsia="ja-JP"/>
              </w:rPr>
              <w:t>TBD</w:t>
            </w:r>
            <w:proofErr w:type="spellEnd"/>
            <w:r w:rsidRPr="00717C94">
              <w:rPr>
                <w:lang w:eastAsia="ja-JP"/>
              </w:rPr>
              <w:t xml:space="preserve">] дБ(Вт/100 МГц) для </w:t>
            </w:r>
            <w:proofErr w:type="spellStart"/>
            <w:r w:rsidRPr="00717C94">
              <w:rPr>
                <w:lang w:eastAsia="ja-JP"/>
              </w:rPr>
              <w:t>UE</w:t>
            </w:r>
            <w:proofErr w:type="spellEnd"/>
            <w:r w:rsidRPr="00717C94">
              <w:rPr>
                <w:lang w:eastAsia="ja-JP"/>
              </w:rPr>
              <w:t>.</w:t>
            </w:r>
          </w:p>
        </w:tc>
      </w:tr>
      <w:tr w:rsidR="005D36FD" w:rsidRPr="00717C94" w14:paraId="3946EE85" w14:textId="77777777" w:rsidTr="00186FCA">
        <w:trPr>
          <w:cantSplit/>
          <w:jc w:val="center"/>
        </w:trPr>
        <w:tc>
          <w:tcPr>
            <w:tcW w:w="96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4D70E28" w14:textId="77777777" w:rsidR="005D36FD" w:rsidRPr="00717C94" w:rsidRDefault="005D36FD" w:rsidP="00186FCA">
            <w:pPr>
              <w:pStyle w:val="Tablelegend"/>
            </w:pPr>
            <w:r w:rsidRPr="00717C94">
              <w:rPr>
                <w:rStyle w:val="FootnoteReference"/>
              </w:rPr>
              <w:t>1</w:t>
            </w:r>
            <w:r w:rsidRPr="00717C94">
              <w:tab/>
            </w:r>
            <w:r w:rsidRPr="001D7A77">
              <w:t>Уровень мощности нежелательного излучения измеряется как общая излучаемая мощность (</w:t>
            </w:r>
            <w:proofErr w:type="spellStart"/>
            <w:r w:rsidRPr="001D7A77">
              <w:t>TRP</w:t>
            </w:r>
            <w:proofErr w:type="spellEnd"/>
            <w:r w:rsidRPr="001D7A77">
              <w:t xml:space="preserve">). Под </w:t>
            </w:r>
            <w:proofErr w:type="spellStart"/>
            <w:r w:rsidRPr="001D7A77">
              <w:t>TRP</w:t>
            </w:r>
            <w:proofErr w:type="spellEnd"/>
            <w:r w:rsidRPr="001D7A77">
              <w:t xml:space="preserve"> здесь понимается суммарная мощность, передаваемая в различных направлениях по всей сфере излучения.</w:t>
            </w:r>
          </w:p>
        </w:tc>
      </w:tr>
    </w:tbl>
    <w:p w14:paraId="713943EC" w14:textId="77777777" w:rsidR="005D36FD" w:rsidRPr="00717C94" w:rsidRDefault="005D36FD" w:rsidP="005D36FD">
      <w:pPr>
        <w:rPr>
          <w:lang w:eastAsia="ja-JP"/>
        </w:rPr>
      </w:pPr>
      <w:r w:rsidRPr="00717C94">
        <w:rPr>
          <w:iCs/>
          <w:lang w:eastAsia="ja-JP"/>
        </w:rPr>
        <w:lastRenderedPageBreak/>
        <w:t>2</w:t>
      </w:r>
      <w:r w:rsidRPr="00717C94">
        <w:rPr>
          <w:i/>
          <w:iCs/>
        </w:rPr>
        <w:tab/>
      </w:r>
      <w:r w:rsidRPr="00717C94">
        <w:t>что при развертывании базовых станций IMT вне помещения</w:t>
      </w:r>
      <w:r w:rsidRPr="00717C94">
        <w:rPr>
          <w:lang w:eastAsia="ja-JP"/>
        </w:rPr>
        <w:t xml:space="preserve"> </w:t>
      </w:r>
      <w:r w:rsidRPr="00717C94">
        <w:t>должно быть обеспечено, чтобы каждая антенна при обычных условиях</w:t>
      </w:r>
      <w:r w:rsidRPr="00717C94">
        <w:rPr>
          <w:rStyle w:val="FootnoteReference"/>
        </w:rPr>
        <w:footnoteReference w:customMarkFollows="1" w:id="1"/>
        <w:t>*</w:t>
      </w:r>
      <w:r w:rsidRPr="00717C94">
        <w:t xml:space="preserve"> являлась передающей только при наведении главного луча ниже горизонта, за исключением случаев, когда базовая станция является только приемной</w:t>
      </w:r>
      <w:r>
        <w:t>,</w:t>
      </w:r>
    </w:p>
    <w:p w14:paraId="3CEFAC3F" w14:textId="77777777" w:rsidR="005D36FD" w:rsidRPr="00717C94" w:rsidRDefault="005D36FD" w:rsidP="005D36FD">
      <w:pPr>
        <w:pStyle w:val="Call"/>
      </w:pPr>
      <w:r w:rsidRPr="00717C94">
        <w:t>предлагает МСЭ</w:t>
      </w:r>
      <w:r w:rsidRPr="00717C94">
        <w:noBreakHyphen/>
        <w:t>R</w:t>
      </w:r>
    </w:p>
    <w:p w14:paraId="51AFBBEF" w14:textId="77777777" w:rsidR="005D36FD" w:rsidRPr="00717C94" w:rsidRDefault="005D36FD" w:rsidP="005D36FD">
      <w:pPr>
        <w:rPr>
          <w:lang w:eastAsia="ja-JP"/>
        </w:rPr>
      </w:pPr>
      <w:r w:rsidRPr="00717C94">
        <w:rPr>
          <w:lang w:eastAsia="ja-JP"/>
        </w:rPr>
        <w:t>...</w:t>
      </w:r>
    </w:p>
    <w:p w14:paraId="5DC9B1DD" w14:textId="63C13DC4" w:rsidR="005D36FD" w:rsidRPr="00717C94" w:rsidRDefault="005D36FD" w:rsidP="005D36FD">
      <w:pPr>
        <w:rPr>
          <w:lang w:eastAsia="ja-JP"/>
        </w:rPr>
      </w:pPr>
      <w:r w:rsidRPr="00717C94">
        <w:t>2</w:t>
      </w:r>
      <w:r w:rsidRPr="00717C94">
        <w:tab/>
      </w:r>
      <w:r w:rsidRPr="00717C94">
        <w:rPr>
          <w:lang w:eastAsia="ja-JP"/>
        </w:rPr>
        <w:t xml:space="preserve">разработать Рекомендацию МСЭ-R в зависимости от случая, с тем чтобы предоставить информацию о возможных мерах по координации и защите для существующих и будущих земных станций </w:t>
      </w:r>
      <w:proofErr w:type="spellStart"/>
      <w:r w:rsidRPr="00717C94">
        <w:rPr>
          <w:lang w:eastAsia="ja-JP"/>
        </w:rPr>
        <w:t>СКИ</w:t>
      </w:r>
      <w:proofErr w:type="spellEnd"/>
      <w:r w:rsidRPr="00717C94">
        <w:rPr>
          <w:lang w:eastAsia="ja-JP"/>
        </w:rPr>
        <w:t>, работающих в полосе частот 37</w:t>
      </w:r>
      <w:r w:rsidR="002E3752">
        <w:rPr>
          <w:lang w:val="en-US" w:eastAsia="ja-JP"/>
        </w:rPr>
        <w:t>−</w:t>
      </w:r>
      <w:r w:rsidRPr="00717C94">
        <w:rPr>
          <w:lang w:eastAsia="ja-JP"/>
        </w:rPr>
        <w:t>38 ГГц;</w:t>
      </w:r>
    </w:p>
    <w:p w14:paraId="1DB956A9" w14:textId="77777777" w:rsidR="005D36FD" w:rsidRPr="00717C94" w:rsidRDefault="005D36FD" w:rsidP="005D36FD">
      <w:pPr>
        <w:rPr>
          <w:lang w:eastAsia="ja-JP"/>
        </w:rPr>
      </w:pPr>
      <w:r w:rsidRPr="00717C94">
        <w:rPr>
          <w:lang w:eastAsia="ja-JP"/>
        </w:rPr>
        <w:t>3</w:t>
      </w:r>
      <w:r w:rsidRPr="00717C94">
        <w:rPr>
          <w:lang w:eastAsia="ja-JP"/>
        </w:rPr>
        <w:tab/>
        <w:t xml:space="preserve">регулярно проводить обзор влияния развития технических и эксплуатационных характеристик IMT (включая развертывание и плотность базовых станций с учетом основных параметров, упомянутых выше в пункте </w:t>
      </w:r>
      <w:r w:rsidRPr="001D7A77">
        <w:rPr>
          <w:i/>
          <w:iCs/>
          <w:lang w:eastAsia="ja-JP"/>
        </w:rPr>
        <w:t>f)</w:t>
      </w:r>
      <w:r w:rsidRPr="00717C94">
        <w:rPr>
          <w:lang w:eastAsia="ja-JP"/>
        </w:rPr>
        <w:t xml:space="preserve"> раздела </w:t>
      </w:r>
      <w:r w:rsidRPr="00717C94">
        <w:rPr>
          <w:i/>
          <w:iCs/>
          <w:lang w:eastAsia="ja-JP"/>
        </w:rPr>
        <w:t>признавая</w:t>
      </w:r>
      <w:r w:rsidRPr="00717C94">
        <w:rPr>
          <w:lang w:eastAsia="ja-JP"/>
        </w:rPr>
        <w:t>) на совместное использование частот и совместимость с другими службами (например, космическими службами) и, если необходимо, учитывать результаты этих обзоров при разработке или пересмотре Рекомендаций/Отчетов МСЭ</w:t>
      </w:r>
      <w:r>
        <w:rPr>
          <w:lang w:eastAsia="ja-JP"/>
        </w:rPr>
        <w:noBreakHyphen/>
      </w:r>
      <w:r w:rsidRPr="00717C94">
        <w:rPr>
          <w:lang w:eastAsia="ja-JP"/>
        </w:rPr>
        <w:t>R, например, о характеристиках IMT</w:t>
      </w:r>
      <w:r>
        <w:rPr>
          <w:lang w:eastAsia="ja-JP"/>
        </w:rPr>
        <w:t>.</w:t>
      </w:r>
    </w:p>
    <w:p w14:paraId="6A3E5008" w14:textId="3592B592" w:rsidR="005D36FD" w:rsidRPr="00717C94" w:rsidRDefault="005D36FD" w:rsidP="005D36FD">
      <w:pPr>
        <w:pStyle w:val="Reasons"/>
      </w:pPr>
      <w:r w:rsidRPr="00717C94">
        <w:rPr>
          <w:b/>
        </w:rPr>
        <w:t>Основания</w:t>
      </w:r>
      <w:r w:rsidRPr="001D7A77">
        <w:rPr>
          <w:bCs/>
        </w:rPr>
        <w:t>:</w:t>
      </w:r>
      <w:r w:rsidRPr="00717C94">
        <w:tab/>
        <w:t>Япония поддерживает определение полосы частот 37−</w:t>
      </w:r>
      <w:r>
        <w:t>4</w:t>
      </w:r>
      <w:r w:rsidRPr="00717C94">
        <w:t xml:space="preserve">3,5 ГГц для IMT с учетом условий, предусмотренных в новой </w:t>
      </w:r>
      <w:r>
        <w:t>Р</w:t>
      </w:r>
      <w:r w:rsidRPr="00717C94">
        <w:t xml:space="preserve">езолюции ВКР, как указано выше. Что касается мер защиты </w:t>
      </w:r>
      <w:proofErr w:type="spellStart"/>
      <w:r w:rsidRPr="00717C94">
        <w:t>ССИЗ</w:t>
      </w:r>
      <w:proofErr w:type="spellEnd"/>
      <w:r w:rsidRPr="00717C94">
        <w:t xml:space="preserve"> (пассивной) в полосе частот 36−37 ГГц, то Япония изучает возможность использования варианта 1 условия </w:t>
      </w:r>
      <w:proofErr w:type="spellStart"/>
      <w:r w:rsidRPr="00717C94">
        <w:t>C2a</w:t>
      </w:r>
      <w:proofErr w:type="spellEnd"/>
      <w:r w:rsidRPr="00717C94">
        <w:t xml:space="preserve"> Отчета ПСК. В отношении значений </w:t>
      </w:r>
      <w:proofErr w:type="spellStart"/>
      <w:r w:rsidRPr="00717C94">
        <w:rPr>
          <w:lang w:eastAsia="ja-JP"/>
        </w:rPr>
        <w:t>TBD</w:t>
      </w:r>
      <w:proofErr w:type="spellEnd"/>
      <w:r w:rsidRPr="00717C94">
        <w:rPr>
          <w:lang w:eastAsia="ja-JP"/>
        </w:rPr>
        <w:t xml:space="preserve"> в Таблице 2 Япония рассматривает возможность указания значений в пределах между –47 и –33 дБ(Вт/100 МГц) для базовых станций IMT и между </w:t>
      </w:r>
      <w:r w:rsidRPr="00717C94">
        <w:t>–46 и –32 дБ(Вт/100 МГц) для</w:t>
      </w:r>
      <w:r>
        <w:t xml:space="preserve"> </w:t>
      </w:r>
      <w:r w:rsidRPr="00717C94">
        <w:t>подвижных станций IMT</w:t>
      </w:r>
      <w:r w:rsidR="002E3752">
        <w:t>,</w:t>
      </w:r>
      <w:r w:rsidRPr="00717C94">
        <w:t xml:space="preserve"> соответственно.</w:t>
      </w:r>
      <w:r w:rsidRPr="00717C94">
        <w:rPr>
          <w:lang w:eastAsia="ja-JP"/>
        </w:rPr>
        <w:t xml:space="preserve"> Япония также изучает вопрос дальнейшего </w:t>
      </w:r>
      <w:r>
        <w:rPr>
          <w:lang w:eastAsia="ja-JP"/>
        </w:rPr>
        <w:t>ослабления</w:t>
      </w:r>
      <w:r w:rsidRPr="00717C94">
        <w:rPr>
          <w:lang w:eastAsia="ja-JP"/>
        </w:rPr>
        <w:t xml:space="preserve"> пределов нежелательных излучений станций IMT, связанных с критерием помех для датчиков </w:t>
      </w:r>
      <w:proofErr w:type="spellStart"/>
      <w:r w:rsidRPr="00717C94">
        <w:rPr>
          <w:lang w:eastAsia="ja-JP"/>
        </w:rPr>
        <w:t>ССИЗ</w:t>
      </w:r>
      <w:proofErr w:type="spellEnd"/>
      <w:r w:rsidRPr="00717C94">
        <w:rPr>
          <w:lang w:eastAsia="ja-JP"/>
        </w:rPr>
        <w:t xml:space="preserve"> (пассивной) в полосе частот 36−37 ГГц, </w:t>
      </w:r>
      <w:r>
        <w:rPr>
          <w:lang w:eastAsia="ja-JP"/>
        </w:rPr>
        <w:t>приведенным</w:t>
      </w:r>
      <w:r w:rsidRPr="00717C94">
        <w:rPr>
          <w:lang w:eastAsia="ja-JP"/>
        </w:rPr>
        <w:t xml:space="preserve"> в Рекомендации </w:t>
      </w:r>
      <w:r w:rsidRPr="00717C94">
        <w:t>МСЭ</w:t>
      </w:r>
      <w:r>
        <w:noBreakHyphen/>
      </w:r>
      <w:r w:rsidRPr="00717C94">
        <w:t xml:space="preserve">R </w:t>
      </w:r>
      <w:proofErr w:type="spellStart"/>
      <w:r w:rsidRPr="00717C94">
        <w:t>RS.2017</w:t>
      </w:r>
      <w:proofErr w:type="spellEnd"/>
      <w:r w:rsidRPr="00717C94">
        <w:t xml:space="preserve">, в которой допускается превышение критерия помех в течение 0,1% времени или в </w:t>
      </w:r>
      <w:r>
        <w:t>зоне</w:t>
      </w:r>
      <w:r w:rsidRPr="00717C94">
        <w:t xml:space="preserve"> 10 000 000 </w:t>
      </w:r>
      <w:proofErr w:type="spellStart"/>
      <w:r w:rsidRPr="00717C94">
        <w:t>км</w:t>
      </w:r>
      <w:r w:rsidRPr="00717C94">
        <w:rPr>
          <w:vertAlign w:val="superscript"/>
        </w:rPr>
        <w:t>2</w:t>
      </w:r>
      <w:proofErr w:type="spellEnd"/>
      <w:r w:rsidRPr="00717C94">
        <w:t>.</w:t>
      </w:r>
    </w:p>
    <w:p w14:paraId="69DEA63B" w14:textId="326A7A52" w:rsidR="003E3592" w:rsidRDefault="005D36FD" w:rsidP="005D36FD">
      <w:pPr>
        <w:spacing w:before="720"/>
        <w:jc w:val="center"/>
      </w:pPr>
      <w:r w:rsidRPr="00717C94">
        <w:t>______________</w:t>
      </w:r>
    </w:p>
    <w:sectPr w:rsidR="003E359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9933C" w14:textId="77777777" w:rsidR="00F1578A" w:rsidRDefault="00F1578A">
      <w:r>
        <w:separator/>
      </w:r>
    </w:p>
  </w:endnote>
  <w:endnote w:type="continuationSeparator" w:id="0">
    <w:p w14:paraId="278C53E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843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0942C5" w14:textId="53B5BEF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4894">
      <w:rPr>
        <w:noProof/>
        <w:lang w:val="fr-FR"/>
      </w:rPr>
      <w:t>P:\RUS\ITU-R\CONF-R\CMR19\000\080ADD13ADD02R.docx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4894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4894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954E1" w14:textId="0C4B269C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4894">
      <w:rPr>
        <w:lang w:val="fr-FR"/>
      </w:rPr>
      <w:t>P:\RUS\ITU-R\CONF-R\CMR19\000\080ADD13ADD02R.docx</w:t>
    </w:r>
    <w:r>
      <w:fldChar w:fldCharType="end"/>
    </w:r>
    <w:r w:rsidR="005D36FD">
      <w:t xml:space="preserve"> (462163)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18AD" w14:textId="5096020F" w:rsidR="00567276" w:rsidRPr="005D36FD" w:rsidRDefault="005D36FD" w:rsidP="005D36FD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4894">
      <w:rPr>
        <w:lang w:val="fr-FR"/>
      </w:rPr>
      <w:t>P:\RUS\ITU-R\CONF-R\CMR19\000\080ADD13ADD02R.docx</w:t>
    </w:r>
    <w:r>
      <w:fldChar w:fldCharType="end"/>
    </w:r>
    <w:r>
      <w:t xml:space="preserve"> (462163)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F69A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F3F5E7F" w14:textId="77777777" w:rsidR="00F1578A" w:rsidRDefault="00F1578A">
      <w:r>
        <w:continuationSeparator/>
      </w:r>
    </w:p>
  </w:footnote>
  <w:footnote w:id="1">
    <w:p w14:paraId="25EDE4AD" w14:textId="77777777" w:rsidR="005D36FD" w:rsidRPr="005256B2" w:rsidRDefault="005D36FD" w:rsidP="005D36FD">
      <w:pPr>
        <w:pStyle w:val="FootnoteText"/>
        <w:rPr>
          <w:lang w:val="ru-RU"/>
        </w:rPr>
      </w:pPr>
      <w:r w:rsidRPr="005256B2">
        <w:rPr>
          <w:rStyle w:val="FootnoteReference"/>
          <w:lang w:val="ru-RU"/>
        </w:rPr>
        <w:t>*</w:t>
      </w:r>
      <w:r w:rsidRPr="005256B2">
        <w:rPr>
          <w:lang w:val="ru-RU"/>
        </w:rPr>
        <w:tab/>
      </w:r>
      <w:r>
        <w:rPr>
          <w:lang w:val="ru-RU"/>
        </w:rPr>
        <w:t>Предполагается</w:t>
      </w:r>
      <w:r w:rsidRPr="005256B2">
        <w:rPr>
          <w:lang w:val="ru-RU"/>
        </w:rPr>
        <w:t xml:space="preserve">, </w:t>
      </w:r>
      <w:r>
        <w:rPr>
          <w:lang w:val="ru-RU"/>
        </w:rPr>
        <w:t>что</w:t>
      </w:r>
      <w:r w:rsidRPr="005256B2">
        <w:rPr>
          <w:lang w:val="ru-RU"/>
        </w:rPr>
        <w:t xml:space="preserve"> </w:t>
      </w:r>
      <w:r>
        <w:rPr>
          <w:lang w:val="ru-RU"/>
        </w:rPr>
        <w:t>лишь</w:t>
      </w:r>
      <w:r w:rsidRPr="005256B2">
        <w:rPr>
          <w:lang w:val="ru-RU"/>
        </w:rPr>
        <w:t xml:space="preserve"> </w:t>
      </w:r>
      <w:r>
        <w:rPr>
          <w:lang w:val="ru-RU"/>
        </w:rPr>
        <w:t>ограниченное</w:t>
      </w:r>
      <w:r w:rsidRPr="005256B2">
        <w:rPr>
          <w:lang w:val="ru-RU"/>
        </w:rPr>
        <w:t xml:space="preserve"> </w:t>
      </w:r>
      <w:r>
        <w:rPr>
          <w:lang w:val="ru-RU"/>
        </w:rPr>
        <w:t>число</w:t>
      </w:r>
      <w:r w:rsidRPr="005256B2">
        <w:rPr>
          <w:lang w:val="ru-RU"/>
        </w:rPr>
        <w:t xml:space="preserve"> </w:t>
      </w:r>
      <w:r>
        <w:rPr>
          <w:lang w:val="ru-RU"/>
        </w:rPr>
        <w:t>подвижных</w:t>
      </w:r>
      <w:r w:rsidRPr="005256B2">
        <w:rPr>
          <w:lang w:val="ru-RU"/>
        </w:rPr>
        <w:t xml:space="preserve"> </w:t>
      </w:r>
      <w:r>
        <w:rPr>
          <w:lang w:val="ru-RU"/>
        </w:rPr>
        <w:t xml:space="preserve">станций </w:t>
      </w:r>
      <w:proofErr w:type="spellStart"/>
      <w:r>
        <w:rPr>
          <w:lang w:val="en-US"/>
        </w:rPr>
        <w:t>IMT</w:t>
      </w:r>
      <w:proofErr w:type="spellEnd"/>
      <w:r>
        <w:rPr>
          <w:lang w:val="ru-RU"/>
        </w:rPr>
        <w:t xml:space="preserve"> будут осуществлять связь с базовыми станциями</w:t>
      </w:r>
      <w:r w:rsidRPr="005256B2">
        <w:rPr>
          <w:lang w:val="ru-RU"/>
        </w:rPr>
        <w:t xml:space="preserve"> </w:t>
      </w:r>
      <w:proofErr w:type="spellStart"/>
      <w:r>
        <w:rPr>
          <w:lang w:val="en-US"/>
        </w:rPr>
        <w:t>IMT</w:t>
      </w:r>
      <w:proofErr w:type="spellEnd"/>
      <w:r>
        <w:rPr>
          <w:lang w:val="ru-RU"/>
        </w:rPr>
        <w:t xml:space="preserve"> с</w:t>
      </w:r>
      <w:r w:rsidRPr="005256B2">
        <w:rPr>
          <w:lang w:val="ru-RU"/>
        </w:rPr>
        <w:t xml:space="preserve"> наведени</w:t>
      </w:r>
      <w:r>
        <w:rPr>
          <w:lang w:val="ru-RU"/>
        </w:rPr>
        <w:t>ем</w:t>
      </w:r>
      <w:r w:rsidRPr="005256B2">
        <w:rPr>
          <w:lang w:val="ru-RU"/>
        </w:rPr>
        <w:t xml:space="preserve"> главного луча </w:t>
      </w:r>
      <w:r>
        <w:rPr>
          <w:lang w:val="ru-RU"/>
        </w:rPr>
        <w:t>выше</w:t>
      </w:r>
      <w:r w:rsidRPr="005256B2">
        <w:rPr>
          <w:lang w:val="ru-RU"/>
        </w:rPr>
        <w:t xml:space="preserve"> горизонта</w:t>
      </w:r>
      <w:r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C754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CCB6FF9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80(Add.13)(Add.2)-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E3752"/>
    <w:rsid w:val="00300F84"/>
    <w:rsid w:val="003258F2"/>
    <w:rsid w:val="00344EB8"/>
    <w:rsid w:val="00346BEC"/>
    <w:rsid w:val="00371E4B"/>
    <w:rsid w:val="003C583C"/>
    <w:rsid w:val="003E3592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36FD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14894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EE5A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D36FD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D36FD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Normalaftertitle1">
    <w:name w:val="Normal after title1"/>
    <w:basedOn w:val="Normal"/>
    <w:next w:val="Normal"/>
    <w:qFormat/>
    <w:rsid w:val="005D36FD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13289-3F8F-4BDA-8085-920A9A598F8F}">
  <ds:schemaRefs>
    <ds:schemaRef ds:uri="http://www.w3.org/XML/1998/namespace"/>
    <ds:schemaRef ds:uri="32a1a8c5-2265-4ebc-b7a0-2071e2c5c9bb"/>
    <ds:schemaRef ds:uri="http://purl.org/dc/elements/1.1/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52E216B-6161-4ADB-884A-EB28863C94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FA920-6714-441C-8647-AD25FCD79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67D60-8A9B-48C3-8738-F095A7B3E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737</Words>
  <Characters>4721</Characters>
  <Application>Microsoft Office Word</Application>
  <DocSecurity>0</DocSecurity>
  <Lines>109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R16-WRC19-C-0080!A13-A2!MSW-R</vt:lpstr>
    </vt:vector>
  </TitlesOfParts>
  <Manager>General Secretariat - Pool</Manager>
  <Company>International Telecommunication Union (ITU)</Company>
  <LinksUpToDate>false</LinksUpToDate>
  <CharactersWithSpaces>5413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R16-WRC19-C-0080!A13-A2!MSW-R</dc:title>
  <dc:subject>World Radiocommunication Conference - 2019</dc:subject>
  <dc:creator>Documents Proposals Manager (DPM)</dc:creator>
  <cp:keywords>DPM_v2019.10.11.1_prod</cp:keywords>
  <dc:description/>
  <cp:lastModifiedBy>Russian</cp:lastModifiedBy>
  <cp:revision>4</cp:revision>
  <cp:lastPrinted>2019-10-21T20:43:00Z</cp:lastPrinted>
  <dcterms:created xsi:type="dcterms:W3CDTF">2019-10-21T20:35:00Z</dcterms:created>
  <dcterms:modified xsi:type="dcterms:W3CDTF">2019-10-21T20:43:00Z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