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681DFF3" w14:textId="77777777" w:rsidTr="0050008E">
        <w:trPr>
          <w:cantSplit/>
        </w:trPr>
        <w:tc>
          <w:tcPr>
            <w:tcW w:w="6911" w:type="dxa"/>
          </w:tcPr>
          <w:p w14:paraId="5D8B81C0" w14:textId="77777777" w:rsidR="00BB1D82" w:rsidRPr="00930FFD" w:rsidRDefault="00851625" w:rsidP="00E92B43">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BFD7BC4" w14:textId="77777777" w:rsidR="00BB1D82" w:rsidRPr="002A6F8F" w:rsidRDefault="000A55AE" w:rsidP="00E92B43">
            <w:pPr>
              <w:spacing w:before="0"/>
              <w:jc w:val="right"/>
              <w:rPr>
                <w:lang w:val="en-US"/>
              </w:rPr>
            </w:pPr>
            <w:bookmarkStart w:id="0" w:name="ditulogo"/>
            <w:bookmarkEnd w:id="0"/>
            <w:r>
              <w:rPr>
                <w:rFonts w:ascii="Verdana" w:hAnsi="Verdana"/>
                <w:b/>
                <w:bCs/>
                <w:noProof/>
                <w:lang w:val="en-GB" w:eastAsia="zh-CN"/>
              </w:rPr>
              <w:drawing>
                <wp:inline distT="0" distB="0" distL="0" distR="0" wp14:anchorId="66ED6710" wp14:editId="3C97CC1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4DE85EA" w14:textId="77777777" w:rsidTr="0050008E">
        <w:trPr>
          <w:cantSplit/>
        </w:trPr>
        <w:tc>
          <w:tcPr>
            <w:tcW w:w="6911" w:type="dxa"/>
            <w:tcBorders>
              <w:bottom w:val="single" w:sz="12" w:space="0" w:color="auto"/>
            </w:tcBorders>
          </w:tcPr>
          <w:p w14:paraId="4F794DA2" w14:textId="77777777" w:rsidR="00BB1D82" w:rsidRPr="002A6F8F" w:rsidRDefault="00BB1D82" w:rsidP="00E92B43">
            <w:pPr>
              <w:spacing w:before="0" w:after="48"/>
              <w:rPr>
                <w:b/>
                <w:smallCaps/>
                <w:szCs w:val="24"/>
                <w:lang w:val="en-US"/>
              </w:rPr>
            </w:pPr>
            <w:bookmarkStart w:id="1" w:name="dhead"/>
          </w:p>
        </w:tc>
        <w:tc>
          <w:tcPr>
            <w:tcW w:w="3120" w:type="dxa"/>
            <w:tcBorders>
              <w:bottom w:val="single" w:sz="12" w:space="0" w:color="auto"/>
            </w:tcBorders>
          </w:tcPr>
          <w:p w14:paraId="7BA43051" w14:textId="77777777" w:rsidR="00BB1D82" w:rsidRPr="002A6F8F" w:rsidRDefault="00BB1D82" w:rsidP="00E92B43">
            <w:pPr>
              <w:spacing w:before="0"/>
              <w:rPr>
                <w:rFonts w:ascii="Verdana" w:hAnsi="Verdana"/>
                <w:szCs w:val="24"/>
                <w:lang w:val="en-US"/>
              </w:rPr>
            </w:pPr>
          </w:p>
        </w:tc>
      </w:tr>
      <w:tr w:rsidR="00BB1D82" w:rsidRPr="002A6F8F" w14:paraId="100190A4" w14:textId="77777777" w:rsidTr="00BB1D82">
        <w:trPr>
          <w:cantSplit/>
        </w:trPr>
        <w:tc>
          <w:tcPr>
            <w:tcW w:w="6911" w:type="dxa"/>
            <w:tcBorders>
              <w:top w:val="single" w:sz="12" w:space="0" w:color="auto"/>
            </w:tcBorders>
          </w:tcPr>
          <w:p w14:paraId="47C450D4" w14:textId="77777777" w:rsidR="00BB1D82" w:rsidRPr="002A6F8F" w:rsidRDefault="00BB1D82" w:rsidP="00E92B43">
            <w:pPr>
              <w:spacing w:before="0" w:after="48"/>
              <w:rPr>
                <w:rFonts w:ascii="Verdana" w:hAnsi="Verdana"/>
                <w:b/>
                <w:smallCaps/>
                <w:sz w:val="20"/>
                <w:lang w:val="en-US"/>
              </w:rPr>
            </w:pPr>
          </w:p>
        </w:tc>
        <w:tc>
          <w:tcPr>
            <w:tcW w:w="3120" w:type="dxa"/>
            <w:tcBorders>
              <w:top w:val="single" w:sz="12" w:space="0" w:color="auto"/>
            </w:tcBorders>
          </w:tcPr>
          <w:p w14:paraId="515DA14B" w14:textId="77777777" w:rsidR="00BB1D82" w:rsidRPr="002A6F8F" w:rsidRDefault="00BB1D82" w:rsidP="00E92B43">
            <w:pPr>
              <w:spacing w:before="0"/>
              <w:rPr>
                <w:rFonts w:ascii="Verdana" w:hAnsi="Verdana"/>
                <w:sz w:val="20"/>
                <w:lang w:val="en-US"/>
              </w:rPr>
            </w:pPr>
          </w:p>
        </w:tc>
      </w:tr>
      <w:tr w:rsidR="00BB1D82" w:rsidRPr="002A6F8F" w14:paraId="6051E6B3" w14:textId="77777777" w:rsidTr="00BB1D82">
        <w:trPr>
          <w:cantSplit/>
        </w:trPr>
        <w:tc>
          <w:tcPr>
            <w:tcW w:w="6911" w:type="dxa"/>
          </w:tcPr>
          <w:p w14:paraId="2716A79D" w14:textId="77777777" w:rsidR="00BB1D82" w:rsidRPr="00930FFD" w:rsidRDefault="006D4724" w:rsidP="00E92B43">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2B29092E" w14:textId="77777777" w:rsidR="00BB1D82" w:rsidRPr="00FD01E5" w:rsidRDefault="006D4724" w:rsidP="00E92B43">
            <w:pPr>
              <w:spacing w:before="0"/>
              <w:rPr>
                <w:rFonts w:ascii="Verdana" w:hAnsi="Verdana"/>
                <w:sz w:val="20"/>
                <w:lang w:val="fr-CH"/>
              </w:rPr>
            </w:pPr>
            <w:r w:rsidRPr="00FD01E5">
              <w:rPr>
                <w:rFonts w:ascii="Verdana" w:hAnsi="Verdana"/>
                <w:b/>
                <w:sz w:val="20"/>
                <w:lang w:val="fr-CH"/>
              </w:rPr>
              <w:t>Addendum 2 au</w:t>
            </w:r>
            <w:r w:rsidRPr="00FD01E5">
              <w:rPr>
                <w:rFonts w:ascii="Verdana" w:hAnsi="Verdana"/>
                <w:b/>
                <w:sz w:val="20"/>
                <w:lang w:val="fr-CH"/>
              </w:rPr>
              <w:br/>
              <w:t>Document 80(Add.13)</w:t>
            </w:r>
            <w:r w:rsidR="00BB1D82" w:rsidRPr="00FD01E5">
              <w:rPr>
                <w:rFonts w:ascii="Verdana" w:hAnsi="Verdana"/>
                <w:b/>
                <w:sz w:val="20"/>
                <w:lang w:val="fr-CH"/>
              </w:rPr>
              <w:t>-</w:t>
            </w:r>
            <w:r w:rsidRPr="00FD01E5">
              <w:rPr>
                <w:rFonts w:ascii="Verdana" w:hAnsi="Verdana"/>
                <w:b/>
                <w:sz w:val="20"/>
                <w:lang w:val="fr-CH"/>
              </w:rPr>
              <w:t>F</w:t>
            </w:r>
          </w:p>
        </w:tc>
      </w:tr>
      <w:bookmarkEnd w:id="1"/>
      <w:tr w:rsidR="00690C7B" w:rsidRPr="002A6F8F" w14:paraId="5DFFD74A" w14:textId="77777777" w:rsidTr="00BB1D82">
        <w:trPr>
          <w:cantSplit/>
        </w:trPr>
        <w:tc>
          <w:tcPr>
            <w:tcW w:w="6911" w:type="dxa"/>
          </w:tcPr>
          <w:p w14:paraId="410C5BAF" w14:textId="77777777" w:rsidR="00690C7B" w:rsidRPr="00FD01E5" w:rsidRDefault="00690C7B" w:rsidP="00E92B43">
            <w:pPr>
              <w:spacing w:before="0"/>
              <w:rPr>
                <w:rFonts w:ascii="Verdana" w:hAnsi="Verdana"/>
                <w:b/>
                <w:sz w:val="20"/>
                <w:lang w:val="fr-CH"/>
              </w:rPr>
            </w:pPr>
          </w:p>
        </w:tc>
        <w:tc>
          <w:tcPr>
            <w:tcW w:w="3120" w:type="dxa"/>
          </w:tcPr>
          <w:p w14:paraId="12262FAE" w14:textId="77777777" w:rsidR="00690C7B" w:rsidRPr="002A6F8F" w:rsidRDefault="00690C7B" w:rsidP="00E92B43">
            <w:pPr>
              <w:spacing w:before="0"/>
              <w:rPr>
                <w:rFonts w:ascii="Verdana" w:hAnsi="Verdana"/>
                <w:b/>
                <w:sz w:val="20"/>
                <w:lang w:val="en-US"/>
              </w:rPr>
            </w:pPr>
            <w:r w:rsidRPr="002A6F8F">
              <w:rPr>
                <w:rFonts w:ascii="Verdana" w:hAnsi="Verdana"/>
                <w:b/>
                <w:sz w:val="20"/>
                <w:lang w:val="en-US"/>
              </w:rPr>
              <w:t>7 octobre 2019</w:t>
            </w:r>
          </w:p>
        </w:tc>
      </w:tr>
      <w:tr w:rsidR="00690C7B" w:rsidRPr="002A6F8F" w14:paraId="50C3F58C" w14:textId="77777777" w:rsidTr="00BB1D82">
        <w:trPr>
          <w:cantSplit/>
        </w:trPr>
        <w:tc>
          <w:tcPr>
            <w:tcW w:w="6911" w:type="dxa"/>
          </w:tcPr>
          <w:p w14:paraId="3AF30AC0" w14:textId="77777777" w:rsidR="00690C7B" w:rsidRPr="002A6F8F" w:rsidRDefault="00690C7B" w:rsidP="00E92B43">
            <w:pPr>
              <w:spacing w:before="0" w:after="48"/>
              <w:rPr>
                <w:rFonts w:ascii="Verdana" w:hAnsi="Verdana"/>
                <w:b/>
                <w:smallCaps/>
                <w:sz w:val="20"/>
                <w:lang w:val="en-US"/>
              </w:rPr>
            </w:pPr>
          </w:p>
        </w:tc>
        <w:tc>
          <w:tcPr>
            <w:tcW w:w="3120" w:type="dxa"/>
          </w:tcPr>
          <w:p w14:paraId="18F02B90" w14:textId="77777777" w:rsidR="00690C7B" w:rsidRPr="002A6F8F" w:rsidRDefault="00690C7B" w:rsidP="00E92B43">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FED5FEF" w14:textId="77777777" w:rsidTr="00C11970">
        <w:trPr>
          <w:cantSplit/>
        </w:trPr>
        <w:tc>
          <w:tcPr>
            <w:tcW w:w="10031" w:type="dxa"/>
            <w:gridSpan w:val="2"/>
          </w:tcPr>
          <w:p w14:paraId="08AFEB95" w14:textId="77777777" w:rsidR="00690C7B" w:rsidRPr="002A6F8F" w:rsidRDefault="00690C7B" w:rsidP="00E92B43">
            <w:pPr>
              <w:spacing w:before="0"/>
              <w:rPr>
                <w:rFonts w:ascii="Verdana" w:hAnsi="Verdana"/>
                <w:b/>
                <w:sz w:val="20"/>
                <w:lang w:val="en-US"/>
              </w:rPr>
            </w:pPr>
          </w:p>
        </w:tc>
      </w:tr>
      <w:tr w:rsidR="00690C7B" w:rsidRPr="002A6F8F" w14:paraId="2A24BB4E" w14:textId="77777777" w:rsidTr="0050008E">
        <w:trPr>
          <w:cantSplit/>
        </w:trPr>
        <w:tc>
          <w:tcPr>
            <w:tcW w:w="10031" w:type="dxa"/>
            <w:gridSpan w:val="2"/>
          </w:tcPr>
          <w:p w14:paraId="3086457E" w14:textId="77777777" w:rsidR="00690C7B" w:rsidRPr="002A6F8F" w:rsidRDefault="00690C7B" w:rsidP="00E92B43">
            <w:pPr>
              <w:pStyle w:val="Source"/>
              <w:rPr>
                <w:lang w:val="en-US"/>
              </w:rPr>
            </w:pPr>
            <w:bookmarkStart w:id="2" w:name="dsource" w:colFirst="0" w:colLast="0"/>
            <w:r w:rsidRPr="002A6F8F">
              <w:rPr>
                <w:lang w:val="en-US"/>
              </w:rPr>
              <w:t>Japon</w:t>
            </w:r>
          </w:p>
        </w:tc>
      </w:tr>
      <w:tr w:rsidR="00690C7B" w:rsidRPr="002A6F8F" w14:paraId="50629066" w14:textId="77777777" w:rsidTr="0050008E">
        <w:trPr>
          <w:cantSplit/>
        </w:trPr>
        <w:tc>
          <w:tcPr>
            <w:tcW w:w="10031" w:type="dxa"/>
            <w:gridSpan w:val="2"/>
          </w:tcPr>
          <w:p w14:paraId="5E327294" w14:textId="77777777" w:rsidR="00690C7B" w:rsidRPr="00FD01E5" w:rsidRDefault="00690C7B" w:rsidP="00E92B43">
            <w:pPr>
              <w:pStyle w:val="Title1"/>
              <w:rPr>
                <w:lang w:val="fr-CH"/>
              </w:rPr>
            </w:pPr>
            <w:bookmarkStart w:id="3" w:name="dtitle1" w:colFirst="0" w:colLast="0"/>
            <w:bookmarkEnd w:id="2"/>
            <w:r w:rsidRPr="00FD01E5">
              <w:rPr>
                <w:lang w:val="fr-CH"/>
              </w:rPr>
              <w:t>Propositions pour les travaux de la conférence</w:t>
            </w:r>
          </w:p>
        </w:tc>
      </w:tr>
      <w:tr w:rsidR="00690C7B" w:rsidRPr="002A6F8F" w14:paraId="75B02FA2" w14:textId="77777777" w:rsidTr="0050008E">
        <w:trPr>
          <w:cantSplit/>
        </w:trPr>
        <w:tc>
          <w:tcPr>
            <w:tcW w:w="10031" w:type="dxa"/>
            <w:gridSpan w:val="2"/>
          </w:tcPr>
          <w:p w14:paraId="704A83D3" w14:textId="77777777" w:rsidR="00690C7B" w:rsidRPr="00FD01E5" w:rsidRDefault="00690C7B" w:rsidP="00E92B43">
            <w:pPr>
              <w:pStyle w:val="Title2"/>
              <w:rPr>
                <w:lang w:val="fr-CH"/>
              </w:rPr>
            </w:pPr>
            <w:bookmarkStart w:id="4" w:name="dtitle2" w:colFirst="0" w:colLast="0"/>
            <w:bookmarkEnd w:id="3"/>
          </w:p>
        </w:tc>
      </w:tr>
      <w:tr w:rsidR="00690C7B" w14:paraId="09822FFA" w14:textId="77777777" w:rsidTr="0050008E">
        <w:trPr>
          <w:cantSplit/>
        </w:trPr>
        <w:tc>
          <w:tcPr>
            <w:tcW w:w="10031" w:type="dxa"/>
            <w:gridSpan w:val="2"/>
          </w:tcPr>
          <w:p w14:paraId="03204EF8" w14:textId="77777777" w:rsidR="00690C7B" w:rsidRDefault="00690C7B" w:rsidP="00E92B43">
            <w:pPr>
              <w:pStyle w:val="Agendaitem"/>
            </w:pPr>
            <w:bookmarkStart w:id="5" w:name="dtitle3" w:colFirst="0" w:colLast="0"/>
            <w:bookmarkEnd w:id="4"/>
            <w:r w:rsidRPr="006D4724">
              <w:t>Point 1.13 de l'ordre du jour</w:t>
            </w:r>
          </w:p>
        </w:tc>
      </w:tr>
    </w:tbl>
    <w:bookmarkEnd w:id="5"/>
    <w:p w14:paraId="62773FEB" w14:textId="71E7C3AF" w:rsidR="001C0E40" w:rsidRPr="00404314" w:rsidRDefault="0031187B" w:rsidP="00E92B43">
      <w:r w:rsidRPr="009B46DD">
        <w:t>1.13</w:t>
      </w:r>
      <w:r w:rsidRPr="009B46DD">
        <w:tab/>
        <w:t>envisager l'identification de bandes de fréquen</w:t>
      </w:r>
      <w:r>
        <w:t xml:space="preserve">ces pour le développement futur des </w:t>
      </w:r>
      <w:r w:rsidRPr="009B46DD">
        <w:t xml:space="preserve">Télécommunications mobiles internationales (IMT), y compris des attributions additionnelles possibles à titre primaire au service mobile, conformément à la Résolution </w:t>
      </w:r>
      <w:r w:rsidRPr="009B46DD">
        <w:rPr>
          <w:b/>
          <w:bCs/>
        </w:rPr>
        <w:t>238 (CMR-15)</w:t>
      </w:r>
      <w:r w:rsidR="00E92B43">
        <w:t>.</w:t>
      </w:r>
    </w:p>
    <w:p w14:paraId="04CF288E" w14:textId="77777777" w:rsidR="00FD01E5" w:rsidRPr="00FD01E5" w:rsidRDefault="00FD01E5" w:rsidP="00E92B43">
      <w:pPr>
        <w:pStyle w:val="Headingb"/>
        <w:rPr>
          <w:lang w:val="en-GB"/>
        </w:rPr>
      </w:pPr>
      <w:r w:rsidRPr="00FD01E5">
        <w:rPr>
          <w:lang w:val="en-GB"/>
        </w:rPr>
        <w:t>Introduction</w:t>
      </w:r>
    </w:p>
    <w:p w14:paraId="1A538670" w14:textId="0A7FDFCB" w:rsidR="00FD01E5" w:rsidRPr="006F7391" w:rsidRDefault="006F7391" w:rsidP="00E92B43">
      <w:r w:rsidRPr="006F7391">
        <w:t>On trouvera dans le présent document les propositions du Japon concernant les bandes de fréquences</w:t>
      </w:r>
      <w:r w:rsidR="00FD01E5" w:rsidRPr="006F7391">
        <w:t xml:space="preserve"> 37-40</w:t>
      </w:r>
      <w:r>
        <w:t>,</w:t>
      </w:r>
      <w:r w:rsidR="00FD01E5" w:rsidRPr="006F7391">
        <w:t>5 GHz, 40</w:t>
      </w:r>
      <w:r>
        <w:t>,</w:t>
      </w:r>
      <w:r w:rsidR="00FD01E5" w:rsidRPr="006F7391">
        <w:t>5-42</w:t>
      </w:r>
      <w:r>
        <w:t>,</w:t>
      </w:r>
      <w:r w:rsidR="00FD01E5" w:rsidRPr="006F7391">
        <w:t xml:space="preserve">5 GHz </w:t>
      </w:r>
      <w:r>
        <w:t>et</w:t>
      </w:r>
      <w:r w:rsidR="00FD01E5" w:rsidRPr="006F7391">
        <w:t xml:space="preserve"> 42</w:t>
      </w:r>
      <w:r>
        <w:t>,</w:t>
      </w:r>
      <w:r w:rsidR="00FD01E5" w:rsidRPr="006F7391">
        <w:t>5-43</w:t>
      </w:r>
      <w:r>
        <w:t>,</w:t>
      </w:r>
      <w:r w:rsidR="00FD01E5" w:rsidRPr="006F7391">
        <w:t xml:space="preserve">5 GHz </w:t>
      </w:r>
      <w:r>
        <w:t>au titre du point 1.13 de l'ordre du jour de la CMR</w:t>
      </w:r>
      <w:r w:rsidR="00FD01E5" w:rsidRPr="006F7391">
        <w:t>-19.</w:t>
      </w:r>
    </w:p>
    <w:p w14:paraId="115928AB" w14:textId="2934D720" w:rsidR="00FD01E5" w:rsidRPr="00FD01E5" w:rsidRDefault="006F7391" w:rsidP="00E92B43">
      <w:pPr>
        <w:pStyle w:val="Headingb"/>
        <w:rPr>
          <w:lang w:val="en-GB"/>
        </w:rPr>
      </w:pPr>
      <w:r>
        <w:rPr>
          <w:lang w:val="en-GB"/>
        </w:rPr>
        <w:t>Proposition</w:t>
      </w:r>
    </w:p>
    <w:p w14:paraId="2479E185" w14:textId="5CAA5C4D" w:rsidR="00FD01E5" w:rsidRPr="00A31880" w:rsidRDefault="006F7391" w:rsidP="00E92B43">
      <w:r w:rsidRPr="00A31880">
        <w:t>Le Japon appuie les propositions communes de l'APT concernant les bandes de fréquences</w:t>
      </w:r>
      <w:r w:rsidR="00FD01E5" w:rsidRPr="00A31880">
        <w:t xml:space="preserve"> 37</w:t>
      </w:r>
      <w:r w:rsidR="00E92B43">
        <w:noBreakHyphen/>
      </w:r>
      <w:r w:rsidR="00FD01E5" w:rsidRPr="00A31880">
        <w:t>40</w:t>
      </w:r>
      <w:r w:rsidR="00A31880" w:rsidRPr="00A31880">
        <w:t>,</w:t>
      </w:r>
      <w:r w:rsidR="00FD01E5" w:rsidRPr="00A31880">
        <w:t>5</w:t>
      </w:r>
      <w:r w:rsidR="00080D46">
        <w:t> GHz</w:t>
      </w:r>
      <w:r w:rsidR="00FD01E5" w:rsidRPr="00A31880">
        <w:t>, 40</w:t>
      </w:r>
      <w:r w:rsidR="00A31880" w:rsidRPr="00A31880">
        <w:t>,</w:t>
      </w:r>
      <w:r w:rsidR="00FD01E5" w:rsidRPr="00A31880">
        <w:t>5-42</w:t>
      </w:r>
      <w:r w:rsidR="00A31880" w:rsidRPr="00A31880">
        <w:t>,</w:t>
      </w:r>
      <w:r w:rsidR="00080D46">
        <w:t xml:space="preserve">5 GHz </w:t>
      </w:r>
      <w:r w:rsidR="00A31880" w:rsidRPr="00A31880">
        <w:t>et</w:t>
      </w:r>
      <w:r w:rsidR="00FD01E5" w:rsidRPr="00A31880">
        <w:t xml:space="preserve"> 42</w:t>
      </w:r>
      <w:r w:rsidR="00A31880" w:rsidRPr="00A31880">
        <w:t>,</w:t>
      </w:r>
      <w:r w:rsidR="00FD01E5" w:rsidRPr="00A31880">
        <w:t>5-43</w:t>
      </w:r>
      <w:r w:rsidR="00A31880" w:rsidRPr="00A31880">
        <w:t>,</w:t>
      </w:r>
      <w:r w:rsidR="00080D46">
        <w:t>5 </w:t>
      </w:r>
      <w:r w:rsidR="00FD01E5" w:rsidRPr="00A31880">
        <w:t xml:space="preserve">GHz </w:t>
      </w:r>
      <w:r w:rsidR="00A31880" w:rsidRPr="00A31880">
        <w:t>au titre du point 1.13 de l'ordre du jour de la CMR</w:t>
      </w:r>
      <w:r w:rsidR="00E92B43">
        <w:noBreakHyphen/>
      </w:r>
      <w:r w:rsidR="00FD01E5" w:rsidRPr="00A31880">
        <w:t xml:space="preserve">19, </w:t>
      </w:r>
      <w:r w:rsidR="00A31880" w:rsidRPr="00A31880">
        <w:t>à savoir l'</w:t>
      </w:r>
      <w:r w:rsidR="00A31880">
        <w:t xml:space="preserve">identification de la bande de fréquences </w:t>
      </w:r>
      <w:r w:rsidR="00FD01E5" w:rsidRPr="00A31880">
        <w:t>37-43</w:t>
      </w:r>
      <w:r w:rsidR="00A31880">
        <w:t>,</w:t>
      </w:r>
      <w:r w:rsidR="00FD01E5" w:rsidRPr="00A31880">
        <w:t xml:space="preserve">5 GHz, </w:t>
      </w:r>
      <w:r w:rsidR="00A31880">
        <w:t>ou d'une partie de celle</w:t>
      </w:r>
      <w:r w:rsidR="00E92B43">
        <w:noBreakHyphen/>
      </w:r>
      <w:r w:rsidR="00A31880">
        <w:t>ci</w:t>
      </w:r>
      <w:r w:rsidR="00FD01E5" w:rsidRPr="00A31880">
        <w:t xml:space="preserve">, </w:t>
      </w:r>
      <w:r w:rsidR="00A31880">
        <w:t>pour</w:t>
      </w:r>
      <w:r w:rsidR="00FD01E5" w:rsidRPr="00A31880">
        <w:t xml:space="preserve"> </w:t>
      </w:r>
      <w:r w:rsidR="00A31880">
        <w:t xml:space="preserve">les IMT à l'échelle mondiale </w:t>
      </w:r>
      <w:r w:rsidR="00080D46">
        <w:t>moyennant</w:t>
      </w:r>
      <w:r w:rsidR="00A31880">
        <w:t xml:space="preserve"> l</w:t>
      </w:r>
      <w:r w:rsidR="00726029">
        <w:t>'application des</w:t>
      </w:r>
      <w:r w:rsidR="00A31880">
        <w:t xml:space="preserve"> </w:t>
      </w:r>
      <w:r w:rsidR="00A31880" w:rsidRPr="00A31880">
        <w:t>Méthodes</w:t>
      </w:r>
      <w:r w:rsidR="00FD01E5" w:rsidRPr="00A31880">
        <w:t xml:space="preserve"> C2, D2 </w:t>
      </w:r>
      <w:r w:rsidR="00A31880">
        <w:t>et E2, Variante</w:t>
      </w:r>
      <w:r w:rsidR="00FD01E5" w:rsidRPr="00A31880">
        <w:t xml:space="preserve"> 2</w:t>
      </w:r>
      <w:r w:rsidR="00E92B43">
        <w:t>,</w:t>
      </w:r>
      <w:r w:rsidR="00FD01E5" w:rsidRPr="00A31880">
        <w:t xml:space="preserve"> </w:t>
      </w:r>
      <w:r w:rsidR="00A31880">
        <w:t>du Rapport de la RPC</w:t>
      </w:r>
      <w:r w:rsidR="00FD01E5" w:rsidRPr="00A31880">
        <w:t xml:space="preserve"> </w:t>
      </w:r>
      <w:r w:rsidR="00A31880">
        <w:t xml:space="preserve">et </w:t>
      </w:r>
      <w:r w:rsidR="00080D46">
        <w:t>l'adoption</w:t>
      </w:r>
      <w:r w:rsidR="00A31880">
        <w:t xml:space="preserve"> </w:t>
      </w:r>
      <w:r w:rsidR="00080D46">
        <w:t>d'</w:t>
      </w:r>
      <w:r w:rsidR="00A31880">
        <w:t>une nouvelle</w:t>
      </w:r>
      <w:r w:rsidR="00FD01E5" w:rsidRPr="00A31880">
        <w:t xml:space="preserve"> </w:t>
      </w:r>
      <w:r w:rsidR="00A31880">
        <w:t>Résolution de la CMR</w:t>
      </w:r>
      <w:r w:rsidR="00FD01E5" w:rsidRPr="00A31880">
        <w:t>.</w:t>
      </w:r>
      <w:r w:rsidR="00FD01E5" w:rsidRPr="00A31880">
        <w:rPr>
          <w:rFonts w:hint="eastAsia"/>
        </w:rPr>
        <w:t xml:space="preserve"> </w:t>
      </w:r>
    </w:p>
    <w:p w14:paraId="13DC10C0" w14:textId="67CB96FE" w:rsidR="003A583E" w:rsidRPr="00A31880" w:rsidRDefault="00A31880" w:rsidP="00E92B43">
      <w:r w:rsidRPr="00A31880">
        <w:t xml:space="preserve">Pour compléter ces propositions communes de l'APT, le Japon propose </w:t>
      </w:r>
      <w:r w:rsidR="00341F44">
        <w:t>d'intégrer les dispositions supplémentaires présentées ci-après dans la nouvelle Résolution de la CMR</w:t>
      </w:r>
      <w:r w:rsidR="00FD01E5" w:rsidRPr="00A31880">
        <w:t>.</w:t>
      </w:r>
    </w:p>
    <w:p w14:paraId="7C7B6000" w14:textId="77777777" w:rsidR="0015203F" w:rsidRPr="00A31880" w:rsidRDefault="0015203F" w:rsidP="00E92B43">
      <w:pPr>
        <w:tabs>
          <w:tab w:val="clear" w:pos="1134"/>
          <w:tab w:val="clear" w:pos="1871"/>
          <w:tab w:val="clear" w:pos="2268"/>
        </w:tabs>
        <w:overflowPunct/>
        <w:autoSpaceDE/>
        <w:autoSpaceDN/>
        <w:adjustRightInd/>
        <w:spacing w:before="0"/>
        <w:textAlignment w:val="auto"/>
      </w:pPr>
      <w:r w:rsidRPr="00A31880">
        <w:br w:type="page"/>
      </w:r>
    </w:p>
    <w:p w14:paraId="241EE06E" w14:textId="77777777" w:rsidR="00B83397" w:rsidRDefault="0031187B" w:rsidP="00E92B43">
      <w:pPr>
        <w:pStyle w:val="Proposal"/>
      </w:pPr>
      <w:r>
        <w:lastRenderedPageBreak/>
        <w:t>ADD</w:t>
      </w:r>
      <w:r>
        <w:tab/>
        <w:t>J/80A13A2/1</w:t>
      </w:r>
      <w:r>
        <w:rPr>
          <w:vanish/>
          <w:color w:val="7F7F7F" w:themeColor="text1" w:themeTint="80"/>
          <w:vertAlign w:val="superscript"/>
        </w:rPr>
        <w:t>#49927</w:t>
      </w:r>
    </w:p>
    <w:p w14:paraId="4F949C53" w14:textId="2D4C7742" w:rsidR="007132E2" w:rsidRPr="009000A8" w:rsidRDefault="0031187B" w:rsidP="00E92B43">
      <w:pPr>
        <w:pStyle w:val="ResNo"/>
        <w:rPr>
          <w:lang w:val="fr-CH"/>
        </w:rPr>
      </w:pPr>
      <w:r w:rsidRPr="009000A8">
        <w:rPr>
          <w:lang w:val="fr-CH"/>
        </w:rPr>
        <w:t>PROJET DE NOUVELLE RÉSOLUTION [</w:t>
      </w:r>
      <w:r w:rsidR="00341F44">
        <w:rPr>
          <w:lang w:val="fr-CH"/>
        </w:rPr>
        <w:t>j-</w:t>
      </w:r>
      <w:r w:rsidRPr="009000A8">
        <w:rPr>
          <w:lang w:val="fr-CH"/>
        </w:rPr>
        <w:t>B113-IMT 40/50 GH</w:t>
      </w:r>
      <w:r w:rsidRPr="009000A8">
        <w:rPr>
          <w:caps w:val="0"/>
          <w:lang w:val="fr-CH"/>
        </w:rPr>
        <w:t>z</w:t>
      </w:r>
      <w:r w:rsidRPr="009000A8">
        <w:rPr>
          <w:lang w:val="fr-CH"/>
        </w:rPr>
        <w:t>] (CMR-19)</w:t>
      </w:r>
    </w:p>
    <w:p w14:paraId="133DF71E" w14:textId="4CC095DC" w:rsidR="007132E2" w:rsidRPr="009000A8" w:rsidRDefault="0031187B" w:rsidP="00E92B43">
      <w:pPr>
        <w:pStyle w:val="Restitle"/>
        <w:rPr>
          <w:b w:val="0"/>
          <w:lang w:val="fr-CH"/>
        </w:rPr>
      </w:pPr>
      <w:r w:rsidRPr="009000A8">
        <w:rPr>
          <w:lang w:val="fr-CH" w:eastAsia="ja-JP"/>
        </w:rPr>
        <w:t xml:space="preserve">Les Télécommunications mobiles internationales </w:t>
      </w:r>
      <w:r w:rsidR="00E92B43">
        <w:rPr>
          <w:lang w:val="fr-CH" w:eastAsia="ja-JP"/>
        </w:rPr>
        <w:br/>
      </w:r>
      <w:r w:rsidRPr="009000A8">
        <w:rPr>
          <w:lang w:val="fr-CH" w:eastAsia="ja-JP"/>
        </w:rPr>
        <w:t>dans l</w:t>
      </w:r>
      <w:r w:rsidR="00726029">
        <w:rPr>
          <w:lang w:val="fr-CH" w:eastAsia="ja-JP"/>
        </w:rPr>
        <w:t>a bande</w:t>
      </w:r>
      <w:r w:rsidR="00E92B43">
        <w:rPr>
          <w:lang w:val="fr-CH" w:eastAsia="ja-JP"/>
        </w:rPr>
        <w:t xml:space="preserve"> </w:t>
      </w:r>
      <w:r w:rsidR="00726029">
        <w:rPr>
          <w:lang w:val="fr-CH" w:eastAsia="ja-JP"/>
        </w:rPr>
        <w:t>de fréquences 37-43,5 GHz</w:t>
      </w:r>
    </w:p>
    <w:p w14:paraId="4B3E0101" w14:textId="77777777" w:rsidR="007132E2" w:rsidRPr="009000A8" w:rsidRDefault="0031187B" w:rsidP="00E92B43">
      <w:pPr>
        <w:rPr>
          <w:lang w:val="fr-CH"/>
        </w:rPr>
      </w:pPr>
      <w:r w:rsidRPr="009000A8">
        <w:rPr>
          <w:lang w:val="fr-CH"/>
        </w:rPr>
        <w:t>La Conférence mondiale des radiocommunications (Charm el-Cheikh, 2019),</w:t>
      </w:r>
    </w:p>
    <w:p w14:paraId="24B96BAA" w14:textId="77777777" w:rsidR="007132E2" w:rsidRPr="009000A8" w:rsidRDefault="0031187B" w:rsidP="00E92B43">
      <w:pPr>
        <w:pStyle w:val="Call"/>
        <w:rPr>
          <w:lang w:val="fr-CH"/>
        </w:rPr>
      </w:pPr>
      <w:r w:rsidRPr="009000A8">
        <w:rPr>
          <w:lang w:val="fr-CH"/>
        </w:rPr>
        <w:t>considérant</w:t>
      </w:r>
    </w:p>
    <w:p w14:paraId="27125F22" w14:textId="698D94E3" w:rsidR="007132E2" w:rsidRPr="00FD01E5" w:rsidRDefault="00FD01E5" w:rsidP="00E92B43">
      <w:pPr>
        <w:rPr>
          <w:iCs/>
          <w:lang w:val="fr-CH"/>
        </w:rPr>
      </w:pPr>
      <w:r w:rsidRPr="00FD01E5">
        <w:rPr>
          <w:iCs/>
          <w:lang w:val="fr-CH"/>
        </w:rPr>
        <w:t>...</w:t>
      </w:r>
    </w:p>
    <w:p w14:paraId="06D85533" w14:textId="4FF3311B" w:rsidR="007132E2" w:rsidRPr="009000A8" w:rsidRDefault="00FD01E5" w:rsidP="00E92B43">
      <w:pPr>
        <w:rPr>
          <w:lang w:val="fr-CH"/>
        </w:rPr>
      </w:pPr>
      <w:r>
        <w:rPr>
          <w:i/>
          <w:iCs/>
          <w:lang w:val="fr-CH"/>
        </w:rPr>
        <w:t>j</w:t>
      </w:r>
      <w:r w:rsidR="0031187B" w:rsidRPr="009000A8">
        <w:rPr>
          <w:i/>
          <w:iCs/>
          <w:lang w:val="fr-CH"/>
        </w:rPr>
        <w:t>)</w:t>
      </w:r>
      <w:r w:rsidR="0031187B" w:rsidRPr="009000A8">
        <w:rPr>
          <w:lang w:val="fr-CH"/>
        </w:rPr>
        <w:tab/>
        <w:t>que l'UIT-R a étudié, dans le cadre de la préparation de la CMR-19, le partage et la compatibilité avec les services ayant des attributions dans l</w:t>
      </w:r>
      <w:r w:rsidR="00DA1E13">
        <w:rPr>
          <w:lang w:val="fr-CH"/>
        </w:rPr>
        <w:t>a</w:t>
      </w:r>
      <w:r w:rsidR="0031187B" w:rsidRPr="009000A8">
        <w:rPr>
          <w:lang w:val="fr-CH"/>
        </w:rPr>
        <w:t xml:space="preserve"> bande</w:t>
      </w:r>
      <w:r w:rsidR="00DA1E13">
        <w:rPr>
          <w:lang w:val="fr-CH"/>
        </w:rPr>
        <w:t xml:space="preserve"> de fréquences </w:t>
      </w:r>
      <w:r w:rsidR="0031187B" w:rsidRPr="009000A8">
        <w:rPr>
          <w:lang w:val="fr-CH"/>
        </w:rPr>
        <w:t>37-43,5 GHz, et dans l</w:t>
      </w:r>
      <w:r w:rsidR="00DA1E13">
        <w:rPr>
          <w:lang w:val="fr-CH"/>
        </w:rPr>
        <w:t>a</w:t>
      </w:r>
      <w:r w:rsidR="0031187B" w:rsidRPr="009000A8">
        <w:rPr>
          <w:lang w:val="fr-CH"/>
        </w:rPr>
        <w:t xml:space="preserve"> bande qui l</w:t>
      </w:r>
      <w:r w:rsidR="00DA1E13">
        <w:rPr>
          <w:lang w:val="fr-CH"/>
        </w:rPr>
        <w:t>ui</w:t>
      </w:r>
      <w:r w:rsidR="0031187B" w:rsidRPr="009000A8">
        <w:rPr>
          <w:lang w:val="fr-CH"/>
        </w:rPr>
        <w:t xml:space="preserve"> </w:t>
      </w:r>
      <w:r w:rsidR="00DA1E13">
        <w:rPr>
          <w:lang w:val="fr-CH"/>
        </w:rPr>
        <w:t>est</w:t>
      </w:r>
      <w:r w:rsidR="0031187B" w:rsidRPr="009000A8">
        <w:rPr>
          <w:lang w:val="fr-CH"/>
        </w:rPr>
        <w:t xml:space="preserve"> adj</w:t>
      </w:r>
      <w:r w:rsidR="00DA1E13">
        <w:rPr>
          <w:lang w:val="fr-CH"/>
        </w:rPr>
        <w:t>acente</w:t>
      </w:r>
      <w:r w:rsidR="0031187B" w:rsidRPr="009000A8">
        <w:rPr>
          <w:lang w:val="fr-CH" w:eastAsia="ja-JP"/>
        </w:rPr>
        <w:t xml:space="preserve">, sur la base des caractéristiques </w:t>
      </w:r>
      <w:r w:rsidR="00E92B43">
        <w:rPr>
          <w:lang w:val="fr-CH" w:eastAsia="ja-JP"/>
        </w:rPr>
        <w:t>qui étaient alors disponibles</w:t>
      </w:r>
      <w:r w:rsidR="0031187B" w:rsidRPr="009000A8">
        <w:rPr>
          <w:lang w:val="fr-CH"/>
        </w:rPr>
        <w:t>;</w:t>
      </w:r>
    </w:p>
    <w:p w14:paraId="796A1E08" w14:textId="59C506DD" w:rsidR="007132E2" w:rsidRPr="009000A8" w:rsidRDefault="00FD01E5" w:rsidP="00E92B43">
      <w:pPr>
        <w:rPr>
          <w:lang w:val="fr-CH"/>
        </w:rPr>
      </w:pPr>
      <w:r>
        <w:rPr>
          <w:i/>
          <w:iCs/>
          <w:lang w:val="fr-CH"/>
        </w:rPr>
        <w:t>k</w:t>
      </w:r>
      <w:r w:rsidR="0031187B" w:rsidRPr="009000A8">
        <w:rPr>
          <w:i/>
          <w:iCs/>
          <w:lang w:val="fr-CH"/>
        </w:rPr>
        <w:t>)</w:t>
      </w:r>
      <w:r w:rsidR="0031187B" w:rsidRPr="009000A8">
        <w:rPr>
          <w:lang w:val="fr-CH"/>
        </w:rPr>
        <w:tab/>
        <w:t>que les résultats des études de compatibilité de l'UIT-R sur les systèmes IMT-2020 sont de nature probabiliste, de sorte que les paramètres relatifs au déploiement des systèmes IMT-2020 qui ont une incidence sur la compatibilité avec les récepteurs de satellites pourront varier lors de la mise en oeuvre pratique et du déploiement des réseaux IMT-2020;</w:t>
      </w:r>
    </w:p>
    <w:p w14:paraId="61A8B0E0" w14:textId="3B1B8F9F" w:rsidR="007132E2" w:rsidRPr="009000A8" w:rsidRDefault="00FD01E5" w:rsidP="00E92B43">
      <w:pPr>
        <w:rPr>
          <w:lang w:val="fr-CH"/>
        </w:rPr>
      </w:pPr>
      <w:r>
        <w:rPr>
          <w:i/>
          <w:iCs/>
          <w:lang w:val="fr-CH"/>
        </w:rPr>
        <w:t>l</w:t>
      </w:r>
      <w:r w:rsidR="0031187B" w:rsidRPr="009000A8">
        <w:rPr>
          <w:i/>
          <w:iCs/>
          <w:lang w:val="fr-CH"/>
        </w:rPr>
        <w:t>)</w:t>
      </w:r>
      <w:r w:rsidR="0031187B" w:rsidRPr="009000A8">
        <w:rPr>
          <w:lang w:val="fr-CH"/>
        </w:rPr>
        <w:tab/>
        <w:t xml:space="preserve">que le pointage du faisceau principal (électrique et mécanique) en élévation devrait en principe être au-dessous de l'horizon en ce qui concerne les stations de base en extérieur; </w:t>
      </w:r>
    </w:p>
    <w:p w14:paraId="68CB40E8" w14:textId="43108D5D" w:rsidR="007132E2" w:rsidRPr="009000A8" w:rsidRDefault="00FD01E5" w:rsidP="00E92B43">
      <w:pPr>
        <w:rPr>
          <w:lang w:val="fr-CH"/>
        </w:rPr>
      </w:pPr>
      <w:r>
        <w:rPr>
          <w:i/>
          <w:iCs/>
          <w:lang w:val="fr-CH"/>
        </w:rPr>
        <w:t>m</w:t>
      </w:r>
      <w:r w:rsidR="0031187B" w:rsidRPr="009000A8">
        <w:rPr>
          <w:i/>
          <w:iCs/>
          <w:lang w:val="fr-CH"/>
        </w:rPr>
        <w:t>)</w:t>
      </w:r>
      <w:r w:rsidR="0031187B" w:rsidRPr="009000A8">
        <w:rPr>
          <w:lang w:val="fr-CH"/>
        </w:rPr>
        <w:tab/>
        <w:t>qu'il a été admis par hypothèse dans les études de partage que la couverture des points d'accès en extérieur serait assurée grâce au déploiement de stations de base communiquant avec des terminaux au sol et un nombre très limité de terminaux utilisés en intérieur avec un angle d'élévation positif, entraînant une élévation du faisceau principal des stations de base en extérieur qui se situe en principe au-dessous de l'horizon, et établissant ainsi une discrimination importante en dir</w:t>
      </w:r>
      <w:r w:rsidR="00DA1E13">
        <w:rPr>
          <w:lang w:val="fr-CH"/>
        </w:rPr>
        <w:t>ection des satellites,</w:t>
      </w:r>
    </w:p>
    <w:p w14:paraId="08CCE768" w14:textId="7B5ABB92" w:rsidR="007132E2" w:rsidRPr="006F7391" w:rsidRDefault="00FD01E5" w:rsidP="00E92B43">
      <w:pPr>
        <w:rPr>
          <w:lang w:val="en-GB"/>
        </w:rPr>
      </w:pPr>
      <w:r w:rsidRPr="006F7391">
        <w:rPr>
          <w:rFonts w:eastAsia="SimSun"/>
          <w:bCs/>
          <w:i/>
          <w:lang w:val="en-GB"/>
        </w:rPr>
        <w:t>...</w:t>
      </w:r>
    </w:p>
    <w:p w14:paraId="37D64425" w14:textId="2B40632A" w:rsidR="007132E2" w:rsidRPr="006F7391" w:rsidRDefault="0031187B" w:rsidP="00E92B43">
      <w:pPr>
        <w:pStyle w:val="Call"/>
        <w:rPr>
          <w:lang w:val="en-GB"/>
        </w:rPr>
      </w:pPr>
      <w:r w:rsidRPr="006F7391">
        <w:rPr>
          <w:lang w:val="en-GB"/>
        </w:rPr>
        <w:t>reconnaissant</w:t>
      </w:r>
    </w:p>
    <w:p w14:paraId="602919C6" w14:textId="57290CBE" w:rsidR="00405098" w:rsidRPr="007C31F5" w:rsidRDefault="007C31F5" w:rsidP="00E92B43">
      <w:pPr>
        <w:rPr>
          <w:lang w:val="en-GB"/>
        </w:rPr>
      </w:pPr>
      <w:r w:rsidRPr="007C31F5">
        <w:rPr>
          <w:lang w:val="en-GB"/>
        </w:rPr>
        <w:t>.</w:t>
      </w:r>
      <w:r>
        <w:rPr>
          <w:lang w:val="en-GB"/>
        </w:rPr>
        <w:t>..</w:t>
      </w:r>
    </w:p>
    <w:p w14:paraId="4C5880A3" w14:textId="3F5E47F7" w:rsidR="00FD01E5" w:rsidRPr="00DA1E13" w:rsidRDefault="00FD01E5" w:rsidP="00E92B43">
      <w:pPr>
        <w:rPr>
          <w:rFonts w:asciiTheme="majorBidi" w:eastAsia="MS Mincho" w:hAnsiTheme="majorBidi" w:cstheme="majorBidi"/>
        </w:rPr>
      </w:pPr>
      <w:r w:rsidRPr="00DA1E13">
        <w:rPr>
          <w:rFonts w:eastAsia="MS Mincho"/>
          <w:i/>
        </w:rPr>
        <w:t>f</w:t>
      </w:r>
      <w:r w:rsidRPr="00DA1E13">
        <w:rPr>
          <w:rFonts w:eastAsia="???"/>
          <w:i/>
          <w:iCs/>
        </w:rPr>
        <w:t>)</w:t>
      </w:r>
      <w:r w:rsidRPr="00DA1E13">
        <w:rPr>
          <w:rFonts w:eastAsia="???"/>
        </w:rPr>
        <w:tab/>
      </w:r>
      <w:r w:rsidR="00DA1E13" w:rsidRPr="00DA1E13">
        <w:rPr>
          <w:rFonts w:eastAsia="???"/>
        </w:rPr>
        <w:t xml:space="preserve">que l'UIT-R a démontré </w:t>
      </w:r>
      <w:r w:rsidR="00F62045">
        <w:rPr>
          <w:rFonts w:eastAsia="???"/>
        </w:rPr>
        <w:t>que le</w:t>
      </w:r>
      <w:r w:rsidR="00DA1E13" w:rsidRPr="00DA1E13">
        <w:rPr>
          <w:rFonts w:eastAsia="???"/>
        </w:rPr>
        <w:t xml:space="preserve"> partage entre les IMT et le SFS </w:t>
      </w:r>
      <w:r w:rsidRPr="00DA1E13">
        <w:rPr>
          <w:rFonts w:eastAsia="???"/>
        </w:rPr>
        <w:t>(</w:t>
      </w:r>
      <w:r w:rsidR="00DA1E13" w:rsidRPr="00DA1E13">
        <w:rPr>
          <w:rFonts w:eastAsia="???"/>
        </w:rPr>
        <w:t>Terre vers espace</w:t>
      </w:r>
      <w:r w:rsidRPr="00DA1E13">
        <w:rPr>
          <w:rFonts w:eastAsia="???"/>
        </w:rPr>
        <w:t xml:space="preserve">) </w:t>
      </w:r>
      <w:r w:rsidR="00DA1E13" w:rsidRPr="00DA1E13">
        <w:rPr>
          <w:rFonts w:eastAsia="???"/>
        </w:rPr>
        <w:t>dans la bande de fréquences</w:t>
      </w:r>
      <w:r w:rsidRPr="00DA1E13">
        <w:rPr>
          <w:rFonts w:eastAsiaTheme="minorEastAsia" w:hint="eastAsia"/>
          <w:lang w:eastAsia="ja-JP"/>
        </w:rPr>
        <w:t xml:space="preserve"> </w:t>
      </w:r>
      <w:r w:rsidRPr="00DA1E13">
        <w:rPr>
          <w:rFonts w:eastAsiaTheme="minorEastAsia"/>
          <w:lang w:eastAsia="ja-JP"/>
        </w:rPr>
        <w:t>42</w:t>
      </w:r>
      <w:r w:rsidR="00DA1E13">
        <w:rPr>
          <w:rFonts w:eastAsiaTheme="minorEastAsia"/>
          <w:lang w:eastAsia="ja-JP"/>
        </w:rPr>
        <w:t>,</w:t>
      </w:r>
      <w:r w:rsidRPr="00DA1E13">
        <w:rPr>
          <w:rFonts w:eastAsiaTheme="minorEastAsia" w:hint="eastAsia"/>
          <w:lang w:eastAsia="ja-JP"/>
        </w:rPr>
        <w:t>5</w:t>
      </w:r>
      <w:r w:rsidRPr="00DA1E13">
        <w:rPr>
          <w:rFonts w:eastAsiaTheme="minorEastAsia"/>
          <w:lang w:eastAsia="ja-JP"/>
        </w:rPr>
        <w:t>-43</w:t>
      </w:r>
      <w:r w:rsidR="00DA1E13">
        <w:rPr>
          <w:rFonts w:eastAsiaTheme="minorEastAsia"/>
          <w:lang w:eastAsia="ja-JP"/>
        </w:rPr>
        <w:t>,</w:t>
      </w:r>
      <w:r w:rsidRPr="00DA1E13">
        <w:rPr>
          <w:rFonts w:eastAsiaTheme="minorEastAsia"/>
          <w:lang w:eastAsia="ja-JP"/>
        </w:rPr>
        <w:t xml:space="preserve">5 GHz </w:t>
      </w:r>
      <w:r w:rsidR="00F62045">
        <w:rPr>
          <w:rFonts w:eastAsiaTheme="minorEastAsia"/>
          <w:lang w:eastAsia="ja-JP"/>
        </w:rPr>
        <w:t xml:space="preserve">était possible, </w:t>
      </w:r>
      <w:r w:rsidR="00DA1E13">
        <w:rPr>
          <w:rFonts w:eastAsiaTheme="minorEastAsia"/>
          <w:lang w:eastAsia="ja-JP"/>
        </w:rPr>
        <w:t xml:space="preserve">sur la base d'un ensemble de </w:t>
      </w:r>
      <w:r w:rsidR="001B165B">
        <w:rPr>
          <w:rFonts w:eastAsia="???"/>
        </w:rPr>
        <w:t xml:space="preserve">paramètres de référence, y compris </w:t>
      </w:r>
      <w:r w:rsidR="00E92B43">
        <w:rPr>
          <w:rFonts w:eastAsia="???"/>
        </w:rPr>
        <w:t>une</w:t>
      </w:r>
      <w:r w:rsidR="001B165B">
        <w:rPr>
          <w:rFonts w:eastAsia="???"/>
        </w:rPr>
        <w:t xml:space="preserve"> densité de déploiement des stations de base IMT</w:t>
      </w:r>
      <w:r w:rsidRPr="00DA1E13">
        <w:rPr>
          <w:rFonts w:eastAsia="???"/>
        </w:rPr>
        <w:t xml:space="preserve"> </w:t>
      </w:r>
      <w:r w:rsidR="001B165B">
        <w:rPr>
          <w:rFonts w:eastAsia="???"/>
        </w:rPr>
        <w:t>de</w:t>
      </w:r>
      <w:r w:rsidRPr="00DA1E13">
        <w:rPr>
          <w:rFonts w:eastAsia="???"/>
        </w:rPr>
        <w:t xml:space="preserve"> 1 200 p</w:t>
      </w:r>
      <w:r w:rsidR="001B165B">
        <w:rPr>
          <w:rFonts w:eastAsia="???"/>
        </w:rPr>
        <w:t>ou</w:t>
      </w:r>
      <w:r w:rsidR="00C45B94">
        <w:rPr>
          <w:rFonts w:eastAsia="???"/>
        </w:rPr>
        <w:t>r 10 000 </w:t>
      </w:r>
      <w:r w:rsidRPr="00DA1E13">
        <w:rPr>
          <w:rFonts w:eastAsia="???"/>
        </w:rPr>
        <w:t>km</w:t>
      </w:r>
      <w:r w:rsidRPr="00DA1E13">
        <w:rPr>
          <w:rFonts w:eastAsia="???"/>
          <w:vertAlign w:val="superscript"/>
        </w:rPr>
        <w:t>2</w:t>
      </w:r>
      <w:r w:rsidRPr="00DA1E13">
        <w:rPr>
          <w:rFonts w:asciiTheme="majorBidi" w:eastAsia="MS Mincho" w:hAnsiTheme="majorBidi" w:cstheme="majorBidi"/>
        </w:rPr>
        <w:t>,</w:t>
      </w:r>
    </w:p>
    <w:p w14:paraId="2A01CA16" w14:textId="293C7B3E" w:rsidR="007C31F5" w:rsidRPr="007C31F5" w:rsidRDefault="001B165B" w:rsidP="00E92B43">
      <w:pPr>
        <w:pStyle w:val="Call"/>
        <w:rPr>
          <w:rFonts w:eastAsia="MS Mincho"/>
          <w:lang w:val="en-GB"/>
        </w:rPr>
      </w:pPr>
      <w:r>
        <w:rPr>
          <w:rFonts w:eastAsia="MS Mincho"/>
          <w:lang w:val="en-GB"/>
        </w:rPr>
        <w:t>décide</w:t>
      </w:r>
    </w:p>
    <w:p w14:paraId="56F4A6A0" w14:textId="7D6F6DB0" w:rsidR="007C31F5" w:rsidRDefault="00797ED1" w:rsidP="00E92B43">
      <w:pPr>
        <w:rPr>
          <w:rFonts w:asciiTheme="majorBidi" w:eastAsia="MS Mincho" w:hAnsiTheme="majorBidi" w:cstheme="majorBidi"/>
          <w:iCs/>
        </w:rPr>
      </w:pPr>
      <w:r>
        <w:rPr>
          <w:rFonts w:asciiTheme="majorBidi" w:eastAsia="MS Mincho" w:hAnsiTheme="majorBidi" w:cstheme="majorBidi"/>
          <w:iCs/>
        </w:rPr>
        <w:t>1</w:t>
      </w:r>
      <w:r w:rsidR="007C31F5" w:rsidRPr="001B165B">
        <w:rPr>
          <w:rFonts w:asciiTheme="majorBidi" w:eastAsia="MS Mincho" w:hAnsiTheme="majorBidi" w:cstheme="majorBidi"/>
          <w:iCs/>
        </w:rPr>
        <w:tab/>
      </w:r>
      <w:r w:rsidR="001B165B" w:rsidRPr="001B165B">
        <w:rPr>
          <w:rFonts w:asciiTheme="majorBidi" w:eastAsia="MS Mincho" w:hAnsiTheme="majorBidi" w:cstheme="majorBidi"/>
          <w:iCs/>
        </w:rPr>
        <w:t xml:space="preserve">que les rayonnements non désirés des stations IMT mises en service dans les bandes de fréquences et les </w:t>
      </w:r>
      <w:r w:rsidR="007C31F5" w:rsidRPr="001B165B">
        <w:rPr>
          <w:rFonts w:asciiTheme="majorBidi" w:eastAsia="MS Mincho" w:hAnsiTheme="majorBidi" w:cstheme="majorBidi"/>
          <w:iCs/>
        </w:rPr>
        <w:t xml:space="preserve">services </w:t>
      </w:r>
      <w:r w:rsidR="001B165B" w:rsidRPr="001B165B">
        <w:rPr>
          <w:rFonts w:asciiTheme="majorBidi" w:eastAsia="MS Mincho" w:hAnsiTheme="majorBidi" w:cstheme="majorBidi"/>
          <w:iCs/>
        </w:rPr>
        <w:t>énumérés dans le Tableau</w:t>
      </w:r>
      <w:r w:rsidR="007C31F5" w:rsidRPr="001B165B">
        <w:rPr>
          <w:rFonts w:asciiTheme="majorBidi" w:eastAsia="MS Mincho" w:hAnsiTheme="majorBidi" w:cstheme="majorBidi"/>
          <w:iCs/>
        </w:rPr>
        <w:t xml:space="preserve"> 1 </w:t>
      </w:r>
      <w:r w:rsidR="001B165B">
        <w:rPr>
          <w:rFonts w:asciiTheme="majorBidi" w:eastAsia="MS Mincho" w:hAnsiTheme="majorBidi" w:cstheme="majorBidi"/>
          <w:iCs/>
        </w:rPr>
        <w:t>ci-dessous ne doivent pas dépasser les limites correspondantes indiquées dans ce Tableau</w:t>
      </w:r>
      <w:r w:rsidR="007C31F5" w:rsidRPr="001B165B">
        <w:rPr>
          <w:rFonts w:asciiTheme="majorBidi" w:eastAsia="MS Mincho" w:hAnsiTheme="majorBidi" w:cstheme="majorBidi"/>
          <w:iCs/>
        </w:rPr>
        <w:t xml:space="preserve">, </w:t>
      </w:r>
      <w:r w:rsidR="001B165B">
        <w:rPr>
          <w:rFonts w:asciiTheme="majorBidi" w:eastAsia="MS Mincho" w:hAnsiTheme="majorBidi" w:cstheme="majorBidi"/>
          <w:iCs/>
        </w:rPr>
        <w:t>sous réserve des conditions prescrites</w:t>
      </w:r>
      <w:r w:rsidR="007C31F5" w:rsidRPr="001B165B">
        <w:rPr>
          <w:rFonts w:asciiTheme="majorBidi" w:eastAsia="MS Mincho" w:hAnsiTheme="majorBidi" w:cstheme="majorBidi"/>
          <w:iCs/>
        </w:rPr>
        <w:t>;</w:t>
      </w:r>
    </w:p>
    <w:p w14:paraId="36CFFFF6" w14:textId="7102B5FB" w:rsidR="00045B58" w:rsidRPr="001B165B" w:rsidRDefault="00045B58" w:rsidP="00045B58">
      <w:pPr>
        <w:pStyle w:val="TableNo"/>
        <w:rPr>
          <w:rFonts w:eastAsia="MS Mincho"/>
        </w:rPr>
      </w:pPr>
      <w:r>
        <w:rPr>
          <w:rFonts w:eastAsia="MS Mincho"/>
        </w:rPr>
        <w:lastRenderedPageBreak/>
        <w:t>TABLEAU 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1276"/>
        <w:gridCol w:w="5306"/>
      </w:tblGrid>
      <w:tr w:rsidR="007C31F5" w:rsidRPr="009000A8" w14:paraId="4512C7A3" w14:textId="77777777" w:rsidTr="00D51073">
        <w:trPr>
          <w:cantSplit/>
          <w:jc w:val="center"/>
        </w:trPr>
        <w:tc>
          <w:tcPr>
            <w:tcW w:w="1555" w:type="dxa"/>
            <w:vAlign w:val="center"/>
          </w:tcPr>
          <w:p w14:paraId="5CFA65D6" w14:textId="77777777" w:rsidR="007C31F5" w:rsidRPr="009000A8" w:rsidRDefault="007C31F5" w:rsidP="00E92B43">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9000A8">
              <w:rPr>
                <w:rFonts w:ascii="Times New Roman Bold" w:hAnsi="Times New Roman Bold" w:cs="Times New Roman Bold"/>
                <w:lang w:val="fr-CH"/>
              </w:rPr>
              <w:t>Bande attribuée au SETS (passive)</w:t>
            </w:r>
          </w:p>
        </w:tc>
        <w:tc>
          <w:tcPr>
            <w:tcW w:w="1559" w:type="dxa"/>
            <w:vAlign w:val="center"/>
          </w:tcPr>
          <w:p w14:paraId="0D21B037" w14:textId="77777777" w:rsidR="007C31F5" w:rsidRPr="009000A8" w:rsidRDefault="007C31F5" w:rsidP="00E92B43">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9000A8">
              <w:rPr>
                <w:rFonts w:ascii="Times New Roman Bold" w:hAnsi="Times New Roman Bold" w:cs="Times New Roman Bold"/>
                <w:lang w:val="fr-CH"/>
              </w:rPr>
              <w:t>Bande attribuée aux services actifs</w:t>
            </w:r>
          </w:p>
        </w:tc>
        <w:tc>
          <w:tcPr>
            <w:tcW w:w="1276" w:type="dxa"/>
            <w:vAlign w:val="center"/>
          </w:tcPr>
          <w:p w14:paraId="6071EFEA" w14:textId="77777777" w:rsidR="007C31F5" w:rsidRPr="009000A8" w:rsidRDefault="007C31F5" w:rsidP="00E92B43">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9000A8">
              <w:rPr>
                <w:rFonts w:ascii="Times New Roman Bold" w:hAnsi="Times New Roman Bold" w:cs="Times New Roman Bold"/>
                <w:lang w:val="fr-CH"/>
              </w:rPr>
              <w:t>Service actif</w:t>
            </w:r>
          </w:p>
        </w:tc>
        <w:tc>
          <w:tcPr>
            <w:tcW w:w="5306" w:type="dxa"/>
            <w:vAlign w:val="center"/>
          </w:tcPr>
          <w:p w14:paraId="0E0DDE38" w14:textId="77777777" w:rsidR="007C31F5" w:rsidRPr="009000A8" w:rsidRDefault="007C31F5" w:rsidP="00E92B43">
            <w:pPr>
              <w:pStyle w:val="Tablehead"/>
              <w:keepLines/>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lang w:val="fr-CH"/>
              </w:rPr>
            </w:pPr>
            <w:r w:rsidRPr="009000A8">
              <w:rPr>
                <w:rFonts w:ascii="Times New Roman Bold" w:hAnsi="Times New Roman Bold" w:cs="Times New Roman Bold"/>
                <w:lang w:val="fr-CH"/>
              </w:rPr>
              <w:t>Limites de puissance des rayonnements non désirés produits par les stations IMT-2020 dans une largeur de bande spécifiée de la bande attribuée au SETS (passive) </w:t>
            </w:r>
            <w:r w:rsidRPr="009000A8">
              <w:rPr>
                <w:rFonts w:ascii="Times New Roman Bold" w:hAnsi="Times New Roman Bold" w:cs="Times New Roman Bold"/>
                <w:vertAlign w:val="superscript"/>
                <w:lang w:val="fr-CH"/>
              </w:rPr>
              <w:t>1</w:t>
            </w:r>
          </w:p>
        </w:tc>
      </w:tr>
      <w:tr w:rsidR="007C31F5" w:rsidRPr="009000A8" w14:paraId="762C2529" w14:textId="77777777" w:rsidTr="00D51073">
        <w:trPr>
          <w:cantSplit/>
          <w:trHeight w:val="201"/>
          <w:jc w:val="center"/>
        </w:trPr>
        <w:tc>
          <w:tcPr>
            <w:tcW w:w="1555" w:type="dxa"/>
            <w:vAlign w:val="center"/>
          </w:tcPr>
          <w:p w14:paraId="7C818204" w14:textId="77777777" w:rsidR="007C31F5" w:rsidRPr="009000A8" w:rsidRDefault="007C31F5" w:rsidP="00E92B43">
            <w:pPr>
              <w:pStyle w:val="Tabletext"/>
              <w:keepNext/>
              <w:keepLines/>
              <w:jc w:val="center"/>
              <w:rPr>
                <w:lang w:val="fr-CH"/>
              </w:rPr>
            </w:pPr>
            <w:r w:rsidRPr="009000A8">
              <w:rPr>
                <w:lang w:val="fr-CH"/>
              </w:rPr>
              <w:t>36-37 GHz</w:t>
            </w:r>
          </w:p>
        </w:tc>
        <w:tc>
          <w:tcPr>
            <w:tcW w:w="1559" w:type="dxa"/>
            <w:vAlign w:val="center"/>
          </w:tcPr>
          <w:p w14:paraId="0F65D070" w14:textId="77777777" w:rsidR="007C31F5" w:rsidRPr="009000A8" w:rsidRDefault="007C31F5" w:rsidP="00E92B43">
            <w:pPr>
              <w:pStyle w:val="Tabletext"/>
              <w:keepNext/>
              <w:keepLines/>
              <w:jc w:val="center"/>
              <w:rPr>
                <w:lang w:val="fr-CH"/>
              </w:rPr>
            </w:pPr>
            <w:r w:rsidRPr="009000A8">
              <w:rPr>
                <w:lang w:val="fr-CH"/>
              </w:rPr>
              <w:t>37</w:t>
            </w:r>
            <w:r w:rsidRPr="009000A8">
              <w:rPr>
                <w:lang w:val="fr-CH"/>
              </w:rPr>
              <w:noBreakHyphen/>
              <w:t>40,5 GHz</w:t>
            </w:r>
          </w:p>
        </w:tc>
        <w:tc>
          <w:tcPr>
            <w:tcW w:w="1276" w:type="dxa"/>
            <w:vAlign w:val="center"/>
          </w:tcPr>
          <w:p w14:paraId="4FFA0B43" w14:textId="77777777" w:rsidR="007C31F5" w:rsidRPr="009000A8" w:rsidRDefault="007C31F5" w:rsidP="00E92B43">
            <w:pPr>
              <w:pStyle w:val="Tabletext"/>
              <w:keepNext/>
              <w:keepLines/>
              <w:jc w:val="center"/>
              <w:rPr>
                <w:lang w:val="fr-CH"/>
              </w:rPr>
            </w:pPr>
            <w:r w:rsidRPr="009000A8">
              <w:rPr>
                <w:lang w:val="fr-CH"/>
              </w:rPr>
              <w:t>Mobile</w:t>
            </w:r>
          </w:p>
        </w:tc>
        <w:tc>
          <w:tcPr>
            <w:tcW w:w="5306" w:type="dxa"/>
          </w:tcPr>
          <w:p w14:paraId="468EFA7B" w14:textId="76F13EB2" w:rsidR="007C31F5" w:rsidRPr="009000A8" w:rsidRDefault="001B165B" w:rsidP="00E92B43">
            <w:pPr>
              <w:pStyle w:val="Tabletext"/>
              <w:keepNext/>
              <w:keepLines/>
              <w:jc w:val="center"/>
              <w:rPr>
                <w:lang w:val="fr-CH"/>
              </w:rPr>
            </w:pPr>
            <w:r>
              <w:rPr>
                <w:lang w:val="fr-CH"/>
              </w:rPr>
              <w:t>[A déterminer</w:t>
            </w:r>
            <w:r w:rsidR="007C31F5" w:rsidRPr="009000A8">
              <w:rPr>
                <w:lang w:val="fr-CH"/>
              </w:rPr>
              <w:t>] dB(W/100 MHz) pour la s</w:t>
            </w:r>
            <w:r>
              <w:rPr>
                <w:lang w:val="fr-CH"/>
              </w:rPr>
              <w:t>tation de base et</w:t>
            </w:r>
            <w:r>
              <w:rPr>
                <w:lang w:val="fr-CH"/>
              </w:rPr>
              <w:br/>
              <w:t>[A déterminer</w:t>
            </w:r>
            <w:r w:rsidR="007C31F5" w:rsidRPr="009000A8">
              <w:rPr>
                <w:lang w:val="fr-CH"/>
              </w:rPr>
              <w:t>] dB(W/100 MHz) pour l'équipement d'utilisateur</w:t>
            </w:r>
          </w:p>
        </w:tc>
      </w:tr>
      <w:tr w:rsidR="007C31F5" w:rsidRPr="009000A8" w14:paraId="1288ED03" w14:textId="77777777" w:rsidTr="00D51073">
        <w:trPr>
          <w:cantSplit/>
          <w:jc w:val="center"/>
        </w:trPr>
        <w:tc>
          <w:tcPr>
            <w:tcW w:w="9696" w:type="dxa"/>
            <w:gridSpan w:val="4"/>
            <w:tcBorders>
              <w:left w:val="nil"/>
              <w:bottom w:val="nil"/>
              <w:right w:val="nil"/>
            </w:tcBorders>
            <w:vAlign w:val="center"/>
          </w:tcPr>
          <w:p w14:paraId="41130A8F" w14:textId="16B8AE36" w:rsidR="007C31F5" w:rsidRPr="009000A8" w:rsidRDefault="007C31F5" w:rsidP="00E92B43">
            <w:pPr>
              <w:pStyle w:val="Tablelegend"/>
              <w:rPr>
                <w:lang w:val="fr-CH"/>
              </w:rPr>
            </w:pPr>
            <w:r w:rsidRPr="009000A8">
              <w:rPr>
                <w:vertAlign w:val="superscript"/>
                <w:lang w:val="fr-CH"/>
              </w:rPr>
              <w:t>1</w:t>
            </w:r>
            <w:r w:rsidRPr="009000A8">
              <w:rPr>
                <w:vertAlign w:val="superscript"/>
                <w:lang w:val="fr-CH"/>
              </w:rPr>
              <w:tab/>
            </w:r>
            <w:r w:rsidRPr="009000A8">
              <w:rPr>
                <w:lang w:val="fr-CH"/>
              </w:rPr>
              <w:t xml:space="preserve">Le niveau de puissance des rayonnements non désirés </w:t>
            </w:r>
            <w:r w:rsidR="001B165B">
              <w:rPr>
                <w:lang w:val="fr-CH"/>
              </w:rPr>
              <w:t>est</w:t>
            </w:r>
            <w:r w:rsidRPr="009000A8">
              <w:rPr>
                <w:lang w:val="fr-CH"/>
              </w:rPr>
              <w:t xml:space="preserve"> mesuré </w:t>
            </w:r>
            <w:r w:rsidR="001B165B">
              <w:rPr>
                <w:lang w:val="fr-CH"/>
              </w:rPr>
              <w:t>par la puissance totale rayonnée (TRP).</w:t>
            </w:r>
            <w:r w:rsidR="001B165B">
              <w:t xml:space="preserve"> </w:t>
            </w:r>
            <w:r w:rsidR="001B165B" w:rsidRPr="001B165B">
              <w:rPr>
                <w:lang w:val="fr-CH"/>
              </w:rPr>
              <w:t>La TRP doit s'entendre ici comme l'intégrale de la puissance émise dans différentes directions couvrant la total</w:t>
            </w:r>
            <w:r w:rsidR="001B165B">
              <w:rPr>
                <w:lang w:val="fr-CH"/>
              </w:rPr>
              <w:t>ité de la sphère de rayonnement</w:t>
            </w:r>
            <w:r w:rsidRPr="009000A8">
              <w:rPr>
                <w:lang w:val="fr-CH"/>
              </w:rPr>
              <w:t>.</w:t>
            </w:r>
          </w:p>
        </w:tc>
      </w:tr>
    </w:tbl>
    <w:p w14:paraId="18BA1907" w14:textId="613B729D" w:rsidR="007C31F5" w:rsidRPr="001B165B" w:rsidRDefault="007C31F5" w:rsidP="00E92B43">
      <w:pPr>
        <w:rPr>
          <w:rFonts w:asciiTheme="majorBidi" w:eastAsia="MS Mincho" w:hAnsiTheme="majorBidi" w:cstheme="majorBidi"/>
        </w:rPr>
      </w:pPr>
      <w:r w:rsidRPr="001B165B">
        <w:rPr>
          <w:rFonts w:asciiTheme="majorBidi" w:eastAsia="MS Mincho" w:hAnsiTheme="majorBidi" w:cstheme="majorBidi"/>
        </w:rPr>
        <w:t>2</w:t>
      </w:r>
      <w:r w:rsidRPr="001B165B">
        <w:rPr>
          <w:rFonts w:asciiTheme="majorBidi" w:eastAsia="MS Mincho" w:hAnsiTheme="majorBidi" w:cstheme="majorBidi"/>
        </w:rPr>
        <w:tab/>
      </w:r>
      <w:r w:rsidR="001B165B" w:rsidRPr="001B165B">
        <w:rPr>
          <w:rFonts w:asciiTheme="majorBidi" w:eastAsia="MS Mincho" w:hAnsiTheme="majorBidi" w:cstheme="majorBidi"/>
        </w:rPr>
        <w:t xml:space="preserve">lors du déploiement de stations de base IMT </w:t>
      </w:r>
      <w:r w:rsidR="007C4614">
        <w:rPr>
          <w:rFonts w:asciiTheme="majorBidi" w:eastAsia="MS Mincho" w:hAnsiTheme="majorBidi" w:cstheme="majorBidi"/>
        </w:rPr>
        <w:t xml:space="preserve">en </w:t>
      </w:r>
      <w:r w:rsidR="001B165B" w:rsidRPr="001B165B">
        <w:rPr>
          <w:rFonts w:asciiTheme="majorBidi" w:eastAsia="MS Mincho" w:hAnsiTheme="majorBidi" w:cstheme="majorBidi"/>
        </w:rPr>
        <w:t>extérieur</w:t>
      </w:r>
      <w:r w:rsidRPr="001B165B">
        <w:rPr>
          <w:rFonts w:asciiTheme="majorBidi" w:eastAsia="MS Mincho" w:hAnsiTheme="majorBidi" w:cstheme="majorBidi"/>
        </w:rPr>
        <w:t xml:space="preserve">, </w:t>
      </w:r>
      <w:r w:rsidR="001B165B" w:rsidRPr="001B165B">
        <w:rPr>
          <w:rFonts w:asciiTheme="majorBidi" w:eastAsia="MS Mincho" w:hAnsiTheme="majorBidi" w:cstheme="majorBidi"/>
        </w:rPr>
        <w:t>il doit être fait en sorte que chaq</w:t>
      </w:r>
      <w:r w:rsidR="001B165B">
        <w:rPr>
          <w:rFonts w:asciiTheme="majorBidi" w:eastAsia="MS Mincho" w:hAnsiTheme="majorBidi" w:cstheme="majorBidi"/>
        </w:rPr>
        <w:t>ue antenne n'émette en principe</w:t>
      </w:r>
      <w:r w:rsidRPr="007C4614">
        <w:rPr>
          <w:rFonts w:asciiTheme="majorBidi" w:eastAsia="MS Mincho" w:hAnsiTheme="majorBidi" w:cstheme="majorBidi"/>
          <w:vertAlign w:val="superscript"/>
          <w:lang w:val="en-GB"/>
        </w:rPr>
        <w:footnoteReference w:customMarkFollows="1" w:id="1"/>
        <w:sym w:font="Symbol" w:char="F02A"/>
      </w:r>
      <w:r w:rsidRPr="001B165B">
        <w:rPr>
          <w:rFonts w:asciiTheme="majorBidi" w:eastAsia="MS Mincho" w:hAnsiTheme="majorBidi" w:cstheme="majorBidi"/>
        </w:rPr>
        <w:t xml:space="preserve"> </w:t>
      </w:r>
      <w:r w:rsidR="001B165B" w:rsidRPr="001B165B">
        <w:rPr>
          <w:rFonts w:asciiTheme="majorBidi" w:eastAsia="MS Mincho" w:hAnsiTheme="majorBidi" w:cstheme="majorBidi"/>
        </w:rPr>
        <w:t>que lorsque le faisceau principal pointe au-dessous de l'horizon</w:t>
      </w:r>
      <w:r w:rsidR="001B165B">
        <w:rPr>
          <w:rFonts w:asciiTheme="majorBidi" w:eastAsia="MS Mincho" w:hAnsiTheme="majorBidi" w:cstheme="majorBidi"/>
        </w:rPr>
        <w:t xml:space="preserve">, </w:t>
      </w:r>
      <w:r w:rsidR="001B165B" w:rsidRPr="001B165B">
        <w:rPr>
          <w:rFonts w:asciiTheme="majorBidi" w:eastAsia="MS Mincho" w:hAnsiTheme="majorBidi" w:cstheme="majorBidi"/>
        </w:rPr>
        <w:t>sauf lorsque la station de base fonctionne en mode réception seulement</w:t>
      </w:r>
      <w:r w:rsidR="000F2673">
        <w:rPr>
          <w:rFonts w:asciiTheme="majorBidi" w:eastAsia="MS Mincho" w:hAnsiTheme="majorBidi" w:cstheme="majorBidi"/>
        </w:rPr>
        <w:t>,</w:t>
      </w:r>
    </w:p>
    <w:p w14:paraId="365EEC9F" w14:textId="429DD714" w:rsidR="007C31F5" w:rsidRPr="006F7391" w:rsidRDefault="001B165B" w:rsidP="00E92B43">
      <w:pPr>
        <w:pStyle w:val="Call"/>
        <w:rPr>
          <w:rFonts w:eastAsia="MS Mincho"/>
        </w:rPr>
      </w:pPr>
      <w:r>
        <w:rPr>
          <w:rFonts w:eastAsia="MS Mincho"/>
        </w:rPr>
        <w:t>invite</w:t>
      </w:r>
      <w:r w:rsidR="007C31F5" w:rsidRPr="006F7391">
        <w:rPr>
          <w:rFonts w:eastAsia="MS Mincho"/>
        </w:rPr>
        <w:t xml:space="preserve"> </w:t>
      </w:r>
      <w:r>
        <w:rPr>
          <w:rFonts w:eastAsia="MS Mincho"/>
        </w:rPr>
        <w:t>l'</w:t>
      </w:r>
      <w:r w:rsidR="007C31F5" w:rsidRPr="006F7391">
        <w:rPr>
          <w:rFonts w:eastAsia="MS Mincho"/>
        </w:rPr>
        <w:t>U</w:t>
      </w:r>
      <w:r>
        <w:rPr>
          <w:rFonts w:eastAsia="MS Mincho"/>
        </w:rPr>
        <w:t>IT</w:t>
      </w:r>
      <w:r w:rsidR="007C31F5" w:rsidRPr="006F7391">
        <w:rPr>
          <w:rFonts w:eastAsia="MS Mincho"/>
        </w:rPr>
        <w:noBreakHyphen/>
        <w:t>R</w:t>
      </w:r>
    </w:p>
    <w:p w14:paraId="72A869BF" w14:textId="77777777" w:rsidR="007C31F5" w:rsidRPr="006F7391" w:rsidRDefault="007C31F5" w:rsidP="00E92B43">
      <w:pPr>
        <w:rPr>
          <w:rFonts w:asciiTheme="majorBidi" w:eastAsia="MS Mincho" w:hAnsiTheme="majorBidi" w:cstheme="majorBidi"/>
        </w:rPr>
      </w:pPr>
      <w:r w:rsidRPr="006F7391">
        <w:rPr>
          <w:rFonts w:asciiTheme="majorBidi" w:eastAsia="MS Mincho" w:hAnsiTheme="majorBidi" w:cstheme="majorBidi"/>
        </w:rPr>
        <w:t>…</w:t>
      </w:r>
    </w:p>
    <w:p w14:paraId="55D1A90C" w14:textId="34576471" w:rsidR="000A4339" w:rsidRDefault="007C31F5" w:rsidP="00E92B43">
      <w:pPr>
        <w:rPr>
          <w:lang w:val="fr-CH"/>
        </w:rPr>
      </w:pPr>
      <w:r w:rsidRPr="007C31F5">
        <w:rPr>
          <w:rFonts w:asciiTheme="majorBidi" w:eastAsia="MS Mincho" w:hAnsiTheme="majorBidi" w:cstheme="majorBidi"/>
          <w:iCs/>
          <w:lang w:val="fr-CH"/>
        </w:rPr>
        <w:t>2</w:t>
      </w:r>
      <w:r w:rsidRPr="007C31F5">
        <w:rPr>
          <w:rFonts w:asciiTheme="majorBidi" w:eastAsia="MS Mincho" w:hAnsiTheme="majorBidi" w:cstheme="majorBidi"/>
          <w:i/>
          <w:iCs/>
          <w:lang w:val="fr-CH"/>
        </w:rPr>
        <w:tab/>
      </w:r>
      <w:r w:rsidR="006C3CA0" w:rsidRPr="006C3CA0">
        <w:rPr>
          <w:lang w:val="fr-CH"/>
        </w:rPr>
        <w:t>à élaborer des Recommandations de l'UIT-R, selon qu'il conviendra, afin de fournir des informations sur les mesures de coordination et de protection possibles des stations terriennes existantes et futures du service de recherche spatiale fonctionnant da</w:t>
      </w:r>
      <w:r w:rsidR="006C3CA0">
        <w:rPr>
          <w:lang w:val="fr-CH"/>
        </w:rPr>
        <w:t>ns la bande de fréquences 37</w:t>
      </w:r>
      <w:r w:rsidR="003C6191">
        <w:rPr>
          <w:lang w:val="fr-CH"/>
        </w:rPr>
        <w:noBreakHyphen/>
      </w:r>
      <w:r w:rsidR="006C3CA0">
        <w:rPr>
          <w:lang w:val="fr-CH"/>
        </w:rPr>
        <w:t>38 </w:t>
      </w:r>
      <w:r w:rsidR="006C3CA0" w:rsidRPr="006C3CA0">
        <w:rPr>
          <w:lang w:val="fr-CH"/>
        </w:rPr>
        <w:t>GHz</w:t>
      </w:r>
      <w:r w:rsidR="000A4339" w:rsidRPr="009000A8">
        <w:rPr>
          <w:lang w:val="fr-CH"/>
        </w:rPr>
        <w:t>;</w:t>
      </w:r>
    </w:p>
    <w:p w14:paraId="5A78FC91" w14:textId="100C5882" w:rsidR="007C31F5" w:rsidRDefault="007C31F5" w:rsidP="00E92B43">
      <w:pPr>
        <w:rPr>
          <w:rFonts w:asciiTheme="majorBidi" w:eastAsia="MS Mincho" w:hAnsiTheme="majorBidi" w:cstheme="majorBidi"/>
          <w:lang w:val="fr-CH"/>
        </w:rPr>
      </w:pPr>
      <w:r w:rsidRPr="007C31F5">
        <w:rPr>
          <w:rFonts w:asciiTheme="majorBidi" w:eastAsia="MS Mincho" w:hAnsiTheme="majorBidi" w:cstheme="majorBidi"/>
          <w:lang w:val="fr-CH"/>
        </w:rPr>
        <w:t>3</w:t>
      </w:r>
      <w:r w:rsidRPr="007C31F5">
        <w:rPr>
          <w:rFonts w:asciiTheme="majorBidi" w:eastAsia="MS Mincho" w:hAnsiTheme="majorBidi" w:cstheme="majorBidi"/>
          <w:lang w:val="fr-CH"/>
        </w:rPr>
        <w:tab/>
      </w:r>
      <w:r w:rsidR="000A4339" w:rsidRPr="009000A8">
        <w:rPr>
          <w:color w:val="000000"/>
          <w:lang w:val="fr-CH"/>
        </w:rPr>
        <w:t>à examiner à intervalles réguliers les incidences de l'évolution des caractéristiques techniques et opérationnelles des IMT (y compris le déploiement et la densité de stations de base</w:t>
      </w:r>
      <w:r w:rsidR="006C3CA0">
        <w:rPr>
          <w:color w:val="000000"/>
          <w:lang w:val="fr-CH"/>
        </w:rPr>
        <w:t xml:space="preserve"> compte tenu des paramètres de référence visés au point </w:t>
      </w:r>
      <w:r w:rsidR="006C3CA0" w:rsidRPr="006C3CA0">
        <w:rPr>
          <w:i/>
          <w:iCs/>
          <w:color w:val="000000"/>
          <w:lang w:val="fr-CH"/>
        </w:rPr>
        <w:t>f)</w:t>
      </w:r>
      <w:r w:rsidR="006C3CA0">
        <w:rPr>
          <w:color w:val="000000"/>
          <w:lang w:val="fr-CH"/>
        </w:rPr>
        <w:t xml:space="preserve"> du </w:t>
      </w:r>
      <w:r w:rsidR="006C3CA0" w:rsidRPr="006C3CA0">
        <w:rPr>
          <w:i/>
          <w:iCs/>
          <w:color w:val="000000"/>
          <w:lang w:val="fr-CH"/>
        </w:rPr>
        <w:t>reconnaissant</w:t>
      </w:r>
      <w:r w:rsidR="006C3CA0">
        <w:rPr>
          <w:color w:val="000000"/>
          <w:lang w:val="fr-CH"/>
        </w:rPr>
        <w:t xml:space="preserve"> ci-dessus</w:t>
      </w:r>
      <w:r w:rsidR="000A4339" w:rsidRPr="009000A8">
        <w:rPr>
          <w:color w:val="000000"/>
          <w:lang w:val="fr-CH"/>
        </w:rPr>
        <w:t xml:space="preserve">) sur le partage et la compatibilité avec les autres services (par exemple, les services spatiaux) et, si nécessaire, </w:t>
      </w:r>
      <w:r w:rsidR="00E92B43">
        <w:rPr>
          <w:color w:val="000000"/>
          <w:lang w:val="fr-CH"/>
        </w:rPr>
        <w:t>à</w:t>
      </w:r>
      <w:r w:rsidR="000A4339" w:rsidRPr="009000A8">
        <w:rPr>
          <w:color w:val="000000"/>
          <w:lang w:val="fr-CH"/>
        </w:rPr>
        <w:t xml:space="preserve"> tenir compte des résultats de ce</w:t>
      </w:r>
      <w:r w:rsidR="007C4614">
        <w:rPr>
          <w:color w:val="000000"/>
          <w:lang w:val="fr-CH"/>
        </w:rPr>
        <w:t>s</w:t>
      </w:r>
      <w:r w:rsidR="000A4339" w:rsidRPr="009000A8">
        <w:rPr>
          <w:color w:val="000000"/>
          <w:lang w:val="fr-CH"/>
        </w:rPr>
        <w:t xml:space="preserve"> examen</w:t>
      </w:r>
      <w:r w:rsidR="007C4614">
        <w:rPr>
          <w:color w:val="000000"/>
          <w:lang w:val="fr-CH"/>
        </w:rPr>
        <w:t>s</w:t>
      </w:r>
      <w:r w:rsidR="000A4339" w:rsidRPr="009000A8">
        <w:rPr>
          <w:color w:val="000000"/>
          <w:lang w:val="fr-CH"/>
        </w:rPr>
        <w:t xml:space="preserve"> lors de l'élaboration et de la révision de Recommandations/Rapports UIT-R, par exemple sur les caractéristiques des IMT</w:t>
      </w:r>
      <w:r w:rsidRPr="007C31F5">
        <w:rPr>
          <w:rFonts w:asciiTheme="majorBidi" w:eastAsia="MS Mincho" w:hAnsiTheme="majorBidi" w:cstheme="majorBidi"/>
          <w:lang w:val="fr-CH"/>
        </w:rPr>
        <w:t>;</w:t>
      </w:r>
    </w:p>
    <w:p w14:paraId="44AC27E7" w14:textId="36E7A05C" w:rsidR="00045B58" w:rsidRPr="007C31F5" w:rsidRDefault="00045B58" w:rsidP="00E92B43">
      <w:pPr>
        <w:rPr>
          <w:rFonts w:asciiTheme="majorBidi" w:eastAsia="MS Mincho" w:hAnsiTheme="majorBidi" w:cstheme="majorBidi"/>
          <w:lang w:val="fr-CH"/>
        </w:rPr>
      </w:pPr>
      <w:r>
        <w:rPr>
          <w:rFonts w:asciiTheme="majorBidi" w:eastAsia="MS Mincho" w:hAnsiTheme="majorBidi" w:cstheme="majorBidi"/>
          <w:lang w:val="fr-CH"/>
        </w:rPr>
        <w:t>...</w:t>
      </w:r>
    </w:p>
    <w:p w14:paraId="6E7E3C03" w14:textId="0D7B1660" w:rsidR="007C31F5" w:rsidRDefault="006C3CA0" w:rsidP="00E92B43">
      <w:pPr>
        <w:pStyle w:val="Reasons"/>
        <w:rPr>
          <w:rFonts w:eastAsia="MS Mincho"/>
          <w:lang w:val="fr-CH"/>
        </w:rPr>
      </w:pPr>
      <w:r w:rsidRPr="006C3CA0">
        <w:rPr>
          <w:rFonts w:eastAsia="MS Mincho"/>
          <w:b/>
          <w:lang w:val="fr-CH"/>
        </w:rPr>
        <w:t>Motif</w:t>
      </w:r>
      <w:r w:rsidR="007C31F5" w:rsidRPr="006C3CA0">
        <w:rPr>
          <w:rFonts w:eastAsia="MS Mincho"/>
          <w:b/>
          <w:lang w:val="fr-CH"/>
        </w:rPr>
        <w:t>s:</w:t>
      </w:r>
      <w:r w:rsidR="007C31F5" w:rsidRPr="006C3CA0">
        <w:rPr>
          <w:rFonts w:eastAsia="MS Mincho"/>
          <w:lang w:val="fr-CH"/>
        </w:rPr>
        <w:tab/>
      </w:r>
      <w:r w:rsidRPr="006C3CA0">
        <w:rPr>
          <w:rFonts w:eastAsia="MS Mincho"/>
          <w:lang w:val="fr-CH"/>
        </w:rPr>
        <w:t>L</w:t>
      </w:r>
      <w:bookmarkStart w:id="6" w:name="_GoBack"/>
      <w:bookmarkEnd w:id="6"/>
      <w:r w:rsidRPr="006C3CA0">
        <w:rPr>
          <w:rFonts w:eastAsia="MS Mincho"/>
          <w:lang w:val="fr-CH"/>
        </w:rPr>
        <w:t>e Japon appuie l'identification de la bande de fréquences</w:t>
      </w:r>
      <w:r w:rsidR="007C31F5" w:rsidRPr="006C3CA0">
        <w:rPr>
          <w:rFonts w:eastAsia="MS Mincho"/>
          <w:lang w:val="fr-CH"/>
        </w:rPr>
        <w:t xml:space="preserve"> 37-43</w:t>
      </w:r>
      <w:r>
        <w:rPr>
          <w:rFonts w:eastAsia="MS Mincho"/>
          <w:lang w:val="fr-CH"/>
        </w:rPr>
        <w:t>,</w:t>
      </w:r>
      <w:r w:rsidR="007C31F5" w:rsidRPr="006C3CA0">
        <w:rPr>
          <w:rFonts w:eastAsia="MS Mincho"/>
          <w:lang w:val="fr-CH"/>
        </w:rPr>
        <w:t xml:space="preserve">5 GHz </w:t>
      </w:r>
      <w:r>
        <w:rPr>
          <w:rFonts w:eastAsia="MS Mincho"/>
          <w:lang w:val="fr-CH"/>
        </w:rPr>
        <w:t>pour les</w:t>
      </w:r>
      <w:r w:rsidR="007C31F5" w:rsidRPr="006C3CA0">
        <w:rPr>
          <w:rFonts w:eastAsia="MS Mincho"/>
          <w:lang w:val="fr-CH"/>
        </w:rPr>
        <w:t xml:space="preserve"> IMT </w:t>
      </w:r>
      <w:r>
        <w:rPr>
          <w:rFonts w:eastAsia="MS Mincho"/>
          <w:lang w:val="fr-CH"/>
        </w:rPr>
        <w:t xml:space="preserve">et les </w:t>
      </w:r>
      <w:r w:rsidR="00297BE1">
        <w:rPr>
          <w:rFonts w:eastAsia="MS Mincho"/>
          <w:lang w:val="fr-CH"/>
        </w:rPr>
        <w:t>conditions</w:t>
      </w:r>
      <w:r>
        <w:rPr>
          <w:rFonts w:eastAsia="MS Mincho"/>
          <w:lang w:val="fr-CH"/>
        </w:rPr>
        <w:t xml:space="preserve"> associées </w:t>
      </w:r>
      <w:r w:rsidR="00297BE1">
        <w:rPr>
          <w:rFonts w:eastAsia="MS Mincho"/>
          <w:lang w:val="fr-CH"/>
        </w:rPr>
        <w:t>présentées</w:t>
      </w:r>
      <w:r>
        <w:rPr>
          <w:rFonts w:eastAsia="MS Mincho"/>
          <w:lang w:val="fr-CH"/>
        </w:rPr>
        <w:t xml:space="preserve"> dans la nouvelle Résolution de la CMR ci-dessus</w:t>
      </w:r>
      <w:r w:rsidR="007C31F5" w:rsidRPr="006C3CA0">
        <w:rPr>
          <w:rFonts w:eastAsia="MS Mincho"/>
          <w:lang w:val="fr-CH"/>
        </w:rPr>
        <w:t xml:space="preserve">. </w:t>
      </w:r>
      <w:r w:rsidR="00E14343" w:rsidRPr="00E14343">
        <w:rPr>
          <w:rFonts w:eastAsia="MS Mincho"/>
          <w:lang w:val="fr-CH"/>
        </w:rPr>
        <w:t xml:space="preserve">S'agissant des mesures de protection </w:t>
      </w:r>
      <w:r w:rsidR="00E14343">
        <w:rPr>
          <w:rFonts w:eastAsia="MS Mincho"/>
          <w:lang w:val="fr-CH"/>
        </w:rPr>
        <w:t>applicables au</w:t>
      </w:r>
      <w:r w:rsidR="00E14343" w:rsidRPr="00E14343">
        <w:rPr>
          <w:rFonts w:eastAsia="MS Mincho"/>
          <w:lang w:val="fr-CH"/>
        </w:rPr>
        <w:t xml:space="preserve"> SETS </w:t>
      </w:r>
      <w:r w:rsidR="007C31F5" w:rsidRPr="00E14343">
        <w:rPr>
          <w:rFonts w:eastAsia="MS Mincho"/>
          <w:lang w:val="fr-CH"/>
        </w:rPr>
        <w:t xml:space="preserve">(passive) </w:t>
      </w:r>
      <w:r w:rsidR="00E14343" w:rsidRPr="00E14343">
        <w:rPr>
          <w:rFonts w:eastAsia="MS Mincho"/>
          <w:lang w:val="fr-CH"/>
        </w:rPr>
        <w:t>dans la bande de fréquences</w:t>
      </w:r>
      <w:r w:rsidR="007C31F5" w:rsidRPr="00E14343">
        <w:rPr>
          <w:rFonts w:eastAsia="MS Mincho"/>
          <w:lang w:val="fr-CH"/>
        </w:rPr>
        <w:t xml:space="preserve"> 36-37 GHz, </w:t>
      </w:r>
      <w:r w:rsidR="00E14343">
        <w:rPr>
          <w:rFonts w:eastAsia="MS Mincho"/>
          <w:lang w:val="fr-CH"/>
        </w:rPr>
        <w:t xml:space="preserve">le Japon </w:t>
      </w:r>
      <w:r w:rsidR="00D06C12">
        <w:rPr>
          <w:rFonts w:eastAsia="MS Mincho"/>
          <w:lang w:val="fr-CH"/>
        </w:rPr>
        <w:t>étudie</w:t>
      </w:r>
      <w:r w:rsidR="00E14343">
        <w:rPr>
          <w:rFonts w:eastAsia="MS Mincho"/>
          <w:lang w:val="fr-CH"/>
        </w:rPr>
        <w:t xml:space="preserve"> l'Option 1 associée à la</w:t>
      </w:r>
      <w:r w:rsidR="007C31F5" w:rsidRPr="00E14343">
        <w:rPr>
          <w:rFonts w:eastAsia="MS Mincho"/>
          <w:lang w:val="fr-CH"/>
        </w:rPr>
        <w:t xml:space="preserve"> Condition C2a </w:t>
      </w:r>
      <w:r w:rsidR="00E14343">
        <w:rPr>
          <w:rFonts w:eastAsia="MS Mincho"/>
          <w:lang w:val="fr-CH"/>
        </w:rPr>
        <w:t>du Rapport de la RPC</w:t>
      </w:r>
      <w:r w:rsidR="007C31F5" w:rsidRPr="00E14343">
        <w:rPr>
          <w:rFonts w:eastAsia="MS Mincho"/>
          <w:lang w:val="fr-CH"/>
        </w:rPr>
        <w:t xml:space="preserve">. </w:t>
      </w:r>
      <w:r w:rsidR="003A39C2" w:rsidRPr="003A39C2">
        <w:rPr>
          <w:rFonts w:eastAsia="MS Mincho"/>
          <w:lang w:val="fr-CH"/>
        </w:rPr>
        <w:t>En ce qui concerne les valeurs à déterminer dans le Tableau 2</w:t>
      </w:r>
      <w:r w:rsidR="007C31F5" w:rsidRPr="003A39C2">
        <w:rPr>
          <w:rFonts w:eastAsia="MS Mincho"/>
          <w:lang w:val="fr-CH"/>
        </w:rPr>
        <w:t xml:space="preserve">, </w:t>
      </w:r>
      <w:r w:rsidR="003A39C2" w:rsidRPr="003A39C2">
        <w:rPr>
          <w:rFonts w:eastAsia="MS Mincho"/>
          <w:lang w:val="fr-CH"/>
        </w:rPr>
        <w:t xml:space="preserve">le Japon </w:t>
      </w:r>
      <w:r w:rsidR="00080D46">
        <w:rPr>
          <w:rFonts w:eastAsia="MS Mincho"/>
          <w:lang w:val="fr-CH"/>
        </w:rPr>
        <w:t>examine</w:t>
      </w:r>
      <w:r w:rsidR="003A39C2" w:rsidRPr="003A39C2">
        <w:rPr>
          <w:rFonts w:eastAsia="MS Mincho"/>
          <w:lang w:val="fr-CH"/>
        </w:rPr>
        <w:t xml:space="preserve"> </w:t>
      </w:r>
      <w:r w:rsidR="00080D46">
        <w:rPr>
          <w:rFonts w:eastAsia="MS Mincho"/>
          <w:lang w:val="fr-CH"/>
        </w:rPr>
        <w:t>des</w:t>
      </w:r>
      <w:r w:rsidR="003A39C2">
        <w:rPr>
          <w:rFonts w:eastAsia="MS Mincho"/>
          <w:lang w:val="fr-CH"/>
        </w:rPr>
        <w:t xml:space="preserve"> valeur</w:t>
      </w:r>
      <w:r w:rsidR="00080D46">
        <w:rPr>
          <w:rFonts w:eastAsia="MS Mincho"/>
          <w:lang w:val="fr-CH"/>
        </w:rPr>
        <w:t>s</w:t>
      </w:r>
      <w:r w:rsidR="003A39C2">
        <w:rPr>
          <w:rFonts w:eastAsia="MS Mincho"/>
          <w:lang w:val="fr-CH"/>
        </w:rPr>
        <w:t xml:space="preserve"> comprise</w:t>
      </w:r>
      <w:r w:rsidR="00080D46">
        <w:rPr>
          <w:rFonts w:eastAsia="MS Mincho"/>
          <w:lang w:val="fr-CH"/>
        </w:rPr>
        <w:t>s</w:t>
      </w:r>
      <w:r w:rsidR="003A39C2">
        <w:rPr>
          <w:rFonts w:eastAsia="MS Mincho"/>
          <w:lang w:val="fr-CH"/>
        </w:rPr>
        <w:t xml:space="preserve"> respectivement entre </w:t>
      </w:r>
      <w:r w:rsidR="007C31F5" w:rsidRPr="003A39C2">
        <w:rPr>
          <w:rFonts w:eastAsia="MS Mincho"/>
          <w:lang w:val="fr-CH"/>
        </w:rPr>
        <w:t xml:space="preserve">–47 </w:t>
      </w:r>
      <w:r w:rsidR="003A39C2">
        <w:rPr>
          <w:rFonts w:eastAsia="MS Mincho"/>
          <w:lang w:val="fr-CH"/>
        </w:rPr>
        <w:t>et</w:t>
      </w:r>
      <w:r w:rsidR="007C31F5" w:rsidRPr="003A39C2">
        <w:rPr>
          <w:rFonts w:eastAsia="MS Mincho"/>
          <w:lang w:val="fr-CH"/>
        </w:rPr>
        <w:t xml:space="preserve"> –33 dB(W/100 MHz) </w:t>
      </w:r>
      <w:r w:rsidR="003A39C2">
        <w:rPr>
          <w:rFonts w:eastAsia="MS Mincho"/>
          <w:lang w:val="fr-CH"/>
        </w:rPr>
        <w:t>pour les stations de base IMT</w:t>
      </w:r>
      <w:r w:rsidR="007C31F5" w:rsidRPr="003A39C2">
        <w:rPr>
          <w:rFonts w:eastAsia="MS Mincho"/>
          <w:lang w:val="fr-CH"/>
        </w:rPr>
        <w:t xml:space="preserve"> </w:t>
      </w:r>
      <w:r w:rsidR="003A39C2">
        <w:rPr>
          <w:rFonts w:eastAsia="MS Mincho"/>
          <w:lang w:val="fr-CH"/>
        </w:rPr>
        <w:t>et</w:t>
      </w:r>
      <w:r w:rsidR="007C31F5" w:rsidRPr="003A39C2">
        <w:rPr>
          <w:rFonts w:eastAsia="MS Mincho"/>
          <w:lang w:val="fr-CH"/>
        </w:rPr>
        <w:t xml:space="preserve"> </w:t>
      </w:r>
      <w:r w:rsidR="003A39C2">
        <w:rPr>
          <w:rFonts w:eastAsia="MS Mincho"/>
          <w:lang w:val="fr-CH"/>
        </w:rPr>
        <w:t xml:space="preserve">entre </w:t>
      </w:r>
      <w:r w:rsidR="007C31F5" w:rsidRPr="003A39C2">
        <w:rPr>
          <w:rFonts w:eastAsia="MS Mincho"/>
          <w:lang w:val="fr-CH"/>
        </w:rPr>
        <w:t xml:space="preserve">–46 </w:t>
      </w:r>
      <w:r w:rsidR="003A39C2">
        <w:rPr>
          <w:rFonts w:eastAsia="MS Mincho"/>
          <w:lang w:val="fr-CH"/>
        </w:rPr>
        <w:t>et</w:t>
      </w:r>
      <w:r w:rsidR="007C31F5" w:rsidRPr="003A39C2">
        <w:rPr>
          <w:rFonts w:eastAsia="MS Mincho"/>
          <w:lang w:val="fr-CH"/>
        </w:rPr>
        <w:t xml:space="preserve"> </w:t>
      </w:r>
      <w:r w:rsidR="007E1F9E">
        <w:rPr>
          <w:rFonts w:eastAsia="MS Mincho"/>
          <w:lang w:val="fr-CH"/>
        </w:rPr>
        <w:t>−</w:t>
      </w:r>
      <w:r w:rsidR="007C31F5" w:rsidRPr="003A39C2">
        <w:rPr>
          <w:rFonts w:eastAsia="MS Mincho"/>
          <w:lang w:val="fr-CH"/>
        </w:rPr>
        <w:t>32</w:t>
      </w:r>
      <w:r w:rsidR="007E1F9E">
        <w:rPr>
          <w:rFonts w:eastAsia="MS Mincho"/>
          <w:lang w:val="fr-CH"/>
        </w:rPr>
        <w:t> </w:t>
      </w:r>
      <w:r w:rsidR="007C31F5" w:rsidRPr="003A39C2">
        <w:rPr>
          <w:rFonts w:eastAsia="MS Mincho"/>
          <w:lang w:val="fr-CH"/>
        </w:rPr>
        <w:t>dB(W/100</w:t>
      </w:r>
      <w:r w:rsidR="007E1F9E">
        <w:rPr>
          <w:rFonts w:eastAsia="MS Mincho"/>
          <w:lang w:val="fr-CH"/>
        </w:rPr>
        <w:t> </w:t>
      </w:r>
      <w:r w:rsidR="007C31F5" w:rsidRPr="003A39C2">
        <w:rPr>
          <w:rFonts w:eastAsia="MS Mincho"/>
          <w:lang w:val="fr-CH"/>
        </w:rPr>
        <w:t xml:space="preserve">MHz) </w:t>
      </w:r>
      <w:r w:rsidR="003A39C2">
        <w:rPr>
          <w:rFonts w:eastAsia="MS Mincho"/>
          <w:lang w:val="fr-CH"/>
        </w:rPr>
        <w:t>pour les stations mobiles IMT</w:t>
      </w:r>
      <w:r w:rsidR="007C31F5" w:rsidRPr="003A39C2">
        <w:rPr>
          <w:rFonts w:eastAsia="MS Mincho"/>
          <w:lang w:val="fr-CH"/>
        </w:rPr>
        <w:t xml:space="preserve">. </w:t>
      </w:r>
      <w:r w:rsidR="003A39C2" w:rsidRPr="003A39C2">
        <w:rPr>
          <w:rFonts w:eastAsia="MS Mincho"/>
          <w:lang w:val="fr-CH"/>
        </w:rPr>
        <w:t xml:space="preserve">Le Japon examine </w:t>
      </w:r>
      <w:r w:rsidR="008D4D10">
        <w:rPr>
          <w:rFonts w:eastAsia="MS Mincho"/>
          <w:lang w:val="fr-CH"/>
        </w:rPr>
        <w:t>en outre</w:t>
      </w:r>
      <w:r w:rsidR="003A39C2" w:rsidRPr="003A39C2">
        <w:rPr>
          <w:rFonts w:eastAsia="MS Mincho"/>
          <w:lang w:val="fr-CH"/>
        </w:rPr>
        <w:t xml:space="preserve"> un </w:t>
      </w:r>
      <w:r w:rsidR="003A39C2">
        <w:rPr>
          <w:rFonts w:eastAsia="MS Mincho"/>
          <w:lang w:val="fr-CH"/>
        </w:rPr>
        <w:t>nouvel</w:t>
      </w:r>
      <w:r w:rsidR="00297BE1">
        <w:rPr>
          <w:rFonts w:eastAsia="MS Mincho"/>
          <w:lang w:val="fr-CH"/>
        </w:rPr>
        <w:t xml:space="preserve"> assouplissement </w:t>
      </w:r>
      <w:r w:rsidR="003A39C2" w:rsidRPr="003A39C2">
        <w:rPr>
          <w:rFonts w:eastAsia="MS Mincho"/>
          <w:lang w:val="fr-CH"/>
        </w:rPr>
        <w:t xml:space="preserve">des limites des rayonnements non désirés des stations IMT </w:t>
      </w:r>
      <w:r w:rsidR="00297BE1">
        <w:rPr>
          <w:rFonts w:eastAsia="MS Mincho"/>
          <w:lang w:val="fr-CH"/>
        </w:rPr>
        <w:t>en association avec le</w:t>
      </w:r>
      <w:r w:rsidR="007C31F5" w:rsidRPr="003A39C2">
        <w:rPr>
          <w:rFonts w:eastAsia="MS Mincho"/>
          <w:lang w:val="fr-CH"/>
        </w:rPr>
        <w:t xml:space="preserve"> </w:t>
      </w:r>
      <w:r w:rsidR="003A39C2">
        <w:rPr>
          <w:rFonts w:eastAsia="MS Mincho"/>
          <w:lang w:val="fr-CH"/>
        </w:rPr>
        <w:t xml:space="preserve">critère de brouillage </w:t>
      </w:r>
      <w:r w:rsidR="005F2D37">
        <w:rPr>
          <w:rFonts w:eastAsia="MS Mincho"/>
          <w:lang w:val="fr-CH"/>
        </w:rPr>
        <w:t>applicable aux</w:t>
      </w:r>
      <w:r w:rsidR="003A39C2">
        <w:rPr>
          <w:rFonts w:eastAsia="MS Mincho"/>
          <w:lang w:val="fr-CH"/>
        </w:rPr>
        <w:t xml:space="preserve"> capteurs du SETS</w:t>
      </w:r>
      <w:r w:rsidR="007C31F5" w:rsidRPr="003A39C2">
        <w:rPr>
          <w:rFonts w:eastAsia="MS Mincho"/>
          <w:lang w:val="fr-CH"/>
        </w:rPr>
        <w:t xml:space="preserve"> (passive) </w:t>
      </w:r>
      <w:r w:rsidR="003A39C2" w:rsidRPr="003A39C2">
        <w:rPr>
          <w:rFonts w:eastAsia="MS Mincho"/>
          <w:lang w:val="fr-CH"/>
        </w:rPr>
        <w:t>dans la bande de fréquences</w:t>
      </w:r>
      <w:r w:rsidR="003A39C2">
        <w:rPr>
          <w:rFonts w:eastAsia="MS Mincho"/>
          <w:lang w:val="fr-CH"/>
        </w:rPr>
        <w:t xml:space="preserve"> 36</w:t>
      </w:r>
      <w:r w:rsidR="007E1F9E">
        <w:rPr>
          <w:rFonts w:eastAsia="MS Mincho"/>
          <w:lang w:val="fr-CH"/>
        </w:rPr>
        <w:noBreakHyphen/>
      </w:r>
      <w:r w:rsidR="003A39C2">
        <w:rPr>
          <w:rFonts w:eastAsia="MS Mincho"/>
          <w:lang w:val="fr-CH"/>
        </w:rPr>
        <w:t>37 </w:t>
      </w:r>
      <w:r w:rsidR="007C31F5" w:rsidRPr="003A39C2">
        <w:rPr>
          <w:rFonts w:eastAsia="MS Mincho"/>
          <w:lang w:val="fr-CH"/>
        </w:rPr>
        <w:t xml:space="preserve">GHz </w:t>
      </w:r>
      <w:r w:rsidR="00E800D4">
        <w:rPr>
          <w:rFonts w:eastAsia="MS Mincho"/>
          <w:lang w:val="fr-CH"/>
        </w:rPr>
        <w:t>figurant</w:t>
      </w:r>
      <w:r w:rsidR="003A39C2">
        <w:rPr>
          <w:rFonts w:eastAsia="MS Mincho"/>
          <w:lang w:val="fr-CH"/>
        </w:rPr>
        <w:t xml:space="preserve"> dans la</w:t>
      </w:r>
      <w:r w:rsidR="007C31F5" w:rsidRPr="003A39C2">
        <w:rPr>
          <w:rFonts w:eastAsia="MS Mincho"/>
          <w:lang w:val="fr-CH"/>
        </w:rPr>
        <w:t xml:space="preserve"> Recomm</w:t>
      </w:r>
      <w:r w:rsidR="003A39C2" w:rsidRPr="003A39C2">
        <w:rPr>
          <w:rFonts w:eastAsia="MS Mincho"/>
          <w:lang w:val="fr-CH"/>
        </w:rPr>
        <w:t>a</w:t>
      </w:r>
      <w:r w:rsidR="007C31F5" w:rsidRPr="003A39C2">
        <w:rPr>
          <w:rFonts w:eastAsia="MS Mincho"/>
          <w:lang w:val="fr-CH"/>
        </w:rPr>
        <w:t xml:space="preserve">ndation </w:t>
      </w:r>
      <w:r w:rsidR="003A39C2" w:rsidRPr="003A39C2">
        <w:rPr>
          <w:rFonts w:eastAsia="MS Mincho"/>
          <w:lang w:val="fr-CH"/>
        </w:rPr>
        <w:t>UIT</w:t>
      </w:r>
      <w:r w:rsidR="00E800D4">
        <w:rPr>
          <w:rFonts w:eastAsia="MS Mincho"/>
          <w:lang w:val="fr-CH"/>
        </w:rPr>
        <w:t xml:space="preserve">-R RS.2017, </w:t>
      </w:r>
      <w:r w:rsidR="00BD05ED">
        <w:rPr>
          <w:rFonts w:eastAsia="MS Mincho"/>
          <w:lang w:val="fr-CH"/>
        </w:rPr>
        <w:t>en vertu de laquelle</w:t>
      </w:r>
      <w:r w:rsidR="003A39C2" w:rsidRPr="003A39C2">
        <w:rPr>
          <w:rFonts w:eastAsia="MS Mincho"/>
          <w:lang w:val="fr-CH"/>
        </w:rPr>
        <w:t xml:space="preserve"> un dépassement d</w:t>
      </w:r>
      <w:r w:rsidR="005F2D37">
        <w:rPr>
          <w:rFonts w:eastAsia="MS Mincho"/>
          <w:lang w:val="fr-CH"/>
        </w:rPr>
        <w:t>u critère</w:t>
      </w:r>
      <w:r w:rsidR="003A39C2" w:rsidRPr="003A39C2">
        <w:rPr>
          <w:rFonts w:eastAsia="MS Mincho"/>
          <w:lang w:val="fr-CH"/>
        </w:rPr>
        <w:t xml:space="preserve"> de brouillage pendant 0,1% du temps ou sur </w:t>
      </w:r>
      <w:r w:rsidR="00297BE1">
        <w:rPr>
          <w:rFonts w:eastAsia="MS Mincho"/>
          <w:lang w:val="fr-CH"/>
        </w:rPr>
        <w:t>0,1% d'</w:t>
      </w:r>
      <w:r w:rsidR="003A39C2" w:rsidRPr="003A39C2">
        <w:rPr>
          <w:rFonts w:eastAsia="MS Mincho"/>
          <w:lang w:val="fr-CH"/>
        </w:rPr>
        <w:t>une zone de 10 000 000 km²</w:t>
      </w:r>
      <w:r w:rsidR="00BD05ED">
        <w:rPr>
          <w:rFonts w:eastAsia="MS Mincho"/>
          <w:lang w:val="fr-CH"/>
        </w:rPr>
        <w:t xml:space="preserve"> est autorisé</w:t>
      </w:r>
      <w:r w:rsidR="007C31F5" w:rsidRPr="003A39C2">
        <w:rPr>
          <w:rFonts w:eastAsia="MS Mincho"/>
          <w:lang w:val="fr-CH"/>
        </w:rPr>
        <w:t>.</w:t>
      </w:r>
    </w:p>
    <w:p w14:paraId="5ED90682" w14:textId="77777777" w:rsidR="00E92B43" w:rsidRDefault="00E92B43">
      <w:pPr>
        <w:jc w:val="center"/>
      </w:pPr>
      <w:r>
        <w:t>______________</w:t>
      </w:r>
    </w:p>
    <w:sectPr w:rsidR="00E92B4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2770" w14:textId="77777777" w:rsidR="0070076C" w:rsidRDefault="0070076C">
      <w:r>
        <w:separator/>
      </w:r>
    </w:p>
  </w:endnote>
  <w:endnote w:type="continuationSeparator" w:id="0">
    <w:p w14:paraId="0051597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2DE8" w14:textId="5E51ACB2" w:rsidR="00936D25" w:rsidRDefault="00936D25">
    <w:pPr>
      <w:rPr>
        <w:lang w:val="en-US"/>
      </w:rPr>
    </w:pPr>
    <w:r>
      <w:fldChar w:fldCharType="begin"/>
    </w:r>
    <w:r>
      <w:rPr>
        <w:lang w:val="en-US"/>
      </w:rPr>
      <w:instrText xml:space="preserve"> FILENAME \p  \* MERGEFORMAT </w:instrText>
    </w:r>
    <w:r>
      <w:fldChar w:fldCharType="separate"/>
    </w:r>
    <w:r w:rsidR="00B361D0">
      <w:rPr>
        <w:noProof/>
        <w:lang w:val="en-US"/>
      </w:rPr>
      <w:t>P:\FRA\ITU-R\CONF-R\CMR19\000\080ADD13ADD02F.docx</w:t>
    </w:r>
    <w:r>
      <w:fldChar w:fldCharType="end"/>
    </w:r>
    <w:r>
      <w:rPr>
        <w:lang w:val="en-US"/>
      </w:rPr>
      <w:tab/>
    </w:r>
    <w:r>
      <w:fldChar w:fldCharType="begin"/>
    </w:r>
    <w:r>
      <w:instrText xml:space="preserve"> SAVEDATE \@ DD.MM.YY </w:instrText>
    </w:r>
    <w:r>
      <w:fldChar w:fldCharType="separate"/>
    </w:r>
    <w:r w:rsidR="00B361D0">
      <w:rPr>
        <w:noProof/>
      </w:rPr>
      <w:t>18.10.19</w:t>
    </w:r>
    <w:r>
      <w:fldChar w:fldCharType="end"/>
    </w:r>
    <w:r>
      <w:rPr>
        <w:lang w:val="en-US"/>
      </w:rPr>
      <w:tab/>
    </w:r>
    <w:r>
      <w:fldChar w:fldCharType="begin"/>
    </w:r>
    <w:r>
      <w:instrText xml:space="preserve"> PRINTDATE \@ DD.MM.YY </w:instrText>
    </w:r>
    <w:r>
      <w:fldChar w:fldCharType="separate"/>
    </w:r>
    <w:r w:rsidR="00B361D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CF190" w14:textId="05C671AB" w:rsidR="00936D25" w:rsidRPr="0031187B" w:rsidRDefault="00936D25" w:rsidP="007B2C34">
    <w:pPr>
      <w:pStyle w:val="Footer"/>
      <w:rPr>
        <w:lang w:val="en-GB"/>
      </w:rPr>
    </w:pPr>
    <w:r>
      <w:fldChar w:fldCharType="begin"/>
    </w:r>
    <w:r>
      <w:rPr>
        <w:lang w:val="en-US"/>
      </w:rPr>
      <w:instrText xml:space="preserve"> FILENAME \p  \* MERGEFORMAT </w:instrText>
    </w:r>
    <w:r>
      <w:fldChar w:fldCharType="separate"/>
    </w:r>
    <w:r w:rsidR="00B361D0">
      <w:rPr>
        <w:lang w:val="en-US"/>
      </w:rPr>
      <w:t>P:\FRA\ITU-R\CONF-R\CMR19\000\080ADD13ADD02F.docx</w:t>
    </w:r>
    <w:r>
      <w:fldChar w:fldCharType="end"/>
    </w:r>
    <w:r w:rsidR="0031187B" w:rsidRPr="0031187B">
      <w:rPr>
        <w:lang w:val="en-GB"/>
      </w:rPr>
      <w:t xml:space="preserve"> </w:t>
    </w:r>
    <w:r w:rsidR="0031187B">
      <w:rPr>
        <w:lang w:val="en-GB"/>
      </w:rPr>
      <w:t>(462163)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2371" w14:textId="7F86F74E" w:rsidR="00936D25" w:rsidRDefault="0031187B" w:rsidP="0031187B">
    <w:pPr>
      <w:pStyle w:val="Footer"/>
      <w:rPr>
        <w:lang w:val="en-US"/>
      </w:rPr>
    </w:pPr>
    <w:r>
      <w:fldChar w:fldCharType="begin"/>
    </w:r>
    <w:r w:rsidRPr="0031187B">
      <w:rPr>
        <w:lang w:val="en-GB"/>
      </w:rPr>
      <w:instrText xml:space="preserve"> FILENAME \p  \* MERGEFORMAT </w:instrText>
    </w:r>
    <w:r>
      <w:fldChar w:fldCharType="separate"/>
    </w:r>
    <w:r w:rsidR="00B361D0">
      <w:rPr>
        <w:lang w:val="en-GB"/>
      </w:rPr>
      <w:t>P:\FRA\ITU-R\CONF-R\CMR19\000\080ADD13ADD02F.docx</w:t>
    </w:r>
    <w:r>
      <w:fldChar w:fldCharType="end"/>
    </w:r>
    <w:r w:rsidRPr="0031187B">
      <w:rPr>
        <w:lang w:val="en-GB"/>
      </w:rPr>
      <w:t xml:space="preserve"> (</w:t>
    </w:r>
    <w:r>
      <w:rPr>
        <w:lang w:val="en-GB"/>
      </w:rPr>
      <w:t>462163</w:t>
    </w:r>
    <w:r w:rsidRPr="0031187B">
      <w:rPr>
        <w:lang w:val="en-GB"/>
      </w:rPr>
      <w:t>)</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503C" w14:textId="77777777" w:rsidR="0070076C" w:rsidRDefault="0070076C">
      <w:r>
        <w:rPr>
          <w:b/>
        </w:rPr>
        <w:t>_______________</w:t>
      </w:r>
    </w:p>
  </w:footnote>
  <w:footnote w:type="continuationSeparator" w:id="0">
    <w:p w14:paraId="7A67089B" w14:textId="77777777" w:rsidR="0070076C" w:rsidRDefault="0070076C">
      <w:r>
        <w:continuationSeparator/>
      </w:r>
    </w:p>
  </w:footnote>
  <w:footnote w:id="1">
    <w:p w14:paraId="224B5677" w14:textId="2104F127" w:rsidR="007C31F5" w:rsidRPr="00C815FE" w:rsidRDefault="007C31F5" w:rsidP="007E1F9E">
      <w:pPr>
        <w:pStyle w:val="FootnoteText"/>
        <w:spacing w:before="0"/>
        <w:rPr>
          <w:lang w:eastAsia="ja-JP"/>
        </w:rPr>
      </w:pPr>
      <w:r w:rsidRPr="00DB039F">
        <w:rPr>
          <w:rStyle w:val="FootnoteReference"/>
        </w:rPr>
        <w:sym w:font="Symbol" w:char="F02A"/>
      </w:r>
      <w:r w:rsidRPr="00C815FE">
        <w:t xml:space="preserve"> </w:t>
      </w:r>
      <w:r w:rsidRPr="00C815FE">
        <w:rPr>
          <w:lang w:eastAsia="ja-JP"/>
        </w:rPr>
        <w:tab/>
      </w:r>
      <w:r w:rsidR="00524394">
        <w:rPr>
          <w:lang w:eastAsia="ja-JP"/>
        </w:rPr>
        <w:t>O</w:t>
      </w:r>
      <w:r w:rsidR="00C815FE" w:rsidRPr="00C815FE">
        <w:rPr>
          <w:lang w:eastAsia="ja-JP"/>
        </w:rPr>
        <w:t xml:space="preserve">n suppose que seul un nombre très limité de stations mobiles IMT </w:t>
      </w:r>
      <w:r w:rsidR="00C815FE" w:rsidRPr="00C815FE">
        <w:t xml:space="preserve">communiquera avec des stations de base </w:t>
      </w:r>
      <w:r w:rsidR="00C815FE">
        <w:t>IMT dont le faisceau principal pointe au-dessus</w:t>
      </w:r>
      <w:r w:rsidRPr="00C815FE">
        <w:t xml:space="preserve"> </w:t>
      </w:r>
      <w:r w:rsidR="00C815FE">
        <w:t>de</w:t>
      </w:r>
      <w:r w:rsidRPr="00C815FE">
        <w:t xml:space="preserve"> </w:t>
      </w:r>
      <w:r w:rsidR="00C815FE">
        <w:t>l'</w:t>
      </w:r>
      <w:r w:rsidRPr="00C815FE">
        <w:t>horizon.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92BB" w14:textId="77777777" w:rsidR="004F1F8E" w:rsidRDefault="004F1F8E" w:rsidP="004F1F8E">
    <w:pPr>
      <w:pStyle w:val="Header"/>
    </w:pPr>
    <w:r>
      <w:fldChar w:fldCharType="begin"/>
    </w:r>
    <w:r>
      <w:instrText xml:space="preserve"> PAGE </w:instrText>
    </w:r>
    <w:r>
      <w:fldChar w:fldCharType="separate"/>
    </w:r>
    <w:r w:rsidR="00F62045">
      <w:rPr>
        <w:noProof/>
      </w:rPr>
      <w:t>4</w:t>
    </w:r>
    <w:r>
      <w:fldChar w:fldCharType="end"/>
    </w:r>
  </w:p>
  <w:p w14:paraId="7966B6AB" w14:textId="77777777" w:rsidR="004F1F8E" w:rsidRDefault="004F1F8E" w:rsidP="00FD7AA3">
    <w:pPr>
      <w:pStyle w:val="Header"/>
    </w:pPr>
    <w:r>
      <w:t>CMR1</w:t>
    </w:r>
    <w:r w:rsidR="00FD7AA3">
      <w:t>9</w:t>
    </w:r>
    <w:r>
      <w:t>/</w:t>
    </w:r>
    <w:r w:rsidR="006A4B45">
      <w:t>80(Add.13)(Add.2)-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5B58"/>
    <w:rsid w:val="00063A1F"/>
    <w:rsid w:val="00080D46"/>
    <w:rsid w:val="00080E2C"/>
    <w:rsid w:val="00081366"/>
    <w:rsid w:val="000863B3"/>
    <w:rsid w:val="000A4339"/>
    <w:rsid w:val="000A4755"/>
    <w:rsid w:val="000A55AE"/>
    <w:rsid w:val="000B2E0C"/>
    <w:rsid w:val="000B3D0C"/>
    <w:rsid w:val="000F2673"/>
    <w:rsid w:val="001167B9"/>
    <w:rsid w:val="001267A0"/>
    <w:rsid w:val="0015203F"/>
    <w:rsid w:val="00160C64"/>
    <w:rsid w:val="0018169B"/>
    <w:rsid w:val="0019352B"/>
    <w:rsid w:val="001960D0"/>
    <w:rsid w:val="001A11F6"/>
    <w:rsid w:val="001A4191"/>
    <w:rsid w:val="001B165B"/>
    <w:rsid w:val="001F17E8"/>
    <w:rsid w:val="00204306"/>
    <w:rsid w:val="00232FD2"/>
    <w:rsid w:val="0026554E"/>
    <w:rsid w:val="00297BE1"/>
    <w:rsid w:val="002A4622"/>
    <w:rsid w:val="002A6F8F"/>
    <w:rsid w:val="002B17E5"/>
    <w:rsid w:val="002B3729"/>
    <w:rsid w:val="002C0EBF"/>
    <w:rsid w:val="002C28A4"/>
    <w:rsid w:val="002D7E0A"/>
    <w:rsid w:val="0031187B"/>
    <w:rsid w:val="00315AFE"/>
    <w:rsid w:val="00341F44"/>
    <w:rsid w:val="003606A6"/>
    <w:rsid w:val="0036650C"/>
    <w:rsid w:val="00393ACD"/>
    <w:rsid w:val="003A39C2"/>
    <w:rsid w:val="003A583E"/>
    <w:rsid w:val="003C6191"/>
    <w:rsid w:val="003E112B"/>
    <w:rsid w:val="003E1D1C"/>
    <w:rsid w:val="003E7B05"/>
    <w:rsid w:val="003F3719"/>
    <w:rsid w:val="003F6F2D"/>
    <w:rsid w:val="00405098"/>
    <w:rsid w:val="00466211"/>
    <w:rsid w:val="00467421"/>
    <w:rsid w:val="00483196"/>
    <w:rsid w:val="004834A9"/>
    <w:rsid w:val="004A775B"/>
    <w:rsid w:val="004D01FC"/>
    <w:rsid w:val="004E28C3"/>
    <w:rsid w:val="004F1F8E"/>
    <w:rsid w:val="00512A32"/>
    <w:rsid w:val="00524394"/>
    <w:rsid w:val="005343DA"/>
    <w:rsid w:val="00560874"/>
    <w:rsid w:val="00576ED7"/>
    <w:rsid w:val="00586CF2"/>
    <w:rsid w:val="005A7C75"/>
    <w:rsid w:val="005C3768"/>
    <w:rsid w:val="005C6C3F"/>
    <w:rsid w:val="005F2D37"/>
    <w:rsid w:val="00613635"/>
    <w:rsid w:val="0062093D"/>
    <w:rsid w:val="00637ECF"/>
    <w:rsid w:val="00647B59"/>
    <w:rsid w:val="00690C7B"/>
    <w:rsid w:val="006A4B45"/>
    <w:rsid w:val="006B0692"/>
    <w:rsid w:val="006C3CA0"/>
    <w:rsid w:val="006D4724"/>
    <w:rsid w:val="006F5FA2"/>
    <w:rsid w:val="006F7391"/>
    <w:rsid w:val="0070076C"/>
    <w:rsid w:val="00701BAE"/>
    <w:rsid w:val="00721F04"/>
    <w:rsid w:val="00726029"/>
    <w:rsid w:val="00730E95"/>
    <w:rsid w:val="007426B9"/>
    <w:rsid w:val="00764342"/>
    <w:rsid w:val="00774362"/>
    <w:rsid w:val="00786598"/>
    <w:rsid w:val="00790C74"/>
    <w:rsid w:val="00797ED1"/>
    <w:rsid w:val="007A04E8"/>
    <w:rsid w:val="007B2C34"/>
    <w:rsid w:val="007C31F5"/>
    <w:rsid w:val="007C4614"/>
    <w:rsid w:val="007E1F9E"/>
    <w:rsid w:val="00830086"/>
    <w:rsid w:val="00851625"/>
    <w:rsid w:val="00863C0A"/>
    <w:rsid w:val="008A3120"/>
    <w:rsid w:val="008A4B97"/>
    <w:rsid w:val="008C5B8E"/>
    <w:rsid w:val="008C5DD5"/>
    <w:rsid w:val="008D41BE"/>
    <w:rsid w:val="008D4D10"/>
    <w:rsid w:val="008D58D3"/>
    <w:rsid w:val="008E3BC9"/>
    <w:rsid w:val="00923064"/>
    <w:rsid w:val="00930FFD"/>
    <w:rsid w:val="00936D25"/>
    <w:rsid w:val="00941EA5"/>
    <w:rsid w:val="00964700"/>
    <w:rsid w:val="00966C16"/>
    <w:rsid w:val="0098732F"/>
    <w:rsid w:val="009A045F"/>
    <w:rsid w:val="009A6A2B"/>
    <w:rsid w:val="009C7E7C"/>
    <w:rsid w:val="009D2982"/>
    <w:rsid w:val="00A00473"/>
    <w:rsid w:val="00A03C9B"/>
    <w:rsid w:val="00A31880"/>
    <w:rsid w:val="00A37105"/>
    <w:rsid w:val="00A606C3"/>
    <w:rsid w:val="00A83B09"/>
    <w:rsid w:val="00A84541"/>
    <w:rsid w:val="00AE36A0"/>
    <w:rsid w:val="00B00294"/>
    <w:rsid w:val="00B361D0"/>
    <w:rsid w:val="00B3749C"/>
    <w:rsid w:val="00B64FD0"/>
    <w:rsid w:val="00B83397"/>
    <w:rsid w:val="00BA5BD0"/>
    <w:rsid w:val="00BB1D82"/>
    <w:rsid w:val="00BB3D1C"/>
    <w:rsid w:val="00BD05ED"/>
    <w:rsid w:val="00BD51C5"/>
    <w:rsid w:val="00BF26E7"/>
    <w:rsid w:val="00C45B94"/>
    <w:rsid w:val="00C53FCA"/>
    <w:rsid w:val="00C76BAF"/>
    <w:rsid w:val="00C814B9"/>
    <w:rsid w:val="00C815FE"/>
    <w:rsid w:val="00CD516F"/>
    <w:rsid w:val="00D06C12"/>
    <w:rsid w:val="00D119A7"/>
    <w:rsid w:val="00D25FBA"/>
    <w:rsid w:val="00D32B28"/>
    <w:rsid w:val="00D42954"/>
    <w:rsid w:val="00D66EAC"/>
    <w:rsid w:val="00D730DF"/>
    <w:rsid w:val="00D772F0"/>
    <w:rsid w:val="00D77BDC"/>
    <w:rsid w:val="00DA1E13"/>
    <w:rsid w:val="00DA5A3B"/>
    <w:rsid w:val="00DC402B"/>
    <w:rsid w:val="00DE0932"/>
    <w:rsid w:val="00E03A27"/>
    <w:rsid w:val="00E049F1"/>
    <w:rsid w:val="00E14343"/>
    <w:rsid w:val="00E15144"/>
    <w:rsid w:val="00E37A25"/>
    <w:rsid w:val="00E537FF"/>
    <w:rsid w:val="00E6539B"/>
    <w:rsid w:val="00E70A31"/>
    <w:rsid w:val="00E723A7"/>
    <w:rsid w:val="00E800D4"/>
    <w:rsid w:val="00E92B43"/>
    <w:rsid w:val="00EA3F38"/>
    <w:rsid w:val="00EA5AB6"/>
    <w:rsid w:val="00EC7615"/>
    <w:rsid w:val="00ED16AA"/>
    <w:rsid w:val="00ED6B8D"/>
    <w:rsid w:val="00EE3D7B"/>
    <w:rsid w:val="00EF662E"/>
    <w:rsid w:val="00F10064"/>
    <w:rsid w:val="00F148F1"/>
    <w:rsid w:val="00F62045"/>
    <w:rsid w:val="00F711A7"/>
    <w:rsid w:val="00FA3BBF"/>
    <w:rsid w:val="00FC41F8"/>
    <w:rsid w:val="00FD01E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FB243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styleId="BalloonText">
    <w:name w:val="Balloon Text"/>
    <w:basedOn w:val="Normal"/>
    <w:link w:val="BalloonTextChar"/>
    <w:semiHidden/>
    <w:unhideWhenUsed/>
    <w:rsid w:val="00080D4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0D4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5ECD10E-B5EB-4D63-AD1E-FFD2B7A62A74}">
  <ds:schemaRefs>
    <ds:schemaRef ds:uri="http://schemas.microsoft.com/sharepoint/v3/contenttype/forms"/>
  </ds:schemaRefs>
</ds:datastoreItem>
</file>

<file path=customXml/itemProps2.xml><?xml version="1.0" encoding="utf-8"?>
<ds:datastoreItem xmlns:ds="http://schemas.openxmlformats.org/officeDocument/2006/customXml" ds:itemID="{B75ED397-7129-4A9E-A97C-3AB4BA35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F162E1B-A55A-4844-9F75-A2150E3B7222}">
  <ds:schemaRefs>
    <ds:schemaRef ds:uri="http://purl.org/dc/dcmitype/"/>
    <ds:schemaRef ds:uri="32a1a8c5-2265-4ebc-b7a0-2071e2c5c9bb"/>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1004</Words>
  <Characters>5427</Characters>
  <Application>Microsoft Office Word</Application>
  <DocSecurity>0</DocSecurity>
  <Lines>117</Lines>
  <Paragraphs>56</Paragraphs>
  <ScaleCrop>false</ScaleCrop>
  <HeadingPairs>
    <vt:vector size="2" baseType="variant">
      <vt:variant>
        <vt:lpstr>Title</vt:lpstr>
      </vt:variant>
      <vt:variant>
        <vt:i4>1</vt:i4>
      </vt:variant>
    </vt:vector>
  </HeadingPairs>
  <TitlesOfParts>
    <vt:vector size="1" baseType="lpstr">
      <vt:lpstr>R16-WRC19-C-0080!A13-A2!MSW-F</vt:lpstr>
    </vt:vector>
  </TitlesOfParts>
  <Manager>Secrétariat général - Pool</Manager>
  <Company>Union internationale des télécommunications (UIT)</Company>
  <LinksUpToDate>false</LinksUpToDate>
  <CharactersWithSpaces>6375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R16-WRC19-C-0080!A13-A2!MSW-F</dc:title>
  <dc:subject>Conférence mondiale des radiocommunications - 2019</dc:subject>
  <dc:creator>Documents Proposals Manager (DPM)</dc:creator>
  <cp:keywords>DPM_v2019.10.14.1_prod</cp:keywords>
  <dc:description/>
  <cp:lastModifiedBy>French</cp:lastModifiedBy>
  <cp:revision>13</cp:revision>
  <cp:lastPrinted>2019-10-24T05:29:00Z</cp:lastPrinted>
  <dcterms:created xsi:type="dcterms:W3CDTF">2019-10-16T09:14:00Z</dcterms:created>
  <dcterms:modified xsi:type="dcterms:W3CDTF">2019-10-24T05:30:00Z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