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44A328A" w14:textId="77777777" w:rsidTr="00F55E63">
        <w:trPr>
          <w:cantSplit/>
          <w:trHeight w:val="20"/>
        </w:trPr>
        <w:tc>
          <w:tcPr>
            <w:tcW w:w="6619" w:type="dxa"/>
          </w:tcPr>
          <w:p w14:paraId="3CA6D898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7D011DD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5676CA81" wp14:editId="2643937B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05D0986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D819726" w14:textId="77777777" w:rsidR="00280E04" w:rsidRPr="00960962" w:rsidRDefault="00280E04" w:rsidP="00A15405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F905D6E" w14:textId="77777777" w:rsidR="00280E04" w:rsidRPr="00A9645C" w:rsidRDefault="00280E04" w:rsidP="00A15405">
            <w:pPr>
              <w:spacing w:line="240" w:lineRule="exact"/>
              <w:rPr>
                <w:lang w:bidi="ar-EG"/>
              </w:rPr>
            </w:pPr>
          </w:p>
        </w:tc>
      </w:tr>
      <w:tr w:rsidR="00280E04" w14:paraId="5E5D0417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C4314DF" w14:textId="77777777" w:rsidR="00280E04" w:rsidRPr="00BD6EF3" w:rsidRDefault="00280E04" w:rsidP="00A15405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4849BE2" w14:textId="77777777" w:rsidR="00280E04" w:rsidRPr="00BD6EF3" w:rsidRDefault="00280E04" w:rsidP="00A15405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A809E8" w:rsidRPr="00F545E4" w14:paraId="62B9BE9A" w14:textId="77777777" w:rsidTr="00F55E63">
        <w:trPr>
          <w:cantSplit/>
        </w:trPr>
        <w:tc>
          <w:tcPr>
            <w:tcW w:w="6619" w:type="dxa"/>
          </w:tcPr>
          <w:p w14:paraId="3172E223" w14:textId="77777777" w:rsidR="00A809E8" w:rsidRPr="00D45D0E" w:rsidRDefault="00F55E63" w:rsidP="00A15405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" w:hAnsi="Verdana"/>
                <w:sz w:val="19"/>
                <w:szCs w:val="30"/>
                <w:rtl/>
              </w:rPr>
            </w:pPr>
            <w:r w:rsidRPr="00D45D0E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F5A3541" w14:textId="656320D3" w:rsidR="00D45D0E" w:rsidRPr="00D45D0E" w:rsidRDefault="00D45D0E" w:rsidP="00A15405">
            <w:pPr>
              <w:pStyle w:val="Adress"/>
              <w:framePr w:hSpace="0" w:wrap="auto" w:xAlign="left" w:yAlign="inline"/>
              <w:spacing w:before="0" w:after="20"/>
              <w:rPr>
                <w:rFonts w:ascii="Verdana" w:hAnsi="Verdana"/>
              </w:rPr>
            </w:pPr>
            <w:r>
              <w:rPr>
                <w:rFonts w:ascii="Verdana" w:eastAsia="SimSun" w:hAnsi="Verdana" w:hint="cs"/>
                <w:rtl/>
              </w:rPr>
              <w:t xml:space="preserve">الإضافة </w:t>
            </w:r>
            <w:r>
              <w:rPr>
                <w:rFonts w:ascii="Verdana" w:eastAsia="SimSun" w:hAnsi="Verdana"/>
              </w:rPr>
              <w:t>2</w:t>
            </w:r>
            <w:r>
              <w:rPr>
                <w:rFonts w:ascii="Verdana" w:eastAsia="SimSun" w:hAnsi="Verdana"/>
                <w:rtl/>
              </w:rPr>
              <w:br/>
            </w:r>
            <w:r>
              <w:rPr>
                <w:rFonts w:ascii="Verdana" w:eastAsia="SimSun" w:hAnsi="Verdana" w:hint="cs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80(Add.</w:t>
            </w:r>
            <w:proofErr w:type="gramStart"/>
            <w:r>
              <w:rPr>
                <w:rFonts w:ascii="Verdana" w:eastAsia="SimSun" w:hAnsi="Verdana"/>
              </w:rPr>
              <w:t>13)-</w:t>
            </w:r>
            <w:proofErr w:type="gramEnd"/>
            <w:r>
              <w:rPr>
                <w:rFonts w:ascii="Verdana" w:eastAsia="SimSun" w:hAnsi="Verdana"/>
              </w:rPr>
              <w:t>A</w:t>
            </w:r>
          </w:p>
        </w:tc>
      </w:tr>
      <w:tr w:rsidR="00A809E8" w:rsidRPr="00F545E4" w14:paraId="5AACFFE9" w14:textId="77777777" w:rsidTr="00F55E63">
        <w:trPr>
          <w:cantSplit/>
        </w:trPr>
        <w:tc>
          <w:tcPr>
            <w:tcW w:w="6619" w:type="dxa"/>
          </w:tcPr>
          <w:p w14:paraId="0AD1F86F" w14:textId="77777777" w:rsidR="00A809E8" w:rsidRPr="00D45D0E" w:rsidRDefault="00A809E8" w:rsidP="00A15405">
            <w:pPr>
              <w:pStyle w:val="Adress"/>
              <w:framePr w:hSpace="0" w:wrap="auto" w:xAlign="left" w:yAlign="inline"/>
              <w:spacing w:before="0" w:after="2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34346FAD" w14:textId="77777777" w:rsidR="00A809E8" w:rsidRPr="00D45D0E" w:rsidRDefault="00F55E63" w:rsidP="00A15405">
            <w:pPr>
              <w:pStyle w:val="Adress"/>
              <w:framePr w:hSpace="0" w:wrap="auto" w:xAlign="left" w:yAlign="inline"/>
              <w:spacing w:before="0" w:after="20"/>
              <w:rPr>
                <w:rFonts w:ascii="Verdana" w:hAnsi="Verdana"/>
                <w:rtl/>
              </w:rPr>
            </w:pPr>
            <w:r w:rsidRPr="00D45D0E">
              <w:rPr>
                <w:rFonts w:ascii="Verdana" w:eastAsia="SimSun" w:hAnsi="Verdana"/>
              </w:rPr>
              <w:t>7</w:t>
            </w:r>
            <w:r w:rsidRPr="00D45D0E">
              <w:rPr>
                <w:rFonts w:ascii="Verdana" w:eastAsia="SimSun" w:hAnsi="Verdana"/>
                <w:rtl/>
              </w:rPr>
              <w:t xml:space="preserve"> أكتوبر </w:t>
            </w:r>
            <w:r w:rsidRPr="00D45D0E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55247649" w14:textId="77777777" w:rsidTr="00F55E63">
        <w:trPr>
          <w:cantSplit/>
        </w:trPr>
        <w:tc>
          <w:tcPr>
            <w:tcW w:w="6619" w:type="dxa"/>
          </w:tcPr>
          <w:p w14:paraId="39E27319" w14:textId="77777777" w:rsidR="00A809E8" w:rsidRPr="00D45D0E" w:rsidRDefault="00A809E8" w:rsidP="00A15405">
            <w:pPr>
              <w:pStyle w:val="Adress"/>
              <w:framePr w:hSpace="0" w:wrap="auto" w:xAlign="left" w:yAlign="inline"/>
              <w:spacing w:before="0" w:after="2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3F665DAC" w14:textId="77777777" w:rsidR="00A809E8" w:rsidRPr="00D45D0E" w:rsidRDefault="00F55E63" w:rsidP="00A15405">
            <w:pPr>
              <w:pStyle w:val="Adress"/>
              <w:framePr w:hSpace="0" w:wrap="auto" w:xAlign="left" w:yAlign="inline"/>
              <w:spacing w:before="0" w:after="20"/>
              <w:rPr>
                <w:rFonts w:ascii="Verdana" w:eastAsia="SimSun" w:hAnsi="Verdana"/>
              </w:rPr>
            </w:pPr>
            <w:r w:rsidRPr="00D45D0E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4AB01520" w14:textId="77777777" w:rsidTr="00F55E63">
        <w:trPr>
          <w:cantSplit/>
        </w:trPr>
        <w:tc>
          <w:tcPr>
            <w:tcW w:w="9672" w:type="dxa"/>
            <w:gridSpan w:val="2"/>
          </w:tcPr>
          <w:p w14:paraId="72DAB073" w14:textId="77777777" w:rsidR="00764079" w:rsidRDefault="00764079" w:rsidP="00A15405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6005FB09" w14:textId="77777777" w:rsidTr="00F55E63">
        <w:trPr>
          <w:cantSplit/>
        </w:trPr>
        <w:tc>
          <w:tcPr>
            <w:tcW w:w="9672" w:type="dxa"/>
            <w:gridSpan w:val="2"/>
          </w:tcPr>
          <w:p w14:paraId="60275573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اليابان</w:t>
            </w:r>
          </w:p>
        </w:tc>
      </w:tr>
      <w:tr w:rsidR="00764079" w14:paraId="21B23C7B" w14:textId="77777777" w:rsidTr="00F55E63">
        <w:trPr>
          <w:cantSplit/>
        </w:trPr>
        <w:tc>
          <w:tcPr>
            <w:tcW w:w="9672" w:type="dxa"/>
            <w:gridSpan w:val="2"/>
          </w:tcPr>
          <w:p w14:paraId="607C7570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653DDA75" w14:textId="77777777" w:rsidTr="00F55E63">
        <w:trPr>
          <w:cantSplit/>
        </w:trPr>
        <w:tc>
          <w:tcPr>
            <w:tcW w:w="9672" w:type="dxa"/>
            <w:gridSpan w:val="2"/>
          </w:tcPr>
          <w:p w14:paraId="4DC6F8A6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4AA6C6CA" w14:textId="77777777" w:rsidTr="00F55E63">
        <w:trPr>
          <w:cantSplit/>
        </w:trPr>
        <w:tc>
          <w:tcPr>
            <w:tcW w:w="9672" w:type="dxa"/>
            <w:gridSpan w:val="2"/>
          </w:tcPr>
          <w:p w14:paraId="10F2B8C3" w14:textId="298A2898" w:rsidR="00764079" w:rsidRPr="0012545F" w:rsidRDefault="00DB4CC9" w:rsidP="00A15405">
            <w:pPr>
              <w:pStyle w:val="Agendaitem"/>
              <w:spacing w:after="0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984201">
              <w:rPr>
                <w:rFonts w:hint="cs"/>
                <w:rtl/>
                <w:lang w:val="en-US"/>
              </w:rPr>
              <w:t xml:space="preserve"> </w:t>
            </w:r>
            <w:r w:rsidR="00984201">
              <w:rPr>
                <w:lang w:val="en-US"/>
              </w:rPr>
              <w:t>13.1</w:t>
            </w:r>
          </w:p>
        </w:tc>
      </w:tr>
    </w:tbl>
    <w:p w14:paraId="7B2504D4" w14:textId="77777777" w:rsidR="001D597A" w:rsidRPr="008213CF" w:rsidRDefault="00BE3D34" w:rsidP="0052063A">
      <w:pPr>
        <w:spacing w:before="360"/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563723DD" w14:textId="45294846" w:rsidR="002F3E46" w:rsidRDefault="00984201" w:rsidP="0098420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106F1BE0" w14:textId="11DDDD57" w:rsidR="00984201" w:rsidRDefault="003F7580" w:rsidP="003F7580">
      <w:pPr>
        <w:rPr>
          <w:rtl/>
          <w:lang w:bidi="ar-EG"/>
        </w:rPr>
      </w:pPr>
      <w:r>
        <w:rPr>
          <w:rFonts w:hint="cs"/>
          <w:rtl/>
          <w:lang w:val="fr-CH" w:bidi="ar-SY"/>
        </w:rPr>
        <w:t>تقدم هذه الوثيقة مقترحات اليابان فيما يتعلق</w:t>
      </w:r>
      <w:r w:rsidR="0098420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="00984201">
        <w:rPr>
          <w:rFonts w:hint="cs"/>
          <w:rtl/>
          <w:lang w:bidi="ar-EG"/>
        </w:rPr>
        <w:t xml:space="preserve">نطاقات التردد </w:t>
      </w:r>
      <w:r w:rsidR="00984201">
        <w:rPr>
          <w:lang w:bidi="ar-EG"/>
        </w:rPr>
        <w:t>GHz 40</w:t>
      </w:r>
      <w:r w:rsidR="00A15405">
        <w:rPr>
          <w:lang w:bidi="ar-EG"/>
        </w:rPr>
        <w:t>,</w:t>
      </w:r>
      <w:r w:rsidR="00984201">
        <w:rPr>
          <w:lang w:bidi="ar-EG"/>
        </w:rPr>
        <w:t>5-37</w:t>
      </w:r>
      <w:r w:rsidR="00984201">
        <w:rPr>
          <w:rFonts w:hint="cs"/>
          <w:rtl/>
          <w:lang w:bidi="ar-EG"/>
        </w:rPr>
        <w:t xml:space="preserve"> و</w:t>
      </w:r>
      <w:r w:rsidR="00984201">
        <w:rPr>
          <w:lang w:bidi="ar-EG"/>
        </w:rPr>
        <w:t>GHz 42</w:t>
      </w:r>
      <w:r w:rsidR="00A15405">
        <w:rPr>
          <w:lang w:bidi="ar-EG"/>
        </w:rPr>
        <w:t>,</w:t>
      </w:r>
      <w:r w:rsidR="00984201">
        <w:rPr>
          <w:lang w:bidi="ar-EG"/>
        </w:rPr>
        <w:t>5-40</w:t>
      </w:r>
      <w:r w:rsidR="00A15405">
        <w:rPr>
          <w:lang w:bidi="ar-EG"/>
        </w:rPr>
        <w:t>,</w:t>
      </w:r>
      <w:r w:rsidR="00984201">
        <w:rPr>
          <w:lang w:bidi="ar-EG"/>
        </w:rPr>
        <w:t>5</w:t>
      </w:r>
      <w:r w:rsidR="00984201">
        <w:rPr>
          <w:rFonts w:hint="cs"/>
          <w:rtl/>
          <w:lang w:bidi="ar-EG"/>
        </w:rPr>
        <w:t xml:space="preserve"> و</w:t>
      </w:r>
      <w:r w:rsidR="00984201">
        <w:rPr>
          <w:lang w:bidi="ar-EG"/>
        </w:rPr>
        <w:t>GHz 43</w:t>
      </w:r>
      <w:r w:rsidR="00A15405">
        <w:rPr>
          <w:lang w:bidi="ar-EG"/>
        </w:rPr>
        <w:t>,</w:t>
      </w:r>
      <w:r w:rsidR="00984201">
        <w:rPr>
          <w:lang w:bidi="ar-EG"/>
        </w:rPr>
        <w:t>5-42</w:t>
      </w:r>
      <w:r w:rsidR="00A15405">
        <w:rPr>
          <w:lang w:bidi="ar-EG"/>
        </w:rPr>
        <w:t>,</w:t>
      </w:r>
      <w:r w:rsidR="00984201">
        <w:rPr>
          <w:lang w:bidi="ar-EG"/>
        </w:rPr>
        <w:t>5</w:t>
      </w:r>
      <w:r w:rsidR="0098420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إطار البند </w:t>
      </w:r>
      <w:r>
        <w:rPr>
          <w:lang w:bidi="ar-EG"/>
        </w:rPr>
        <w:t>13.1</w:t>
      </w:r>
      <w:r>
        <w:rPr>
          <w:rFonts w:hint="cs"/>
          <w:rtl/>
          <w:lang w:val="fr-CH" w:bidi="ar-SY"/>
        </w:rPr>
        <w:t xml:space="preserve"> من جدول أعمال المؤتمر العالمي للاتصالات الراديوية لعام </w:t>
      </w:r>
      <w:r>
        <w:rPr>
          <w:lang w:bidi="ar-SY"/>
        </w:rPr>
        <w:t>2019</w:t>
      </w:r>
      <w:r>
        <w:rPr>
          <w:rFonts w:hint="cs"/>
          <w:rtl/>
          <w:lang w:val="fr-CH" w:bidi="ar-SY"/>
        </w:rPr>
        <w:t>.</w:t>
      </w:r>
    </w:p>
    <w:p w14:paraId="6AEC3320" w14:textId="7011B457" w:rsidR="00984201" w:rsidRDefault="00984201" w:rsidP="00984201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1EDB17D6" w14:textId="4C8043CE" w:rsidR="00984201" w:rsidRPr="00B62C0F" w:rsidRDefault="003F7580" w:rsidP="0052063A">
      <w:pPr>
        <w:rPr>
          <w:rtl/>
          <w:lang w:val="fr-CH" w:bidi="ar-SY"/>
        </w:rPr>
      </w:pPr>
      <w:r>
        <w:rPr>
          <w:rFonts w:hint="cs"/>
          <w:rtl/>
          <w:lang w:bidi="ar-EG"/>
        </w:rPr>
        <w:t xml:space="preserve">تؤيد اليابان المقترحات المشتركة لجماعة آسيا والمحيط الهادئ للاتصالات </w:t>
      </w:r>
      <w:r>
        <w:rPr>
          <w:lang w:bidi="ar-EG"/>
        </w:rPr>
        <w:t>(APT)</w:t>
      </w:r>
      <w:r>
        <w:rPr>
          <w:rFonts w:hint="cs"/>
          <w:rtl/>
          <w:lang w:val="fr-CH" w:bidi="ar-SY"/>
        </w:rPr>
        <w:t xml:space="preserve"> فيما يتعلق بنطاقات التردد </w:t>
      </w:r>
      <w:r>
        <w:rPr>
          <w:lang w:bidi="ar-EG"/>
        </w:rPr>
        <w:t>GHz 40</w:t>
      </w:r>
      <w:r w:rsidR="0052063A">
        <w:rPr>
          <w:lang w:bidi="ar-EG"/>
        </w:rPr>
        <w:t>,</w:t>
      </w:r>
      <w:r>
        <w:rPr>
          <w:lang w:bidi="ar-EG"/>
        </w:rPr>
        <w:t>5</w:t>
      </w:r>
      <w:r w:rsidR="0052063A">
        <w:rPr>
          <w:lang w:bidi="ar-EG"/>
        </w:rPr>
        <w:noBreakHyphen/>
      </w:r>
      <w:r>
        <w:rPr>
          <w:lang w:bidi="ar-EG"/>
        </w:rPr>
        <w:t>37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GHz 42</w:t>
      </w:r>
      <w:r w:rsidR="0052063A">
        <w:rPr>
          <w:lang w:bidi="ar-EG"/>
        </w:rPr>
        <w:t>,</w:t>
      </w:r>
      <w:r>
        <w:rPr>
          <w:lang w:bidi="ar-EG"/>
        </w:rPr>
        <w:t>5</w:t>
      </w:r>
      <w:r w:rsidR="0052063A">
        <w:rPr>
          <w:lang w:bidi="ar-EG"/>
        </w:rPr>
        <w:noBreakHyphen/>
      </w:r>
      <w:r>
        <w:rPr>
          <w:lang w:bidi="ar-EG"/>
        </w:rPr>
        <w:t>40</w:t>
      </w:r>
      <w:r w:rsidR="0052063A">
        <w:rPr>
          <w:lang w:bidi="ar-EG"/>
        </w:rPr>
        <w:t>,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GHz 43</w:t>
      </w:r>
      <w:r w:rsidR="0052063A">
        <w:rPr>
          <w:lang w:bidi="ar-EG"/>
        </w:rPr>
        <w:t>,</w:t>
      </w:r>
      <w:r>
        <w:rPr>
          <w:lang w:bidi="ar-EG"/>
        </w:rPr>
        <w:t>5</w:t>
      </w:r>
      <w:r w:rsidR="0052063A">
        <w:rPr>
          <w:lang w:bidi="ar-EG"/>
        </w:rPr>
        <w:noBreakHyphen/>
      </w:r>
      <w:r>
        <w:rPr>
          <w:lang w:bidi="ar-EG"/>
        </w:rPr>
        <w:t>42</w:t>
      </w:r>
      <w:r w:rsidR="0052063A">
        <w:rPr>
          <w:lang w:bidi="ar-EG"/>
        </w:rPr>
        <w:t>,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في إطار البند </w:t>
      </w:r>
      <w:r>
        <w:rPr>
          <w:lang w:bidi="ar-EG"/>
        </w:rPr>
        <w:t>13.1</w:t>
      </w:r>
      <w:r>
        <w:rPr>
          <w:rFonts w:hint="cs"/>
          <w:rtl/>
          <w:lang w:val="fr-CH" w:bidi="ar-SY"/>
        </w:rPr>
        <w:t xml:space="preserve"> من جدول أعمال المؤتمر العالمي للاتصالات الراديوية لعام </w:t>
      </w:r>
      <w:r>
        <w:rPr>
          <w:lang w:bidi="ar-SY"/>
        </w:rPr>
        <w:t>2019</w:t>
      </w:r>
      <w:r>
        <w:rPr>
          <w:rFonts w:hint="cs"/>
          <w:rtl/>
          <w:lang w:bidi="ar-SY"/>
        </w:rPr>
        <w:t xml:space="preserve">، أي </w:t>
      </w:r>
      <w:r w:rsidR="0052063A">
        <w:rPr>
          <w:rFonts w:hint="cs"/>
          <w:rtl/>
        </w:rPr>
        <w:t xml:space="preserve">تحديد </w:t>
      </w:r>
      <w:r>
        <w:rPr>
          <w:rFonts w:hint="cs"/>
          <w:rtl/>
          <w:lang w:val="fr-CH" w:bidi="ar-SY"/>
        </w:rPr>
        <w:t xml:space="preserve">نطاق التردد </w:t>
      </w:r>
      <w:r>
        <w:rPr>
          <w:lang w:bidi="ar-SY"/>
        </w:rPr>
        <w:t>GHz</w:t>
      </w:r>
      <w:r w:rsidR="0052063A">
        <w:rPr>
          <w:lang w:bidi="ar-SY"/>
        </w:rPr>
        <w:t> </w:t>
      </w:r>
      <w:r>
        <w:rPr>
          <w:lang w:bidi="ar-SY"/>
        </w:rPr>
        <w:t>43</w:t>
      </w:r>
      <w:r w:rsidR="0052063A">
        <w:rPr>
          <w:lang w:bidi="ar-SY"/>
        </w:rPr>
        <w:t>,</w:t>
      </w:r>
      <w:r>
        <w:rPr>
          <w:lang w:bidi="ar-SY"/>
        </w:rPr>
        <w:t>5</w:t>
      </w:r>
      <w:r w:rsidR="0052063A">
        <w:rPr>
          <w:lang w:bidi="ar-SY"/>
        </w:rPr>
        <w:noBreakHyphen/>
      </w:r>
      <w:r>
        <w:rPr>
          <w:lang w:bidi="ar-SY"/>
        </w:rPr>
        <w:t>37</w:t>
      </w:r>
      <w:r>
        <w:rPr>
          <w:rFonts w:hint="cs"/>
          <w:rtl/>
          <w:lang w:val="fr-CH" w:bidi="ar-SY"/>
        </w:rPr>
        <w:t>، أو أجزاء منه</w:t>
      </w:r>
      <w:r w:rsidR="00A15405">
        <w:rPr>
          <w:rFonts w:hint="cs"/>
          <w:rtl/>
          <w:lang w:val="fr-CH"/>
        </w:rPr>
        <w:t>،</w:t>
      </w:r>
      <w:r>
        <w:rPr>
          <w:rFonts w:hint="cs"/>
          <w:rtl/>
          <w:lang w:val="fr-CH" w:bidi="ar-SY"/>
        </w:rPr>
        <w:t xml:space="preserve"> للاتصالات المتنقلة الدولية</w:t>
      </w:r>
      <w:r w:rsidR="00223109">
        <w:rPr>
          <w:rFonts w:hint="cs"/>
          <w:rtl/>
          <w:lang w:val="fr-CH" w:bidi="ar-SY"/>
        </w:rPr>
        <w:t xml:space="preserve"> </w:t>
      </w:r>
      <w:r w:rsidR="00223109">
        <w:rPr>
          <w:lang w:bidi="ar-SY"/>
        </w:rPr>
        <w:t>(IMT)</w:t>
      </w:r>
      <w:r>
        <w:rPr>
          <w:rFonts w:hint="cs"/>
          <w:rtl/>
          <w:lang w:val="fr-CH" w:bidi="ar-SY"/>
        </w:rPr>
        <w:t xml:space="preserve"> في جميع أنحاء العالم من خلال الأساليب</w:t>
      </w:r>
      <w:r w:rsidR="00F93D4A">
        <w:rPr>
          <w:rFonts w:hint="eastAsia"/>
          <w:rtl/>
          <w:lang w:val="fr-CH" w:bidi="ar-SY"/>
        </w:rPr>
        <w:t> </w:t>
      </w:r>
      <w:r w:rsidR="00110356">
        <w:rPr>
          <w:lang w:bidi="ar-SY"/>
        </w:rPr>
        <w:t>C2</w:t>
      </w:r>
      <w:r>
        <w:rPr>
          <w:rFonts w:hint="cs"/>
          <w:rtl/>
          <w:lang w:val="fr-CH" w:bidi="ar-SY"/>
        </w:rPr>
        <w:t xml:space="preserve"> و</w:t>
      </w:r>
      <w:r w:rsidR="00110356">
        <w:rPr>
          <w:lang w:bidi="ar-SY"/>
        </w:rPr>
        <w:t>D2</w:t>
      </w:r>
      <w:r>
        <w:rPr>
          <w:rFonts w:hint="cs"/>
          <w:rtl/>
          <w:lang w:val="fr-CH" w:bidi="ar-SY"/>
        </w:rPr>
        <w:t xml:space="preserve"> و</w:t>
      </w:r>
      <w:r w:rsidR="00110356">
        <w:rPr>
          <w:lang w:bidi="ar-SY"/>
        </w:rPr>
        <w:t>E2</w:t>
      </w:r>
      <w:r>
        <w:rPr>
          <w:rFonts w:hint="cs"/>
          <w:rtl/>
          <w:lang w:val="fr-CH" w:bidi="ar-SY"/>
        </w:rPr>
        <w:t xml:space="preserve"> إلى جانب البديل </w:t>
      </w:r>
      <w:r>
        <w:rPr>
          <w:lang w:bidi="ar-SY"/>
        </w:rPr>
        <w:t>2</w:t>
      </w:r>
      <w:r>
        <w:rPr>
          <w:rFonts w:hint="cs"/>
          <w:rtl/>
          <w:lang w:val="fr-CH" w:bidi="ar-SY"/>
        </w:rPr>
        <w:t xml:space="preserve"> من تقرير الاجتماع التحضيري للمؤتمر إضافة إلى </w:t>
      </w:r>
      <w:r w:rsidR="0052063A">
        <w:rPr>
          <w:rFonts w:hint="cs"/>
          <w:rtl/>
          <w:lang w:val="fr-CH"/>
        </w:rPr>
        <w:t>قرار</w:t>
      </w:r>
      <w:r>
        <w:rPr>
          <w:rFonts w:hint="cs"/>
          <w:rtl/>
          <w:lang w:val="fr-CH" w:bidi="ar-SY"/>
        </w:rPr>
        <w:t xml:space="preserve"> جديد للمؤتمر العالمي للاتصالات</w:t>
      </w:r>
      <w:r w:rsidR="00F93D4A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الراديوية.</w:t>
      </w:r>
    </w:p>
    <w:p w14:paraId="44C1A88F" w14:textId="0B28745D" w:rsidR="00984201" w:rsidRDefault="00B62C0F" w:rsidP="008614B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ولاستكمال هذه المقترحات المشتركة لجماعة آسيا والمحيط الهادئ للاتصالات </w:t>
      </w:r>
      <w:r>
        <w:rPr>
          <w:lang w:bidi="ar-EG"/>
        </w:rPr>
        <w:t>(APT)</w:t>
      </w:r>
      <w:r>
        <w:rPr>
          <w:rFonts w:hint="cs"/>
          <w:rtl/>
          <w:lang w:bidi="ar-EG"/>
        </w:rPr>
        <w:t>، تقترح اليابان الأحكام الإضافية في القرارات الجديدة للمؤتمر العالمي للاتصالات الراديوية على النحو الوارد أدناه.</w:t>
      </w:r>
    </w:p>
    <w:p w14:paraId="582A01FB" w14:textId="77777777" w:rsidR="00984201" w:rsidRDefault="00984201" w:rsidP="008614B8">
      <w:pPr>
        <w:rPr>
          <w:lang w:bidi="ar-EG"/>
        </w:rPr>
      </w:pPr>
    </w:p>
    <w:p w14:paraId="1C67B007" w14:textId="77777777" w:rsidR="0012545F" w:rsidRDefault="0012545F" w:rsidP="00984201">
      <w:pPr>
        <w:rPr>
          <w:rtl/>
        </w:rPr>
      </w:pPr>
      <w:r>
        <w:rPr>
          <w:rtl/>
        </w:rPr>
        <w:br w:type="page"/>
      </w:r>
    </w:p>
    <w:p w14:paraId="70D62439" w14:textId="77777777" w:rsidR="00666E7C" w:rsidRDefault="00BE3D34">
      <w:pPr>
        <w:pStyle w:val="Proposal"/>
      </w:pPr>
      <w:r>
        <w:lastRenderedPageBreak/>
        <w:t>ADD</w:t>
      </w:r>
      <w:r>
        <w:tab/>
        <w:t>J/80A13A2/1</w:t>
      </w:r>
      <w:r>
        <w:rPr>
          <w:vanish/>
          <w:color w:val="7F7F7F" w:themeColor="text1" w:themeTint="80"/>
          <w:vertAlign w:val="superscript"/>
        </w:rPr>
        <w:t>#49927</w:t>
      </w:r>
    </w:p>
    <w:p w14:paraId="6238861B" w14:textId="2620CEA1" w:rsidR="001D220A" w:rsidRPr="00C86D28" w:rsidRDefault="00BE3D34" w:rsidP="001D220A">
      <w:pPr>
        <w:pStyle w:val="ResNo"/>
        <w:rPr>
          <w:rtl/>
        </w:rPr>
      </w:pPr>
      <w:r w:rsidRPr="00C86D28">
        <w:rPr>
          <w:rFonts w:hint="cs"/>
          <w:rtl/>
        </w:rPr>
        <w:t xml:space="preserve">مشروع القرار الجديد </w:t>
      </w:r>
      <w:r w:rsidR="00984201" w:rsidRPr="009C1D32">
        <w:rPr>
          <w:rFonts w:eastAsia="MS Mincho"/>
        </w:rPr>
        <w:t>[J-B113-IMT 40/50 GHZ] (WRC</w:t>
      </w:r>
      <w:r w:rsidR="00984201" w:rsidRPr="009C1D32">
        <w:rPr>
          <w:rFonts w:eastAsia="MS Mincho"/>
        </w:rPr>
        <w:noBreakHyphen/>
        <w:t>19)</w:t>
      </w:r>
    </w:p>
    <w:p w14:paraId="2D7DAD20" w14:textId="6BA78983" w:rsidR="001D220A" w:rsidRPr="00984201" w:rsidRDefault="00BE3D34" w:rsidP="00A15405">
      <w:pPr>
        <w:pStyle w:val="Restitle"/>
        <w:spacing w:before="240"/>
        <w:rPr>
          <w:rtl/>
        </w:rPr>
      </w:pPr>
      <w:r w:rsidRPr="00C86D28">
        <w:rPr>
          <w:rFonts w:hint="cs"/>
          <w:rtl/>
          <w:lang w:bidi="ar-EG"/>
        </w:rPr>
        <w:t>ا</w:t>
      </w:r>
      <w:r w:rsidRPr="00C86D28">
        <w:rPr>
          <w:rFonts w:hint="cs"/>
          <w:rtl/>
        </w:rPr>
        <w:t xml:space="preserve">لاتصالات </w:t>
      </w:r>
      <w:r w:rsidRPr="00011005">
        <w:rPr>
          <w:rFonts w:hint="cs"/>
          <w:rtl/>
        </w:rPr>
        <w:t>المتنقلة الدولية في نطاق التردد</w:t>
      </w:r>
      <w:r w:rsidR="00984201" w:rsidRPr="00011005">
        <w:rPr>
          <w:rFonts w:hint="cs"/>
          <w:rtl/>
        </w:rPr>
        <w:t xml:space="preserve"> </w:t>
      </w:r>
      <w:r w:rsidRPr="00011005">
        <w:t>GHz 43</w:t>
      </w:r>
      <w:r w:rsidR="003E4A9F">
        <w:t>,</w:t>
      </w:r>
      <w:r w:rsidRPr="00C86D28">
        <w:t>5</w:t>
      </w:r>
      <w:r w:rsidRPr="00C86D28">
        <w:noBreakHyphen/>
        <w:t>37</w:t>
      </w:r>
    </w:p>
    <w:p w14:paraId="49676D01" w14:textId="77777777" w:rsidR="001D220A" w:rsidRPr="00C86D28" w:rsidRDefault="00BE3D34" w:rsidP="001D220A">
      <w:pPr>
        <w:pStyle w:val="Normalaftertitle"/>
        <w:keepNext/>
        <w:rPr>
          <w:rtl/>
        </w:rPr>
      </w:pPr>
      <w:r w:rsidRPr="00C86D28">
        <w:rPr>
          <w:rFonts w:hint="cs"/>
          <w:rtl/>
        </w:rPr>
        <w:t xml:space="preserve">إن المؤتمر العالمي للاتصالات الراديوية (شرم الشيخ، </w:t>
      </w:r>
      <w:r w:rsidRPr="00C86D28">
        <w:t>2019</w:t>
      </w:r>
      <w:r w:rsidRPr="00C86D28">
        <w:rPr>
          <w:rFonts w:hint="cs"/>
          <w:rtl/>
        </w:rPr>
        <w:t>)،</w:t>
      </w:r>
    </w:p>
    <w:p w14:paraId="1FCDAB0A" w14:textId="77777777" w:rsidR="001D220A" w:rsidRPr="00C86D28" w:rsidRDefault="00BE3D34" w:rsidP="001D220A">
      <w:pPr>
        <w:pStyle w:val="Call"/>
        <w:rPr>
          <w:rtl/>
        </w:rPr>
      </w:pPr>
      <w:r w:rsidRPr="00C86D28">
        <w:rPr>
          <w:rFonts w:hint="cs"/>
          <w:rtl/>
        </w:rPr>
        <w:t>إذ يضع في اعتباره</w:t>
      </w:r>
    </w:p>
    <w:p w14:paraId="541B98D8" w14:textId="3B57FFE8" w:rsidR="00984201" w:rsidRDefault="00984201" w:rsidP="00984201">
      <w:pPr>
        <w:rPr>
          <w:rtl/>
        </w:rPr>
      </w:pPr>
      <w:r>
        <w:rPr>
          <w:rFonts w:hint="cs"/>
          <w:rtl/>
        </w:rPr>
        <w:t>...</w:t>
      </w:r>
    </w:p>
    <w:p w14:paraId="1E760D24" w14:textId="73F1CD99" w:rsidR="001D220A" w:rsidRPr="00C86D28" w:rsidRDefault="00984201" w:rsidP="0052063A">
      <w:pPr>
        <w:rPr>
          <w:i/>
          <w:iCs/>
          <w:rtl/>
        </w:rPr>
      </w:pPr>
      <w:proofErr w:type="gramStart"/>
      <w:r>
        <w:rPr>
          <w:rFonts w:ascii="Traditional Arabic" w:hAnsi="Traditional Arabic" w:hint="cs"/>
          <w:i/>
          <w:iCs/>
          <w:rtl/>
        </w:rPr>
        <w:t>ﻱ</w:t>
      </w:r>
      <w:r w:rsidR="00BE3D34" w:rsidRPr="00C86D28">
        <w:rPr>
          <w:rFonts w:hint="cs"/>
          <w:i/>
          <w:iCs/>
          <w:rtl/>
        </w:rPr>
        <w:t> )</w:t>
      </w:r>
      <w:proofErr w:type="gramEnd"/>
      <w:r w:rsidR="00BE3D34" w:rsidRPr="00C86D28">
        <w:rPr>
          <w:i/>
          <w:iCs/>
          <w:rtl/>
        </w:rPr>
        <w:tab/>
      </w:r>
      <w:r w:rsidR="00BE3D34" w:rsidRPr="00C86D28">
        <w:rPr>
          <w:rFonts w:hint="cs"/>
          <w:rtl/>
          <w:lang w:bidi="ar-SY"/>
        </w:rPr>
        <w:t>أن قطاع الاتصالات الراديوية قام، إبان التحضير للمؤتمر العالمي للاتصالات الراديوية لعام </w:t>
      </w:r>
      <w:r w:rsidR="00BE3D34" w:rsidRPr="00C86D28">
        <w:rPr>
          <w:lang w:bidi="ar-SY"/>
        </w:rPr>
        <w:t>2019</w:t>
      </w:r>
      <w:r w:rsidR="00BE3D34" w:rsidRPr="00C86D28">
        <w:rPr>
          <w:rFonts w:hint="cs"/>
          <w:rtl/>
          <w:lang w:bidi="ar-EG"/>
        </w:rPr>
        <w:t xml:space="preserve"> </w:t>
      </w:r>
      <w:r w:rsidR="00BE3D34" w:rsidRPr="00C86D28">
        <w:rPr>
          <w:lang w:bidi="ar-EG"/>
        </w:rPr>
        <w:t>(WRC</w:t>
      </w:r>
      <w:r w:rsidR="00BE3D34" w:rsidRPr="00C86D28">
        <w:rPr>
          <w:lang w:bidi="ar-EG"/>
        </w:rPr>
        <w:noBreakHyphen/>
        <w:t>19)</w:t>
      </w:r>
      <w:r w:rsidR="00BE3D34" w:rsidRPr="00C86D28">
        <w:rPr>
          <w:rFonts w:hint="cs"/>
          <w:rtl/>
          <w:lang w:bidi="ar-EG"/>
        </w:rPr>
        <w:t xml:space="preserve">، بدراسة التقاسم والتوافق مع الخدمات </w:t>
      </w:r>
      <w:r w:rsidR="0052063A">
        <w:rPr>
          <w:rFonts w:hint="cs"/>
          <w:rtl/>
          <w:lang w:bidi="ar-EG"/>
        </w:rPr>
        <w:t>التي لها توزيعات</w:t>
      </w:r>
      <w:r w:rsidR="00BE3D34" w:rsidRPr="00C86D28">
        <w:rPr>
          <w:rFonts w:hint="cs"/>
          <w:rtl/>
          <w:lang w:bidi="ar-EG"/>
        </w:rPr>
        <w:t xml:space="preserve"> </w:t>
      </w:r>
      <w:r w:rsidR="00BE3D34" w:rsidRPr="00011005">
        <w:rPr>
          <w:rFonts w:hint="cs"/>
          <w:rtl/>
          <w:lang w:bidi="ar-EG"/>
        </w:rPr>
        <w:t>في نطاق التردد </w:t>
      </w:r>
      <w:r w:rsidR="00BE3D34" w:rsidRPr="00011005">
        <w:rPr>
          <w:lang w:bidi="ar-EG"/>
        </w:rPr>
        <w:t>GHz 43</w:t>
      </w:r>
      <w:r w:rsidR="0052063A">
        <w:rPr>
          <w:lang w:bidi="ar-EG"/>
        </w:rPr>
        <w:t>,</w:t>
      </w:r>
      <w:r w:rsidR="00BE3D34" w:rsidRPr="00011005">
        <w:rPr>
          <w:lang w:bidi="ar-EG"/>
        </w:rPr>
        <w:t>5</w:t>
      </w:r>
      <w:r w:rsidR="0052063A">
        <w:rPr>
          <w:lang w:bidi="ar-EG"/>
        </w:rPr>
        <w:noBreakHyphen/>
      </w:r>
      <w:r w:rsidR="00BE3D34" w:rsidRPr="00011005">
        <w:rPr>
          <w:lang w:bidi="ar-EG"/>
        </w:rPr>
        <w:t>37</w:t>
      </w:r>
      <w:r w:rsidR="00BE3D34" w:rsidRPr="00011005">
        <w:rPr>
          <w:rFonts w:hint="cs"/>
          <w:rtl/>
          <w:lang w:bidi="ar-EG"/>
        </w:rPr>
        <w:t xml:space="preserve"> والنطاق المجاور له</w:t>
      </w:r>
      <w:r w:rsidR="00BE3D34" w:rsidRPr="00011005">
        <w:rPr>
          <w:rFonts w:hint="eastAsia"/>
          <w:rtl/>
          <w:lang w:bidi="ar-EG"/>
        </w:rPr>
        <w:t>،</w:t>
      </w:r>
      <w:r w:rsidR="00BE3D34" w:rsidRPr="00011005">
        <w:rPr>
          <w:rtl/>
          <w:lang w:bidi="ar-EG"/>
        </w:rPr>
        <w:t xml:space="preserve"> </w:t>
      </w:r>
      <w:r w:rsidR="00BE3D34" w:rsidRPr="00011005">
        <w:rPr>
          <w:rFonts w:hint="cs"/>
          <w:rtl/>
          <w:lang w:bidi="ar-EG"/>
        </w:rPr>
        <w:t>استناداً</w:t>
      </w:r>
      <w:r w:rsidR="00BE3D34" w:rsidRPr="00C86D28">
        <w:rPr>
          <w:rFonts w:hint="cs"/>
          <w:rtl/>
          <w:lang w:bidi="ar-EG"/>
        </w:rPr>
        <w:t xml:space="preserve"> إلى الخصائص المتاحة</w:t>
      </w:r>
      <w:r w:rsidR="0052063A">
        <w:rPr>
          <w:rFonts w:hint="eastAsia"/>
          <w:rtl/>
          <w:lang w:bidi="ar-EG"/>
        </w:rPr>
        <w:t> </w:t>
      </w:r>
      <w:r w:rsidR="00BE3D34" w:rsidRPr="00C86D28">
        <w:rPr>
          <w:rFonts w:hint="cs"/>
          <w:rtl/>
          <w:lang w:bidi="ar-EG"/>
        </w:rPr>
        <w:t>وقتها</w:t>
      </w:r>
      <w:r w:rsidR="00BE3D34" w:rsidRPr="00C86D28">
        <w:rPr>
          <w:rFonts w:hint="cs"/>
          <w:rtl/>
          <w:lang w:bidi="ar-SY"/>
        </w:rPr>
        <w:t>؛</w:t>
      </w:r>
      <w:r w:rsidR="0052063A">
        <w:rPr>
          <w:rFonts w:hint="cs"/>
          <w:rtl/>
          <w:lang w:bidi="ar-SY"/>
        </w:rPr>
        <w:t> </w:t>
      </w:r>
    </w:p>
    <w:p w14:paraId="67822FC1" w14:textId="06A71242" w:rsidR="001D220A" w:rsidRPr="00C86D28" w:rsidRDefault="00984201" w:rsidP="0052063A">
      <w:pPr>
        <w:rPr>
          <w:rtl/>
          <w:lang w:bidi="ar-EG"/>
        </w:rPr>
      </w:pPr>
      <w:r>
        <w:rPr>
          <w:rFonts w:ascii="Traditional Arabic" w:hAnsi="Traditional Arabic" w:hint="cs"/>
          <w:i/>
          <w:iCs/>
          <w:rtl/>
        </w:rPr>
        <w:t>ﻙ</w:t>
      </w:r>
      <w:r w:rsidR="00BE3D34" w:rsidRPr="00C86D28">
        <w:rPr>
          <w:rFonts w:hint="cs"/>
          <w:i/>
          <w:iCs/>
          <w:rtl/>
        </w:rPr>
        <w:t>)</w:t>
      </w:r>
      <w:r w:rsidR="00BE3D34" w:rsidRPr="00C86D28">
        <w:rPr>
          <w:i/>
          <w:iCs/>
          <w:rtl/>
        </w:rPr>
        <w:tab/>
      </w:r>
      <w:r w:rsidR="00BE3D34" w:rsidRPr="00C86D28">
        <w:rPr>
          <w:rFonts w:hint="cs"/>
          <w:rtl/>
        </w:rPr>
        <w:t xml:space="preserve">أن نتائج دراسات قطاع الاتصالات الراديوية </w:t>
      </w:r>
      <w:r w:rsidR="0052063A">
        <w:rPr>
          <w:rFonts w:hint="cs"/>
          <w:rtl/>
        </w:rPr>
        <w:t>بشأن توافق</w:t>
      </w:r>
      <w:r w:rsidR="00BE3D34" w:rsidRPr="00C86D28">
        <w:rPr>
          <w:rFonts w:hint="cs"/>
          <w:rtl/>
        </w:rPr>
        <w:t xml:space="preserve"> أنظمة الاتصالات المتنقلة الدولية-</w:t>
      </w:r>
      <w:r w:rsidR="00BE3D34" w:rsidRPr="00C86D28">
        <w:t>2020</w:t>
      </w:r>
      <w:r w:rsidR="00BE3D34" w:rsidRPr="00C86D28">
        <w:rPr>
          <w:rFonts w:hint="cs"/>
          <w:rtl/>
          <w:lang w:bidi="ar-EG"/>
        </w:rPr>
        <w:t xml:space="preserve"> احتمالية في</w:t>
      </w:r>
      <w:r w:rsidR="0052063A">
        <w:rPr>
          <w:rFonts w:hint="eastAsia"/>
          <w:rtl/>
          <w:lang w:bidi="ar-EG"/>
        </w:rPr>
        <w:t> </w:t>
      </w:r>
      <w:r w:rsidR="00BE3D34" w:rsidRPr="00C86D28">
        <w:rPr>
          <w:rFonts w:hint="cs"/>
          <w:rtl/>
          <w:lang w:bidi="ar-EG"/>
        </w:rPr>
        <w:t>طابعها وبالتالي فإن معلمات نشر أنظمة الاتصالات المتنقلة الدولية-</w:t>
      </w:r>
      <w:r w:rsidR="00BE3D34" w:rsidRPr="00C86D28">
        <w:rPr>
          <w:lang w:bidi="ar-EG"/>
        </w:rPr>
        <w:t>2020</w:t>
      </w:r>
      <w:r w:rsidR="00BE3D34" w:rsidRPr="00C86D28">
        <w:rPr>
          <w:rFonts w:hint="cs"/>
          <w:rtl/>
          <w:lang w:bidi="ar-EG"/>
        </w:rPr>
        <w:t xml:space="preserve"> التي تؤثر على التوافق مع المستقبلات الساتلية قد تختلف أثناء التنفيذ والنشر عملياً لشبكات الاتصالات المتنقلة الدولية-</w:t>
      </w:r>
      <w:r w:rsidR="00BE3D34" w:rsidRPr="00C86D28">
        <w:rPr>
          <w:lang w:bidi="ar-EG"/>
        </w:rPr>
        <w:t>2020</w:t>
      </w:r>
      <w:r w:rsidR="00BE3D34" w:rsidRPr="00C86D28">
        <w:rPr>
          <w:rFonts w:hint="cs"/>
          <w:rtl/>
          <w:lang w:bidi="ar-EG"/>
        </w:rPr>
        <w:t>؛</w:t>
      </w:r>
    </w:p>
    <w:p w14:paraId="4A028F8D" w14:textId="4CACA3EA" w:rsidR="001D220A" w:rsidRPr="00C86D28" w:rsidRDefault="00984201" w:rsidP="00D1782D">
      <w:pPr>
        <w:rPr>
          <w:rtl/>
          <w:lang w:bidi="ar-EG"/>
        </w:rPr>
      </w:pPr>
      <w:r>
        <w:rPr>
          <w:rFonts w:ascii="Traditional Arabic" w:hAnsi="Traditional Arabic" w:hint="cs"/>
          <w:i/>
          <w:iCs/>
          <w:rtl/>
          <w:lang w:bidi="ar-EG"/>
        </w:rPr>
        <w:t>ﻝ</w:t>
      </w:r>
      <w:r w:rsidR="00BE3D34" w:rsidRPr="00C86D28">
        <w:rPr>
          <w:i/>
          <w:iCs/>
          <w:rtl/>
          <w:lang w:bidi="ar-EG"/>
        </w:rPr>
        <w:t>)</w:t>
      </w:r>
      <w:r w:rsidR="00BE3D34" w:rsidRPr="00C86D28">
        <w:rPr>
          <w:rtl/>
          <w:lang w:bidi="ar-EG"/>
        </w:rPr>
        <w:tab/>
      </w:r>
      <w:r w:rsidR="00BE3D34" w:rsidRPr="00C86D28">
        <w:rPr>
          <w:rFonts w:hint="cs"/>
          <w:rtl/>
          <w:lang w:bidi="ar-EG"/>
        </w:rPr>
        <w:t>أن تسديد الحزمة الرئيسية (كهربائي وميكانيكي)</w:t>
      </w:r>
      <w:r w:rsidR="00D1782D">
        <w:rPr>
          <w:rFonts w:hint="cs"/>
          <w:rtl/>
          <w:lang w:bidi="ar-EG"/>
        </w:rPr>
        <w:t xml:space="preserve"> في الارتفاع ينبغي أن ي</w:t>
      </w:r>
      <w:r w:rsidR="00BE3D34" w:rsidRPr="00C86D28">
        <w:rPr>
          <w:rFonts w:hint="cs"/>
          <w:rtl/>
          <w:lang w:bidi="ar-EG"/>
        </w:rPr>
        <w:t>كون عادة</w:t>
      </w:r>
      <w:r w:rsidR="00D1782D">
        <w:rPr>
          <w:rFonts w:hint="cs"/>
          <w:rtl/>
          <w:lang w:bidi="ar-EG"/>
        </w:rPr>
        <w:t>ً</w:t>
      </w:r>
      <w:r w:rsidR="00BE3D34" w:rsidRPr="00C86D28">
        <w:rPr>
          <w:rFonts w:hint="cs"/>
          <w:rtl/>
          <w:lang w:bidi="ar-EG"/>
        </w:rPr>
        <w:t xml:space="preserve"> تحت الأفق في المحطات القاعدة خارج المباني؛</w:t>
      </w:r>
    </w:p>
    <w:p w14:paraId="32CE6705" w14:textId="1A450B36" w:rsidR="001D220A" w:rsidRPr="00011005" w:rsidRDefault="00984201" w:rsidP="001D220A">
      <w:pPr>
        <w:rPr>
          <w:rtl/>
          <w:lang w:val="fr-CH" w:bidi="ar-SY"/>
        </w:rPr>
      </w:pPr>
      <w:proofErr w:type="gramStart"/>
      <w:r>
        <w:rPr>
          <w:rFonts w:ascii="Traditional Arabic" w:hAnsi="Traditional Arabic" w:hint="cs"/>
          <w:i/>
          <w:iCs/>
          <w:rtl/>
          <w:lang w:bidi="ar-EG"/>
        </w:rPr>
        <w:t>ﻡ</w:t>
      </w:r>
      <w:r>
        <w:rPr>
          <w:rFonts w:hint="cs"/>
          <w:i/>
          <w:iCs/>
          <w:rtl/>
          <w:lang w:bidi="ar-EG"/>
        </w:rPr>
        <w:t> </w:t>
      </w:r>
      <w:r w:rsidR="00BE3D34" w:rsidRPr="00C86D28">
        <w:rPr>
          <w:i/>
          <w:iCs/>
          <w:rtl/>
          <w:lang w:bidi="ar-EG"/>
        </w:rPr>
        <w:t>)</w:t>
      </w:r>
      <w:proofErr w:type="gramEnd"/>
      <w:r w:rsidR="00BE3D34" w:rsidRPr="00C86D28">
        <w:rPr>
          <w:i/>
          <w:iCs/>
          <w:rtl/>
          <w:lang w:bidi="ar-EG"/>
        </w:rPr>
        <w:tab/>
      </w:r>
      <w:r w:rsidR="00BE3D34" w:rsidRPr="00C86D28">
        <w:rPr>
          <w:rFonts w:hint="eastAsia"/>
          <w:rtl/>
          <w:lang w:bidi="ar-EG"/>
        </w:rPr>
        <w:t>أنه</w:t>
      </w:r>
      <w:r w:rsidR="00BE3D34" w:rsidRPr="00C86D28">
        <w:rPr>
          <w:rtl/>
          <w:lang w:bidi="ar-EG"/>
        </w:rPr>
        <w:t xml:space="preserve"> </w:t>
      </w:r>
      <w:r w:rsidR="00BE3D34" w:rsidRPr="00C86D28">
        <w:rPr>
          <w:rFonts w:hint="eastAsia"/>
          <w:rtl/>
          <w:lang w:bidi="ar-EG"/>
        </w:rPr>
        <w:t>يفترض</w:t>
      </w:r>
      <w:r w:rsidR="00BE3D34" w:rsidRPr="00C86D28">
        <w:rPr>
          <w:rtl/>
          <w:lang w:bidi="ar-EG"/>
        </w:rPr>
        <w:t xml:space="preserve"> </w:t>
      </w:r>
      <w:r w:rsidR="00BE3D34" w:rsidRPr="00C86D28">
        <w:rPr>
          <w:rFonts w:hint="eastAsia"/>
          <w:rtl/>
          <w:lang w:bidi="ar-EG"/>
        </w:rPr>
        <w:t>تحقيق</w:t>
      </w:r>
      <w:r w:rsidR="00BE3D34" w:rsidRPr="00C86D28">
        <w:rPr>
          <w:rFonts w:hint="cs"/>
          <w:i/>
          <w:iCs/>
          <w:rtl/>
          <w:lang w:bidi="ar-EG"/>
        </w:rPr>
        <w:t xml:space="preserve"> </w:t>
      </w:r>
      <w:r w:rsidR="00BE3D34" w:rsidRPr="00C86D28">
        <w:rPr>
          <w:rFonts w:hint="cs"/>
          <w:rtl/>
          <w:lang w:bidi="ar-EG"/>
        </w:rPr>
        <w:t xml:space="preserve">تغطية بؤرة التوصيل خارج المباني، في دراسات التقاسم، بنشر محطات قاعدة تتواصل مع </w:t>
      </w:r>
      <w:proofErr w:type="spellStart"/>
      <w:r w:rsidR="00BE3D34" w:rsidRPr="00C86D28">
        <w:rPr>
          <w:rFonts w:hint="cs"/>
          <w:rtl/>
          <w:lang w:bidi="ar-EG"/>
        </w:rPr>
        <w:t>مطاريف</w:t>
      </w:r>
      <w:proofErr w:type="spellEnd"/>
      <w:r w:rsidR="00BE3D34" w:rsidRPr="00C86D28">
        <w:rPr>
          <w:rFonts w:hint="cs"/>
          <w:rtl/>
          <w:lang w:bidi="ar-EG"/>
        </w:rPr>
        <w:t xml:space="preserve"> على الأرض ومع عدد محدود جداً من المطاريف داخل المباني ذات زوايا الارتفاع الم</w:t>
      </w:r>
      <w:r w:rsidR="00D1782D">
        <w:rPr>
          <w:rFonts w:hint="cs"/>
          <w:rtl/>
          <w:lang w:bidi="ar-EG"/>
        </w:rPr>
        <w:t>وجبة، وهو ما يؤدي عادةً إلى</w:t>
      </w:r>
      <w:r w:rsidR="00BE3D34" w:rsidRPr="00C86D28">
        <w:rPr>
          <w:rFonts w:hint="cs"/>
          <w:rtl/>
          <w:lang w:bidi="ar-EG"/>
        </w:rPr>
        <w:t xml:space="preserve"> ارتفاع للحزمة الرئيسية للمحطات القاعدة خارج المباني تحت الأفق، وبالتالي مستويات عالية للتمييز في اتجاه السواتل</w:t>
      </w:r>
      <w:r w:rsidR="00011005">
        <w:rPr>
          <w:rFonts w:hint="cs"/>
          <w:rtl/>
          <w:lang w:val="fr-CH" w:bidi="ar-SY"/>
        </w:rPr>
        <w:t>،</w:t>
      </w:r>
    </w:p>
    <w:p w14:paraId="627A2B23" w14:textId="7CDE07FD" w:rsidR="001D220A" w:rsidRPr="00C86D28" w:rsidRDefault="00984201" w:rsidP="00984201">
      <w:pPr>
        <w:rPr>
          <w:rtl/>
          <w:lang w:val="fr-CH" w:bidi="ar-EG"/>
        </w:rPr>
      </w:pPr>
      <w:r>
        <w:rPr>
          <w:rFonts w:hint="cs"/>
          <w:rtl/>
        </w:rPr>
        <w:t>...</w:t>
      </w:r>
    </w:p>
    <w:p w14:paraId="03D5CF89" w14:textId="4B2CFFD8" w:rsidR="001D220A" w:rsidRDefault="00BE3D34" w:rsidP="001D220A">
      <w:pPr>
        <w:pStyle w:val="Call"/>
        <w:rPr>
          <w:rtl/>
        </w:rPr>
      </w:pPr>
      <w:r w:rsidRPr="00C86D28">
        <w:rPr>
          <w:rFonts w:hint="cs"/>
          <w:rtl/>
        </w:rPr>
        <w:t>وإذ يدرك</w:t>
      </w:r>
    </w:p>
    <w:p w14:paraId="185FD82A" w14:textId="2FF47CCE" w:rsidR="00883E82" w:rsidRPr="00883E82" w:rsidRDefault="00883E82" w:rsidP="00883E82">
      <w:pPr>
        <w:rPr>
          <w:rtl/>
        </w:rPr>
      </w:pPr>
      <w:r>
        <w:rPr>
          <w:rFonts w:hint="cs"/>
          <w:rtl/>
        </w:rPr>
        <w:t>...</w:t>
      </w:r>
    </w:p>
    <w:p w14:paraId="066F5359" w14:textId="37D67DC1" w:rsidR="00883E82" w:rsidRPr="00883E82" w:rsidRDefault="00883E82" w:rsidP="00FB55ED">
      <w:pPr>
        <w:rPr>
          <w:rtl/>
          <w:lang w:bidi="ar-EG"/>
        </w:rPr>
      </w:pPr>
      <w:proofErr w:type="gramStart"/>
      <w:r w:rsidRPr="00883E82">
        <w:rPr>
          <w:rFonts w:ascii="Traditional Arabic" w:hAnsi="Traditional Arabic"/>
          <w:i/>
          <w:iCs/>
          <w:rtl/>
        </w:rPr>
        <w:t>ﻭ</w:t>
      </w:r>
      <w:r w:rsidRPr="00883E82">
        <w:rPr>
          <w:rFonts w:hint="eastAsia"/>
          <w:i/>
          <w:iCs/>
          <w:rtl/>
          <w:lang w:bidi="ar-EG"/>
        </w:rPr>
        <w:t> </w:t>
      </w:r>
      <w:r w:rsidRPr="00883E82">
        <w:rPr>
          <w:rFonts w:hint="cs"/>
          <w:i/>
          <w:iCs/>
          <w:rtl/>
          <w:lang w:bidi="ar-EG"/>
        </w:rPr>
        <w:t>)</w:t>
      </w:r>
      <w:proofErr w:type="gramEnd"/>
      <w:r w:rsidRPr="00883E82">
        <w:rPr>
          <w:i/>
          <w:iCs/>
          <w:rtl/>
          <w:lang w:bidi="ar-EG"/>
        </w:rPr>
        <w:tab/>
      </w:r>
      <w:r w:rsidR="00223109" w:rsidRPr="00223109">
        <w:rPr>
          <w:rFonts w:hint="cs"/>
          <w:rtl/>
          <w:lang w:val="fr-CH" w:bidi="ar-SY"/>
        </w:rPr>
        <w:t>أن</w:t>
      </w:r>
      <w:r w:rsidR="00223109">
        <w:rPr>
          <w:rFonts w:hint="cs"/>
          <w:i/>
          <w:iCs/>
          <w:rtl/>
          <w:lang w:val="fr-CH" w:bidi="ar-SY"/>
        </w:rPr>
        <w:t xml:space="preserve"> </w:t>
      </w:r>
      <w:r w:rsidR="00011005">
        <w:rPr>
          <w:rFonts w:hint="cs"/>
          <w:rtl/>
          <w:lang w:bidi="ar-EG"/>
        </w:rPr>
        <w:t>قطاع الاتصالات الراديوية أثبت إمكانية التقاسم بين الاتصالات المتنقلة الدولية والخدمة الثابتة الساتلية (أرض-فضاء)</w:t>
      </w:r>
      <w:r w:rsidRPr="00883E82">
        <w:rPr>
          <w:rFonts w:hint="cs"/>
          <w:rtl/>
          <w:lang w:bidi="ar-EG"/>
        </w:rPr>
        <w:t xml:space="preserve"> </w:t>
      </w:r>
      <w:r w:rsidRPr="00883E82">
        <w:rPr>
          <w:rtl/>
        </w:rPr>
        <w:t xml:space="preserve">في نطاق </w:t>
      </w:r>
      <w:r w:rsidRPr="00883E82">
        <w:rPr>
          <w:rFonts w:hint="cs"/>
          <w:rtl/>
        </w:rPr>
        <w:t xml:space="preserve">التردد </w:t>
      </w:r>
      <w:r w:rsidRPr="00883E82">
        <w:rPr>
          <w:lang w:bidi="ar-EG"/>
        </w:rPr>
        <w:t>43</w:t>
      </w:r>
      <w:r w:rsidR="002979B4">
        <w:rPr>
          <w:lang w:bidi="ar-EG"/>
        </w:rPr>
        <w:t>,</w:t>
      </w:r>
      <w:r w:rsidRPr="00883E82">
        <w:rPr>
          <w:lang w:bidi="ar-EG"/>
        </w:rPr>
        <w:t>5-42</w:t>
      </w:r>
      <w:r w:rsidR="002979B4">
        <w:rPr>
          <w:lang w:bidi="ar-EG"/>
        </w:rPr>
        <w:t>,</w:t>
      </w:r>
      <w:r w:rsidRPr="00883E82">
        <w:rPr>
          <w:lang w:bidi="ar-EG"/>
        </w:rPr>
        <w:t>5</w:t>
      </w:r>
      <w:r w:rsidR="002979B4">
        <w:rPr>
          <w:rFonts w:hint="cs"/>
          <w:rtl/>
          <w:lang w:val="fr-CH" w:bidi="ar-SY"/>
        </w:rPr>
        <w:t> </w:t>
      </w:r>
      <w:r w:rsidRPr="00883E82">
        <w:rPr>
          <w:lang w:bidi="ar-SY"/>
        </w:rPr>
        <w:t>GHz</w:t>
      </w:r>
      <w:r w:rsidR="00011005">
        <w:rPr>
          <w:rFonts w:hint="cs"/>
          <w:rtl/>
          <w:lang w:bidi="ar-SY"/>
        </w:rPr>
        <w:t>، بناءً على مجموعة من المعلمات الأساسية</w:t>
      </w:r>
      <w:r w:rsidR="00993F71">
        <w:rPr>
          <w:rFonts w:hint="cs"/>
          <w:rtl/>
          <w:lang w:bidi="ar-SY"/>
        </w:rPr>
        <w:t xml:space="preserve"> بما في ذلك كثافة نشر المحطات القاعدة للاتصالات المتنقلة الدولية البالغ</w:t>
      </w:r>
      <w:r w:rsidR="00D1782D">
        <w:rPr>
          <w:rFonts w:hint="cs"/>
          <w:rtl/>
          <w:lang w:bidi="ar-SY"/>
        </w:rPr>
        <w:t>ة</w:t>
      </w:r>
      <w:r w:rsidR="00993F71">
        <w:rPr>
          <w:rFonts w:hint="cs"/>
          <w:rtl/>
          <w:lang w:bidi="ar-SY"/>
        </w:rPr>
        <w:t xml:space="preserve"> </w:t>
      </w:r>
      <w:r w:rsidR="00993F71">
        <w:rPr>
          <w:lang w:bidi="ar-SY"/>
        </w:rPr>
        <w:t>1 200</w:t>
      </w:r>
      <w:r w:rsidR="00993F71">
        <w:rPr>
          <w:rFonts w:hint="cs"/>
          <w:rtl/>
          <w:lang w:val="fr-CH" w:bidi="ar-SY"/>
        </w:rPr>
        <w:t xml:space="preserve"> محطة في كل </w:t>
      </w:r>
      <w:r w:rsidR="00993F71">
        <w:rPr>
          <w:lang w:bidi="ar-SY"/>
        </w:rPr>
        <w:t>10 000</w:t>
      </w:r>
      <w:r w:rsidR="00FB55ED">
        <w:rPr>
          <w:rFonts w:eastAsia="???" w:cs="Times New Roman" w:hint="cs"/>
          <w:sz w:val="24"/>
          <w:szCs w:val="20"/>
          <w:rtl/>
          <w:lang w:val="en-GB"/>
        </w:rPr>
        <w:t xml:space="preserve"> </w:t>
      </w:r>
      <w:r w:rsidR="00FB55ED" w:rsidRPr="00FB55ED">
        <w:rPr>
          <w:vertAlign w:val="superscript"/>
          <w:lang w:val="en-GB" w:bidi="ar-SY"/>
        </w:rPr>
        <w:t>2</w:t>
      </w:r>
      <w:r w:rsidR="00FB55ED" w:rsidRPr="00FB55ED">
        <w:rPr>
          <w:lang w:val="en-GB" w:bidi="ar-SY"/>
        </w:rPr>
        <w:t>km</w:t>
      </w:r>
      <w:r w:rsidRPr="00883E82">
        <w:rPr>
          <w:rFonts w:hint="cs"/>
          <w:rtl/>
          <w:lang w:bidi="ar-SY"/>
        </w:rPr>
        <w:t>،</w:t>
      </w:r>
    </w:p>
    <w:p w14:paraId="0F8E666A" w14:textId="77777777" w:rsidR="001D220A" w:rsidRPr="00C86D28" w:rsidRDefault="00BE3D34" w:rsidP="001D220A">
      <w:pPr>
        <w:pStyle w:val="Call"/>
        <w:rPr>
          <w:rtl/>
          <w:lang w:bidi="ar-EG"/>
        </w:rPr>
      </w:pPr>
      <w:r w:rsidRPr="00C86D28">
        <w:rPr>
          <w:rFonts w:hint="cs"/>
          <w:rtl/>
          <w:lang w:bidi="ar-EG"/>
        </w:rPr>
        <w:t>يقرر</w:t>
      </w:r>
    </w:p>
    <w:p w14:paraId="2757F7FB" w14:textId="709C5EC4" w:rsidR="00883E82" w:rsidRDefault="00883E82" w:rsidP="00883E82">
      <w:pPr>
        <w:rPr>
          <w:rtl/>
        </w:rPr>
      </w:pPr>
      <w:r>
        <w:rPr>
          <w:rFonts w:hint="cs"/>
          <w:rtl/>
        </w:rPr>
        <w:t>...</w:t>
      </w:r>
    </w:p>
    <w:p w14:paraId="6A08DACE" w14:textId="04A9550B" w:rsidR="001D220A" w:rsidRPr="00C86D28" w:rsidRDefault="00883E82" w:rsidP="001D220A">
      <w:pPr>
        <w:rPr>
          <w:rtl/>
          <w:lang w:bidi="ar-EG"/>
        </w:rPr>
      </w:pPr>
      <w:r>
        <w:rPr>
          <w:lang w:bidi="ar-EG"/>
        </w:rPr>
        <w:t>2</w:t>
      </w:r>
      <w:r w:rsidR="00BE3D34" w:rsidRPr="00C86D28">
        <w:rPr>
          <w:rtl/>
          <w:lang w:bidi="ar-EG"/>
        </w:rPr>
        <w:tab/>
      </w:r>
      <w:r w:rsidR="00BE3D34" w:rsidRPr="00C86D28">
        <w:rPr>
          <w:rFonts w:hint="cs"/>
          <w:rtl/>
        </w:rPr>
        <w:t>ألا تتجاوز الإرسالات غير المطلوبة لمحطات الاتصالات المتنقلة الدولية التي و</w:t>
      </w:r>
      <w:r w:rsidR="00223109">
        <w:rPr>
          <w:rFonts w:hint="cs"/>
          <w:rtl/>
        </w:rPr>
        <w:t>ض</w:t>
      </w:r>
      <w:r w:rsidR="00BE3D34" w:rsidRPr="00C86D28">
        <w:rPr>
          <w:rFonts w:hint="cs"/>
          <w:rtl/>
        </w:rPr>
        <w:t>عت في الخدمة في نطاقات التردد والخدمات المذكورة في الجدول</w:t>
      </w:r>
      <w:r w:rsidR="00BE3D34" w:rsidRPr="00C86D28">
        <w:rPr>
          <w:rFonts w:hint="eastAsia"/>
          <w:rtl/>
        </w:rPr>
        <w:t> </w:t>
      </w:r>
      <w:r w:rsidR="00BE3D34" w:rsidRPr="00C86D28">
        <w:t>1</w:t>
      </w:r>
      <w:r w:rsidR="00BE3D34" w:rsidRPr="00C86D28">
        <w:rPr>
          <w:rFonts w:hint="cs"/>
          <w:rtl/>
        </w:rPr>
        <w:t xml:space="preserve"> أدناه</w:t>
      </w:r>
      <w:r w:rsidR="00223109">
        <w:rPr>
          <w:rFonts w:hint="cs"/>
          <w:rtl/>
        </w:rPr>
        <w:t xml:space="preserve">، </w:t>
      </w:r>
      <w:r w:rsidR="00BE3D34" w:rsidRPr="00C86D28">
        <w:rPr>
          <w:rFonts w:hint="cs"/>
          <w:rtl/>
        </w:rPr>
        <w:t>الحدود المقابلة في ذلك الجدول، رهناً بالشروط المحددة؛</w:t>
      </w:r>
    </w:p>
    <w:p w14:paraId="70BEF264" w14:textId="77777777" w:rsidR="001D220A" w:rsidRPr="00C86D28" w:rsidRDefault="00BE3D34" w:rsidP="001D220A">
      <w:pPr>
        <w:pStyle w:val="TableNo"/>
        <w:spacing w:after="80"/>
        <w:rPr>
          <w:rtl/>
        </w:rPr>
      </w:pPr>
      <w:r w:rsidRPr="00C86D28">
        <w:rPr>
          <w:rFonts w:hint="cs"/>
          <w:rtl/>
        </w:rPr>
        <w:lastRenderedPageBreak/>
        <w:t xml:space="preserve">الجدول </w:t>
      </w:r>
      <w:r w:rsidRPr="00C86D28">
        <w:t>1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494"/>
        <w:gridCol w:w="1591"/>
        <w:gridCol w:w="1502"/>
        <w:gridCol w:w="5042"/>
      </w:tblGrid>
      <w:tr w:rsidR="001D220A" w:rsidRPr="00C86D28" w14:paraId="05797EBC" w14:textId="77777777" w:rsidTr="001D220A">
        <w:trPr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D332" w14:textId="77777777" w:rsidR="001D220A" w:rsidRPr="00C86D28" w:rsidRDefault="00BE3D34" w:rsidP="001D220A">
            <w:pPr>
              <w:pStyle w:val="Tablehead"/>
              <w:rPr>
                <w:rtl/>
              </w:rPr>
            </w:pPr>
            <w:r w:rsidRPr="00C86D28">
              <w:rPr>
                <w:rFonts w:hint="cs"/>
                <w:rtl/>
              </w:rPr>
              <w:t xml:space="preserve">نطاق خدمة استكشاف الأرض الساتلية </w:t>
            </w:r>
            <w:r w:rsidRPr="00C86D28">
              <w:t>(EESS)</w:t>
            </w:r>
            <w:r w:rsidRPr="00C86D28">
              <w:rPr>
                <w:rFonts w:hint="cs"/>
                <w:rtl/>
              </w:rPr>
              <w:t xml:space="preserve"> (المنفعلة)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2285" w14:textId="77777777" w:rsidR="001D220A" w:rsidRPr="00C86D28" w:rsidRDefault="00BE3D34" w:rsidP="001D220A">
            <w:pPr>
              <w:pStyle w:val="Tablehead"/>
              <w:rPr>
                <w:rtl/>
              </w:rPr>
            </w:pPr>
            <w:r w:rsidRPr="00C86D28">
              <w:rPr>
                <w:rFonts w:hint="cs"/>
                <w:rtl/>
              </w:rPr>
              <w:t xml:space="preserve">نطاق </w:t>
            </w:r>
            <w:r w:rsidRPr="00C86D28">
              <w:rPr>
                <w:rtl/>
              </w:rPr>
              <w:br/>
            </w:r>
            <w:r w:rsidRPr="00C86D28">
              <w:rPr>
                <w:rFonts w:hint="cs"/>
                <w:rtl/>
              </w:rPr>
              <w:t>الخدمة النشيطة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1DBD" w14:textId="77777777" w:rsidR="001D220A" w:rsidRPr="00C86D28" w:rsidRDefault="00BE3D34" w:rsidP="001D220A">
            <w:pPr>
              <w:pStyle w:val="Tablehead"/>
              <w:rPr>
                <w:rtl/>
              </w:rPr>
            </w:pPr>
            <w:r w:rsidRPr="00C86D28">
              <w:rPr>
                <w:rFonts w:hint="cs"/>
                <w:rtl/>
              </w:rPr>
              <w:t>الخدمة النشيطة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91D5" w14:textId="77777777" w:rsidR="001D220A" w:rsidRPr="00C86D28" w:rsidRDefault="00BE3D34" w:rsidP="001D220A">
            <w:pPr>
              <w:pStyle w:val="Tablehead"/>
              <w:rPr>
                <w:spacing w:val="-4"/>
                <w:rtl/>
              </w:rPr>
            </w:pPr>
            <w:r w:rsidRPr="00C86D28">
              <w:rPr>
                <w:rFonts w:hint="cs"/>
                <w:spacing w:val="-4"/>
                <w:rtl/>
              </w:rPr>
              <w:t xml:space="preserve">حدود قدرة البث غير المطلوب من محطات الاتصالات </w:t>
            </w:r>
            <w:r w:rsidRPr="00C86D28">
              <w:rPr>
                <w:spacing w:val="-4"/>
                <w:rtl/>
              </w:rPr>
              <w:br/>
            </w:r>
            <w:r w:rsidRPr="00C86D28">
              <w:rPr>
                <w:rFonts w:hint="cs"/>
                <w:spacing w:val="-4"/>
                <w:rtl/>
              </w:rPr>
              <w:t>المتنقلة الدولية-</w:t>
            </w:r>
            <w:r w:rsidRPr="00C86D28">
              <w:rPr>
                <w:spacing w:val="-4"/>
              </w:rPr>
              <w:t>2020</w:t>
            </w:r>
            <w:r w:rsidRPr="00C86D28">
              <w:rPr>
                <w:rFonts w:hint="cs"/>
                <w:spacing w:val="-4"/>
                <w:rtl/>
              </w:rPr>
              <w:t xml:space="preserve"> في عرض نطاق محدد ضمن نطاق </w:t>
            </w:r>
            <w:r w:rsidRPr="00C86D28">
              <w:rPr>
                <w:spacing w:val="-4"/>
                <w:rtl/>
              </w:rPr>
              <w:br/>
            </w:r>
            <w:r w:rsidRPr="00C86D28">
              <w:rPr>
                <w:rFonts w:hint="cs"/>
                <w:spacing w:val="-4"/>
                <w:rtl/>
              </w:rPr>
              <w:t>خدمة استكشاف الأرض الساتلية (المنفعلة)</w:t>
            </w:r>
            <w:r w:rsidRPr="00C86D28">
              <w:rPr>
                <w:spacing w:val="-4"/>
                <w:sz w:val="22"/>
                <w:szCs w:val="22"/>
                <w:vertAlign w:val="superscript"/>
              </w:rPr>
              <w:t>1</w:t>
            </w:r>
          </w:p>
        </w:tc>
      </w:tr>
      <w:tr w:rsidR="001D220A" w:rsidRPr="00C86D28" w14:paraId="40B326F6" w14:textId="77777777" w:rsidTr="001D220A">
        <w:trPr>
          <w:trHeight w:val="99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AA92" w14:textId="491B368D" w:rsidR="001D220A" w:rsidRPr="00C86D28" w:rsidRDefault="00BE3D34" w:rsidP="002979B4">
            <w:pPr>
              <w:pStyle w:val="TabletextS5"/>
              <w:spacing w:line="260" w:lineRule="exact"/>
              <w:jc w:val="center"/>
            </w:pPr>
            <w:r w:rsidRPr="00C86D28">
              <w:t>GHz 37</w:t>
            </w:r>
            <w:r w:rsidR="002979B4">
              <w:noBreakHyphen/>
            </w:r>
            <w:r w:rsidRPr="00C86D28">
              <w:t>36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6654" w14:textId="47C0EC98" w:rsidR="001D220A" w:rsidRPr="00C86D28" w:rsidRDefault="00BE3D34" w:rsidP="00D1782D">
            <w:pPr>
              <w:pStyle w:val="TabletextS5"/>
              <w:spacing w:line="260" w:lineRule="exact"/>
              <w:jc w:val="center"/>
              <w:rPr>
                <w:rtl/>
              </w:rPr>
            </w:pPr>
            <w:r w:rsidRPr="00C86D28">
              <w:t>GHz 40</w:t>
            </w:r>
            <w:r w:rsidR="00D1782D">
              <w:t>,</w:t>
            </w:r>
            <w:r w:rsidRPr="00C86D28">
              <w:t>5</w:t>
            </w:r>
            <w:r w:rsidR="002979B4">
              <w:noBreakHyphen/>
            </w:r>
            <w:r w:rsidRPr="00C86D28">
              <w:t>37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5C57" w14:textId="77777777" w:rsidR="001D220A" w:rsidRPr="00C86D28" w:rsidRDefault="00BE3D34" w:rsidP="001D220A">
            <w:pPr>
              <w:pStyle w:val="TabletextS5"/>
              <w:spacing w:line="260" w:lineRule="exact"/>
              <w:jc w:val="center"/>
              <w:rPr>
                <w:rtl/>
              </w:rPr>
            </w:pPr>
            <w:r w:rsidRPr="00C86D28">
              <w:rPr>
                <w:rFonts w:hint="cs"/>
                <w:rtl/>
              </w:rPr>
              <w:t>المتنقلة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3571" w14:textId="51BDC97F" w:rsidR="001D220A" w:rsidRPr="00C86D28" w:rsidRDefault="00BE3D34" w:rsidP="001D220A">
            <w:pPr>
              <w:pStyle w:val="TabletextS5"/>
              <w:spacing w:line="260" w:lineRule="exact"/>
              <w:jc w:val="center"/>
              <w:rPr>
                <w:rtl/>
                <w:lang w:bidi="ar-SA"/>
              </w:rPr>
            </w:pPr>
            <w:r w:rsidRPr="00C86D28">
              <w:rPr>
                <w:rFonts w:hint="cs"/>
                <w:rtl/>
              </w:rPr>
              <w:t xml:space="preserve">[يحدد </w:t>
            </w:r>
            <w:proofErr w:type="gramStart"/>
            <w:r w:rsidRPr="00C86D28">
              <w:rPr>
                <w:rFonts w:hint="cs"/>
                <w:rtl/>
              </w:rPr>
              <w:t>لاحقاً]</w:t>
            </w:r>
            <w:r w:rsidRPr="00C86D28">
              <w:rPr>
                <w:lang w:val="en-GB"/>
              </w:rPr>
              <w:t>dB</w:t>
            </w:r>
            <w:proofErr w:type="gramEnd"/>
            <w:r w:rsidRPr="00C86D28">
              <w:rPr>
                <w:lang w:val="en-GB"/>
              </w:rPr>
              <w:t>(W/100 MHz)</w:t>
            </w:r>
            <w:r w:rsidR="00D1782D">
              <w:rPr>
                <w:lang w:val="en-GB"/>
              </w:rPr>
              <w:t xml:space="preserve"> </w:t>
            </w:r>
            <w:r w:rsidRPr="00C86D28">
              <w:rPr>
                <w:rFonts w:hint="cs"/>
                <w:rtl/>
                <w:lang w:val="en-GB"/>
              </w:rPr>
              <w:t xml:space="preserve"> للمحطات القاعدة </w:t>
            </w:r>
            <w:r w:rsidRPr="00C86D28">
              <w:rPr>
                <w:rtl/>
                <w:lang w:val="en-GB"/>
              </w:rPr>
              <w:br/>
            </w:r>
            <w:r w:rsidRPr="00C86D28">
              <w:rPr>
                <w:rFonts w:hint="cs"/>
                <w:rtl/>
                <w:lang w:val="en-GB"/>
              </w:rPr>
              <w:t>و</w:t>
            </w:r>
            <w:r w:rsidRPr="00C86D28">
              <w:rPr>
                <w:rFonts w:hint="cs"/>
                <w:rtl/>
              </w:rPr>
              <w:t>[يحدد لاحقاً]</w:t>
            </w:r>
            <w:r w:rsidRPr="00C86D28">
              <w:rPr>
                <w:lang w:val="en-GB"/>
              </w:rPr>
              <w:t>dB(W/100 MHz)</w:t>
            </w:r>
            <w:r w:rsidR="00D1782D">
              <w:rPr>
                <w:lang w:val="en-GB"/>
              </w:rPr>
              <w:t xml:space="preserve"> </w:t>
            </w:r>
            <w:r w:rsidRPr="00C86D28">
              <w:rPr>
                <w:rFonts w:hint="cs"/>
                <w:rtl/>
                <w:lang w:val="en-GB"/>
              </w:rPr>
              <w:t xml:space="preserve"> لمعدات المستعملين</w:t>
            </w:r>
            <w:r>
              <w:rPr>
                <w:rFonts w:hint="cs"/>
                <w:rtl/>
                <w:lang w:val="en-GB"/>
              </w:rPr>
              <w:t>.</w:t>
            </w:r>
          </w:p>
        </w:tc>
      </w:tr>
      <w:tr w:rsidR="001D220A" w:rsidRPr="00C86D28" w14:paraId="3E42859E" w14:textId="77777777" w:rsidTr="001D220A">
        <w:trPr>
          <w:trHeight w:val="42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88C0256" w14:textId="15290FD9" w:rsidR="001D220A" w:rsidRPr="00C86D28" w:rsidRDefault="00BE3D34" w:rsidP="002843B6">
            <w:pPr>
              <w:pStyle w:val="Tablelegend0"/>
              <w:tabs>
                <w:tab w:val="left" w:pos="308"/>
              </w:tabs>
              <w:spacing w:before="120" w:after="60" w:line="260" w:lineRule="exact"/>
            </w:pPr>
            <w:r w:rsidRPr="002979B4">
              <w:rPr>
                <w:position w:val="6"/>
                <w:sz w:val="16"/>
                <w:szCs w:val="16"/>
              </w:rPr>
              <w:t>1</w:t>
            </w:r>
            <w:r w:rsidRPr="00110356">
              <w:tab/>
            </w:r>
            <w:r w:rsidR="00110356" w:rsidRPr="00D1782D">
              <w:rPr>
                <w:rFonts w:hint="cs"/>
                <w:sz w:val="24"/>
                <w:szCs w:val="24"/>
                <w:rtl/>
              </w:rPr>
              <w:t>يُقاس</w:t>
            </w:r>
            <w:r w:rsidRPr="00D1782D">
              <w:rPr>
                <w:rFonts w:hint="cs"/>
                <w:sz w:val="24"/>
                <w:szCs w:val="24"/>
                <w:rtl/>
              </w:rPr>
              <w:t xml:space="preserve"> مستوى قدرة البث غير المطلوب </w:t>
            </w:r>
            <w:r w:rsidR="00110356" w:rsidRPr="00D1782D">
              <w:rPr>
                <w:rFonts w:hint="cs"/>
                <w:sz w:val="24"/>
                <w:szCs w:val="24"/>
                <w:rtl/>
              </w:rPr>
              <w:t>ب</w:t>
            </w:r>
            <w:r w:rsidRPr="00D1782D">
              <w:rPr>
                <w:rFonts w:hint="cs"/>
                <w:sz w:val="24"/>
                <w:szCs w:val="24"/>
                <w:rtl/>
              </w:rPr>
              <w:t>القدرة المشعة الإجمالية. و</w:t>
            </w:r>
            <w:r w:rsidR="00110356" w:rsidRPr="00D1782D">
              <w:rPr>
                <w:rFonts w:hint="cs"/>
                <w:sz w:val="24"/>
                <w:szCs w:val="24"/>
                <w:rtl/>
              </w:rPr>
              <w:t xml:space="preserve">يُفهم من </w:t>
            </w:r>
            <w:r w:rsidRPr="00D1782D">
              <w:rPr>
                <w:rFonts w:hint="cs"/>
                <w:sz w:val="24"/>
                <w:szCs w:val="24"/>
                <w:rtl/>
              </w:rPr>
              <w:t>القدرة المشعة الإجمالية</w:t>
            </w:r>
            <w:r w:rsidR="00D1782D" w:rsidRPr="00D1782D">
              <w:rPr>
                <w:rFonts w:hint="cs"/>
                <w:sz w:val="24"/>
                <w:szCs w:val="24"/>
                <w:rtl/>
              </w:rPr>
              <w:t xml:space="preserve"> هنا</w:t>
            </w:r>
            <w:r w:rsidR="00110356" w:rsidRPr="00D1782D">
              <w:rPr>
                <w:rFonts w:hint="cs"/>
                <w:sz w:val="24"/>
                <w:szCs w:val="24"/>
                <w:rtl/>
              </w:rPr>
              <w:t xml:space="preserve"> أنها</w:t>
            </w:r>
            <w:r w:rsidRPr="00D1782D">
              <w:rPr>
                <w:rFonts w:hint="cs"/>
                <w:sz w:val="24"/>
                <w:szCs w:val="24"/>
                <w:rtl/>
              </w:rPr>
              <w:t xml:space="preserve"> مجموع القدرة </w:t>
            </w:r>
            <w:r w:rsidR="00110356" w:rsidRPr="00D1782D">
              <w:rPr>
                <w:rFonts w:hint="cs"/>
                <w:sz w:val="24"/>
                <w:szCs w:val="24"/>
                <w:rtl/>
              </w:rPr>
              <w:t>المرسلة في مختلف الاتجاهات</w:t>
            </w:r>
            <w:r w:rsidRPr="00D1782D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10356" w:rsidRPr="00D1782D">
              <w:rPr>
                <w:rFonts w:hint="cs"/>
                <w:sz w:val="24"/>
                <w:szCs w:val="24"/>
                <w:rtl/>
              </w:rPr>
              <w:t xml:space="preserve">على كرة </w:t>
            </w:r>
            <w:proofErr w:type="spellStart"/>
            <w:r w:rsidR="00110356" w:rsidRPr="00D1782D">
              <w:rPr>
                <w:rFonts w:hint="cs"/>
                <w:sz w:val="24"/>
                <w:szCs w:val="24"/>
                <w:rtl/>
              </w:rPr>
              <w:t>الاشعاع</w:t>
            </w:r>
            <w:proofErr w:type="spellEnd"/>
            <w:r w:rsidR="00110356" w:rsidRPr="00D1782D">
              <w:rPr>
                <w:rFonts w:hint="cs"/>
                <w:sz w:val="24"/>
                <w:szCs w:val="24"/>
                <w:rtl/>
              </w:rPr>
              <w:t xml:space="preserve"> بأكملها</w:t>
            </w:r>
            <w:r w:rsidRPr="00D1782D"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</w:tbl>
    <w:p w14:paraId="30849941" w14:textId="76C0B7A8" w:rsidR="001D220A" w:rsidRPr="00C86D28" w:rsidRDefault="00BE3D34" w:rsidP="00D1782D">
      <w:pPr>
        <w:spacing w:before="360"/>
        <w:rPr>
          <w:rtl/>
          <w:lang w:bidi="ar-EG"/>
        </w:rPr>
      </w:pPr>
      <w:r>
        <w:rPr>
          <w:spacing w:val="-2"/>
          <w:lang w:bidi="ar-EG"/>
        </w:rPr>
        <w:t>2</w:t>
      </w:r>
      <w:r w:rsidRPr="00C86D28">
        <w:rPr>
          <w:rtl/>
          <w:lang w:bidi="ar-EG"/>
        </w:rPr>
        <w:tab/>
      </w:r>
      <w:r w:rsidRPr="004C4B0C">
        <w:rPr>
          <w:rFonts w:hint="cs"/>
          <w:rtl/>
          <w:lang w:bidi="ar-EG"/>
        </w:rPr>
        <w:t>أنه يجب التأكد عند نشر محطات قاعدة للاتصالات المتنقلة الدولية خارج المباني من أن كل هوائي لا</w:t>
      </w:r>
      <w:r w:rsidR="003D586C">
        <w:rPr>
          <w:rFonts w:hint="eastAsia"/>
          <w:rtl/>
          <w:lang w:bidi="ar-EG"/>
        </w:rPr>
        <w:t> </w:t>
      </w:r>
      <w:r w:rsidRPr="004C4B0C">
        <w:rPr>
          <w:rFonts w:hint="cs"/>
          <w:rtl/>
          <w:lang w:bidi="ar-EG"/>
        </w:rPr>
        <w:t>يرسل في</w:t>
      </w:r>
      <w:r w:rsidR="009871A4" w:rsidRPr="004C4B0C">
        <w:rPr>
          <w:rFonts w:hint="eastAsia"/>
          <w:rtl/>
          <w:lang w:bidi="ar-EG"/>
        </w:rPr>
        <w:t> </w:t>
      </w:r>
      <w:r w:rsidRPr="004C4B0C">
        <w:rPr>
          <w:rFonts w:hint="cs"/>
          <w:rtl/>
          <w:lang w:bidi="ar-EG"/>
        </w:rPr>
        <w:t>العادة</w:t>
      </w:r>
      <w:r w:rsidR="009871A4" w:rsidRPr="004C4B0C">
        <w:rPr>
          <w:rStyle w:val="FootnoteReference"/>
          <w:rtl/>
          <w:lang w:bidi="ar-EG"/>
        </w:rPr>
        <w:footnoteReference w:customMarkFollows="1" w:id="1"/>
        <w:t>*</w:t>
      </w:r>
      <w:r w:rsidRPr="004C4B0C">
        <w:rPr>
          <w:rFonts w:hint="cs"/>
          <w:rtl/>
          <w:lang w:bidi="ar-EG"/>
        </w:rPr>
        <w:t xml:space="preserve"> إلا عندما تسدد الحزمة الرئيسية تحت الأفق فيما عدا عندما تكون المحطة القاعدة للاستقبال فقط</w:t>
      </w:r>
      <w:r w:rsidR="004C4B0C">
        <w:rPr>
          <w:rFonts w:hint="cs"/>
          <w:rtl/>
          <w:lang w:bidi="ar-EG"/>
        </w:rPr>
        <w:t>.</w:t>
      </w:r>
    </w:p>
    <w:p w14:paraId="5E9E4A06" w14:textId="07415BDB" w:rsidR="001D220A" w:rsidRDefault="00BE3D34" w:rsidP="001D220A">
      <w:pPr>
        <w:pStyle w:val="Call"/>
        <w:rPr>
          <w:rtl/>
          <w:lang w:val="fr-CH" w:bidi="ar-EG"/>
        </w:rPr>
      </w:pPr>
      <w:r w:rsidRPr="00C86D28">
        <w:rPr>
          <w:rFonts w:hint="cs"/>
          <w:rtl/>
          <w:lang w:val="fr-CH" w:bidi="ar-EG"/>
        </w:rPr>
        <w:t xml:space="preserve">يدعو </w:t>
      </w:r>
      <w:r w:rsidR="009871A4">
        <w:rPr>
          <w:rFonts w:hint="cs"/>
          <w:rtl/>
          <w:lang w:val="fr-CH" w:bidi="ar-EG"/>
        </w:rPr>
        <w:t>قطاع الاتصالات الراديوية</w:t>
      </w:r>
    </w:p>
    <w:p w14:paraId="716DA1AB" w14:textId="70A42CAD" w:rsidR="009871A4" w:rsidRPr="009871A4" w:rsidRDefault="009871A4" w:rsidP="009871A4">
      <w:pPr>
        <w:rPr>
          <w:rFonts w:hint="cs"/>
          <w:rtl/>
          <w:lang w:val="fr-CH" w:bidi="ar-EG"/>
        </w:rPr>
      </w:pPr>
      <w:r>
        <w:rPr>
          <w:rFonts w:hint="cs"/>
          <w:rtl/>
          <w:lang w:val="fr-CH" w:bidi="ar-EG"/>
        </w:rPr>
        <w:t>...</w:t>
      </w:r>
    </w:p>
    <w:p w14:paraId="6BA35C81" w14:textId="6F1A6B03" w:rsidR="009871A4" w:rsidRDefault="009871A4" w:rsidP="002843B6">
      <w:r>
        <w:t>2</w:t>
      </w:r>
      <w:r>
        <w:tab/>
      </w:r>
      <w:r w:rsidRPr="00C86D28">
        <w:rPr>
          <w:rFonts w:hint="cs"/>
          <w:rtl/>
          <w:lang w:bidi="ar-EG"/>
        </w:rPr>
        <w:t xml:space="preserve">إلى وضع </w:t>
      </w:r>
      <w:r w:rsidRPr="00C86D28">
        <w:rPr>
          <w:rFonts w:hint="eastAsia"/>
          <w:rtl/>
          <w:lang w:bidi="ar-EG"/>
        </w:rPr>
        <w:t>توصيات</w:t>
      </w:r>
      <w:r w:rsidRPr="00C86D28">
        <w:rPr>
          <w:rFonts w:hint="cs"/>
          <w:rtl/>
          <w:lang w:bidi="ar-EG"/>
        </w:rPr>
        <w:t xml:space="preserve"> </w:t>
      </w:r>
      <w:r w:rsidRPr="00C86D28">
        <w:rPr>
          <w:lang w:bidi="ar-EG"/>
        </w:rPr>
        <w:t>ITU</w:t>
      </w:r>
      <w:r w:rsidRPr="00C86D28">
        <w:rPr>
          <w:lang w:bidi="ar-EG"/>
        </w:rPr>
        <w:noBreakHyphen/>
        <w:t>R</w:t>
      </w:r>
      <w:r w:rsidRPr="00C86D28">
        <w:rPr>
          <w:rFonts w:hint="eastAsia"/>
          <w:rtl/>
          <w:lang w:bidi="ar-EG"/>
        </w:rPr>
        <w:t>،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حسب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الاقتضاء،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لتوفير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المعلومات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عن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تدابير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التنسيق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والحماية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المحتملة</w:t>
      </w:r>
      <w:r w:rsidRPr="00C86D28">
        <w:rPr>
          <w:rtl/>
          <w:lang w:bidi="ar-EG"/>
        </w:rPr>
        <w:t xml:space="preserve"> </w:t>
      </w:r>
      <w:r w:rsidRPr="00C86D28">
        <w:rPr>
          <w:rFonts w:hint="cs"/>
          <w:rtl/>
          <w:lang w:bidi="ar-EG"/>
        </w:rPr>
        <w:t>ل</w:t>
      </w:r>
      <w:r w:rsidRPr="00C86D28">
        <w:rPr>
          <w:rFonts w:hint="eastAsia"/>
          <w:rtl/>
          <w:lang w:bidi="ar-EG"/>
        </w:rPr>
        <w:t>لمحطات</w:t>
      </w:r>
      <w:r w:rsidRPr="00C86D28">
        <w:rPr>
          <w:rtl/>
          <w:lang w:bidi="ar-EG"/>
        </w:rPr>
        <w:t xml:space="preserve"> </w:t>
      </w:r>
      <w:r w:rsidRPr="00C86D28">
        <w:rPr>
          <w:rFonts w:hint="cs"/>
          <w:rtl/>
          <w:lang w:bidi="ar-EG"/>
        </w:rPr>
        <w:t xml:space="preserve">الأرضية الحالية والمستقبلية </w:t>
      </w:r>
      <w:r w:rsidR="002843B6">
        <w:rPr>
          <w:rFonts w:hint="cs"/>
          <w:rtl/>
        </w:rPr>
        <w:t>لخدمة الأبحاث الفضائية</w:t>
      </w:r>
      <w:r w:rsidRPr="00C86D28">
        <w:rPr>
          <w:rtl/>
          <w:lang w:bidi="ar-EG"/>
        </w:rPr>
        <w:t xml:space="preserve"> </w:t>
      </w:r>
      <w:r w:rsidRPr="00C86D28">
        <w:rPr>
          <w:rFonts w:hint="cs"/>
          <w:rtl/>
          <w:lang w:bidi="ar-EG"/>
        </w:rPr>
        <w:t xml:space="preserve">العاملة </w:t>
      </w:r>
      <w:r w:rsidRPr="00C86D28">
        <w:rPr>
          <w:rFonts w:hint="eastAsia"/>
          <w:rtl/>
          <w:lang w:bidi="ar-EG"/>
        </w:rPr>
        <w:t>في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نطاق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التردد </w:t>
      </w:r>
      <w:r w:rsidRPr="00C86D28">
        <w:rPr>
          <w:lang w:bidi="ar-EG"/>
        </w:rPr>
        <w:t>GHz 38-37</w:t>
      </w:r>
      <w:r w:rsidRPr="00C86D28">
        <w:rPr>
          <w:rFonts w:hint="eastAsia"/>
          <w:rtl/>
          <w:lang w:bidi="ar-EG"/>
        </w:rPr>
        <w:t>؛</w:t>
      </w:r>
    </w:p>
    <w:p w14:paraId="2EFA4CB4" w14:textId="2BFACC2E" w:rsidR="001D220A" w:rsidRPr="00C86D28" w:rsidRDefault="009871A4" w:rsidP="0001163D">
      <w:pPr>
        <w:rPr>
          <w:rtl/>
          <w:lang w:bidi="ar-EG"/>
        </w:rPr>
      </w:pPr>
      <w:r>
        <w:rPr>
          <w:lang w:bidi="ar-EG"/>
        </w:rPr>
        <w:t>3</w:t>
      </w:r>
      <w:r w:rsidR="00BE3D34" w:rsidRPr="00C86D28">
        <w:rPr>
          <w:lang w:bidi="ar-EG"/>
        </w:rPr>
        <w:tab/>
      </w:r>
      <w:r w:rsidR="0001163D">
        <w:rPr>
          <w:rtl/>
          <w:lang w:bidi="ar-EG"/>
        </w:rPr>
        <w:t>إلى أن يقوم</w:t>
      </w:r>
      <w:r w:rsidR="0001163D">
        <w:rPr>
          <w:rFonts w:hint="cs"/>
          <w:rtl/>
        </w:rPr>
        <w:t xml:space="preserve"> بانتظام</w:t>
      </w:r>
      <w:r w:rsidR="002843B6">
        <w:rPr>
          <w:rFonts w:hint="cs"/>
          <w:rtl/>
          <w:lang w:bidi="ar-EG"/>
        </w:rPr>
        <w:t xml:space="preserve"> باستعراض</w:t>
      </w:r>
      <w:r w:rsidR="00BE3D34" w:rsidRPr="004C4B0C">
        <w:rPr>
          <w:rtl/>
          <w:lang w:bidi="ar-EG"/>
        </w:rPr>
        <w:t xml:space="preserve"> </w:t>
      </w:r>
      <w:r w:rsidR="00BE3D34" w:rsidRPr="004C4B0C">
        <w:rPr>
          <w:rFonts w:hint="cs"/>
          <w:rtl/>
          <w:lang w:bidi="ar-SY"/>
        </w:rPr>
        <w:t>تأثير تطور</w:t>
      </w:r>
      <w:r w:rsidR="00BE3D34" w:rsidRPr="004C4B0C">
        <w:rPr>
          <w:rtl/>
          <w:lang w:bidi="ar-EG"/>
        </w:rPr>
        <w:t xml:space="preserve"> الخصائص</w:t>
      </w:r>
      <w:r w:rsidR="00BE3D34" w:rsidRPr="00C86D28">
        <w:rPr>
          <w:rtl/>
          <w:lang w:bidi="ar-EG"/>
        </w:rPr>
        <w:t xml:space="preserve"> التقنية والتشغيلية للاتصالات </w:t>
      </w:r>
      <w:r w:rsidR="00BE3D34" w:rsidRPr="00C86D28">
        <w:rPr>
          <w:lang w:bidi="ar-EG"/>
        </w:rPr>
        <w:t>IMT</w:t>
      </w:r>
      <w:r w:rsidR="00BE3D34" w:rsidRPr="00C86D28">
        <w:rPr>
          <w:rtl/>
          <w:lang w:bidi="ar-EG"/>
        </w:rPr>
        <w:t xml:space="preserve"> (بما في ذلك، النشر وكثافة محطات القاعدة</w:t>
      </w:r>
      <w:r>
        <w:rPr>
          <w:rFonts w:hint="cs"/>
          <w:rtl/>
          <w:lang w:bidi="ar-EG"/>
        </w:rPr>
        <w:t xml:space="preserve"> </w:t>
      </w:r>
      <w:r w:rsidR="004C4B0C">
        <w:rPr>
          <w:rFonts w:hint="cs"/>
          <w:rtl/>
          <w:lang w:bidi="ar-EG"/>
        </w:rPr>
        <w:t xml:space="preserve">مع مراعاة المعلمات الأساسية المُشار إليها أعلاه في الفقرة </w:t>
      </w:r>
      <w:r w:rsidR="004C4B0C" w:rsidRPr="004C4B0C">
        <w:rPr>
          <w:rFonts w:hint="cs"/>
          <w:i/>
          <w:iCs/>
          <w:rtl/>
          <w:lang w:bidi="ar-EG"/>
        </w:rPr>
        <w:t>و)</w:t>
      </w:r>
      <w:r w:rsidR="004C4B0C">
        <w:rPr>
          <w:rFonts w:hint="cs"/>
          <w:rtl/>
          <w:lang w:bidi="ar-EG"/>
        </w:rPr>
        <w:t xml:space="preserve"> من </w:t>
      </w:r>
      <w:r w:rsidR="004C4B0C" w:rsidRPr="00FB55ED">
        <w:rPr>
          <w:rFonts w:hint="cs"/>
          <w:i/>
          <w:iCs/>
          <w:rtl/>
          <w:lang w:bidi="ar-EG"/>
        </w:rPr>
        <w:t>و</w:t>
      </w:r>
      <w:r w:rsidR="004C4B0C" w:rsidRPr="004C4B0C">
        <w:rPr>
          <w:rFonts w:hint="cs"/>
          <w:i/>
          <w:iCs/>
          <w:rtl/>
          <w:lang w:bidi="ar-EG"/>
        </w:rPr>
        <w:t>إذ يدرك</w:t>
      </w:r>
      <w:r w:rsidR="00BE3D34" w:rsidRPr="00C86D28">
        <w:rPr>
          <w:rtl/>
          <w:lang w:bidi="ar-EG"/>
        </w:rPr>
        <w:t xml:space="preserve">)، على </w:t>
      </w:r>
      <w:r w:rsidR="00BE3D34">
        <w:rPr>
          <w:rFonts w:hint="cs"/>
          <w:rtl/>
          <w:lang w:bidi="ar-EG"/>
        </w:rPr>
        <w:t>التقاسم</w:t>
      </w:r>
      <w:r w:rsidR="00BE3D34" w:rsidRPr="00C86D28">
        <w:rPr>
          <w:rtl/>
          <w:lang w:bidi="ar-EG"/>
        </w:rPr>
        <w:t xml:space="preserve"> والتوافق مع الخدمات الأخرى</w:t>
      </w:r>
      <w:r w:rsidR="00BE3D34" w:rsidRPr="00C86D28">
        <w:rPr>
          <w:rFonts w:hint="cs"/>
          <w:rtl/>
          <w:lang w:bidi="ar-EG"/>
        </w:rPr>
        <w:t xml:space="preserve"> (ك</w:t>
      </w:r>
      <w:r w:rsidR="00BE3D34" w:rsidRPr="00C86D28">
        <w:rPr>
          <w:rtl/>
          <w:lang w:bidi="ar-EG"/>
        </w:rPr>
        <w:t>الخدمات الفضائية</w:t>
      </w:r>
      <w:r w:rsidR="00BE3D34" w:rsidRPr="00C86D28">
        <w:rPr>
          <w:rFonts w:hint="cs"/>
          <w:rtl/>
          <w:lang w:bidi="ar-EG"/>
        </w:rPr>
        <w:t xml:space="preserve"> مثلاً)</w:t>
      </w:r>
      <w:r w:rsidR="002843B6">
        <w:rPr>
          <w:rtl/>
          <w:lang w:bidi="ar-EG"/>
        </w:rPr>
        <w:t xml:space="preserve"> الناجم عن عمليات النشر هذه</w:t>
      </w:r>
      <w:r w:rsidR="002843B6">
        <w:rPr>
          <w:rFonts w:hint="cs"/>
          <w:rtl/>
          <w:lang w:bidi="ar-EG"/>
        </w:rPr>
        <w:t>،</w:t>
      </w:r>
      <w:r w:rsidR="00BE3D34" w:rsidRPr="00C86D28">
        <w:rPr>
          <w:rtl/>
          <w:lang w:bidi="ar-EG"/>
        </w:rPr>
        <w:t xml:space="preserve"> </w:t>
      </w:r>
      <w:r w:rsidR="002843B6">
        <w:rPr>
          <w:rFonts w:hint="cs"/>
          <w:rtl/>
          <w:lang w:bidi="ar-EG"/>
        </w:rPr>
        <w:t>و</w:t>
      </w:r>
      <w:r w:rsidR="00BE3D34" w:rsidRPr="00C86D28">
        <w:rPr>
          <w:rFonts w:hint="cs"/>
          <w:rtl/>
          <w:lang w:bidi="ar-EG"/>
        </w:rPr>
        <w:t>أن يراعي</w:t>
      </w:r>
      <w:r w:rsidR="002843B6">
        <w:rPr>
          <w:rtl/>
          <w:lang w:bidi="ar-EG"/>
        </w:rPr>
        <w:t>، حسب الضرورة،</w:t>
      </w:r>
      <w:r w:rsidR="00BE3D34" w:rsidRPr="00C86D28">
        <w:rPr>
          <w:rtl/>
          <w:lang w:bidi="ar-EG"/>
        </w:rPr>
        <w:t xml:space="preserve"> نتائج هذه </w:t>
      </w:r>
      <w:r w:rsidR="00BE3D34" w:rsidRPr="00C86D28">
        <w:rPr>
          <w:rFonts w:hint="cs"/>
          <w:rtl/>
          <w:lang w:bidi="ar-EG"/>
        </w:rPr>
        <w:t>الاستعراضات</w:t>
      </w:r>
      <w:r w:rsidR="00BE3D34" w:rsidRPr="00C86D28">
        <w:rPr>
          <w:rtl/>
          <w:lang w:bidi="ar-EG"/>
        </w:rPr>
        <w:t xml:space="preserve"> في</w:t>
      </w:r>
      <w:r w:rsidR="002843B6">
        <w:rPr>
          <w:rFonts w:hint="cs"/>
          <w:rtl/>
          <w:lang w:bidi="ar-EG"/>
        </w:rPr>
        <w:t> </w:t>
      </w:r>
      <w:r w:rsidR="00BE3D34" w:rsidRPr="00C86D28">
        <w:rPr>
          <w:rtl/>
          <w:lang w:bidi="ar-EG"/>
        </w:rPr>
        <w:t xml:space="preserve">إعداد أو </w:t>
      </w:r>
      <w:r w:rsidR="00BE3D34" w:rsidRPr="00C86D28">
        <w:rPr>
          <w:rFonts w:hint="cs"/>
          <w:rtl/>
          <w:lang w:bidi="ar-EG"/>
        </w:rPr>
        <w:t>مراجعة</w:t>
      </w:r>
      <w:r w:rsidR="00BE3D34" w:rsidRPr="00C86D28">
        <w:rPr>
          <w:rtl/>
          <w:lang w:bidi="ar-EG"/>
        </w:rPr>
        <w:t xml:space="preserve"> ت</w:t>
      </w:r>
      <w:bookmarkStart w:id="1" w:name="_GoBack"/>
      <w:bookmarkEnd w:id="1"/>
      <w:r w:rsidR="00BE3D34" w:rsidRPr="00C86D28">
        <w:rPr>
          <w:rtl/>
          <w:lang w:bidi="ar-EG"/>
        </w:rPr>
        <w:t xml:space="preserve">وصيات/تقارير قطاع الاتصالات الراديوية، </w:t>
      </w:r>
      <w:r w:rsidR="00BE3D34" w:rsidRPr="00C86D28">
        <w:rPr>
          <w:rFonts w:hint="cs"/>
          <w:rtl/>
          <w:lang w:bidi="ar-EG"/>
        </w:rPr>
        <w:t>بشأن</w:t>
      </w:r>
      <w:r w:rsidR="00BE3D34" w:rsidRPr="00C86D28">
        <w:rPr>
          <w:rtl/>
          <w:lang w:bidi="ar-EG"/>
        </w:rPr>
        <w:t xml:space="preserve"> خصائص الاتصالات ا</w:t>
      </w:r>
      <w:r w:rsidR="00BE3D34">
        <w:rPr>
          <w:rtl/>
          <w:lang w:bidi="ar-EG"/>
        </w:rPr>
        <w:t>لمتنقلة الدولية على سبيل المثال</w:t>
      </w:r>
      <w:r>
        <w:rPr>
          <w:rFonts w:hint="cs"/>
          <w:rtl/>
          <w:lang w:bidi="ar-EG"/>
        </w:rPr>
        <w:t>؛</w:t>
      </w:r>
    </w:p>
    <w:p w14:paraId="027B7CFE" w14:textId="08B5D7F0" w:rsidR="00666E7C" w:rsidRPr="00BE3245" w:rsidRDefault="00BE3D34" w:rsidP="002979B4">
      <w:pPr>
        <w:pStyle w:val="Reasons"/>
        <w:rPr>
          <w:rFonts w:ascii="Times New Roman" w:hAnsi="Times New Roman"/>
          <w:b w:val="0"/>
          <w:bCs w:val="0"/>
          <w:lang w:bidi="ar-EG"/>
        </w:rPr>
      </w:pPr>
      <w:r>
        <w:rPr>
          <w:rtl/>
        </w:rPr>
        <w:t>الأسباب:</w:t>
      </w:r>
      <w:r>
        <w:tab/>
      </w:r>
      <w:r w:rsidR="00AA3324">
        <w:rPr>
          <w:rFonts w:ascii="Times New Roman" w:hAnsi="Times New Roman" w:hint="cs"/>
          <w:b w:val="0"/>
          <w:bCs w:val="0"/>
          <w:rtl/>
          <w:lang w:val="fr-CH" w:bidi="ar-SY"/>
        </w:rPr>
        <w:t>تؤيد اليابان تحديد</w:t>
      </w:r>
      <w:r w:rsidR="009871A4" w:rsidRPr="002D2E99">
        <w:rPr>
          <w:rFonts w:ascii="Times New Roman" w:hAnsi="Times New Roman" w:hint="cs"/>
          <w:b w:val="0"/>
          <w:bCs w:val="0"/>
          <w:rtl/>
          <w:lang w:bidi="ar-EG"/>
        </w:rPr>
        <w:t xml:space="preserve"> نطاق التردد </w:t>
      </w:r>
      <w:r w:rsidR="009871A4" w:rsidRPr="002D2E99">
        <w:rPr>
          <w:rFonts w:ascii="Times New Roman" w:hAnsi="Times New Roman"/>
          <w:b w:val="0"/>
          <w:bCs w:val="0"/>
          <w:lang w:bidi="ar-EG"/>
        </w:rPr>
        <w:t>GHz 43</w:t>
      </w:r>
      <w:r w:rsidR="002843B6">
        <w:rPr>
          <w:rFonts w:ascii="Times New Roman" w:hAnsi="Times New Roman"/>
          <w:b w:val="0"/>
          <w:bCs w:val="0"/>
          <w:lang w:bidi="ar-EG"/>
        </w:rPr>
        <w:t>,</w:t>
      </w:r>
      <w:r w:rsidR="009871A4" w:rsidRPr="002D2E99">
        <w:rPr>
          <w:rFonts w:ascii="Times New Roman" w:hAnsi="Times New Roman"/>
          <w:b w:val="0"/>
          <w:bCs w:val="0"/>
          <w:lang w:bidi="ar-EG"/>
        </w:rPr>
        <w:t>5-37</w:t>
      </w:r>
      <w:r w:rsidR="009871A4" w:rsidRPr="002D2E99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AA3324">
        <w:rPr>
          <w:rFonts w:ascii="Times New Roman" w:hAnsi="Times New Roman" w:hint="cs"/>
          <w:b w:val="0"/>
          <w:bCs w:val="0"/>
          <w:rtl/>
          <w:lang w:bidi="ar-EG"/>
        </w:rPr>
        <w:t xml:space="preserve">للاتصالات المتنقلة الدولية إضافة إلى الشروط المبينة أعلاه في القرار الجديد </w:t>
      </w:r>
      <w:r w:rsidR="002843B6">
        <w:rPr>
          <w:rFonts w:ascii="Times New Roman" w:hAnsi="Times New Roman" w:hint="cs"/>
          <w:b w:val="0"/>
          <w:bCs w:val="0"/>
          <w:rtl/>
        </w:rPr>
        <w:t xml:space="preserve">الوارد أعلاه </w:t>
      </w:r>
      <w:r w:rsidR="00AA3324">
        <w:rPr>
          <w:rFonts w:ascii="Times New Roman" w:hAnsi="Times New Roman" w:hint="cs"/>
          <w:b w:val="0"/>
          <w:bCs w:val="0"/>
          <w:rtl/>
          <w:lang w:bidi="ar-EG"/>
        </w:rPr>
        <w:t xml:space="preserve">للمؤتمر العالمي للاتصالات الراديوية. وفيما يتعلق </w:t>
      </w:r>
      <w:r w:rsidR="008F4367">
        <w:rPr>
          <w:rFonts w:ascii="Times New Roman" w:hAnsi="Times New Roman" w:hint="cs"/>
          <w:b w:val="0"/>
          <w:bCs w:val="0"/>
          <w:rtl/>
          <w:lang w:bidi="ar-EG"/>
        </w:rPr>
        <w:t>بتدابير حماية خدمة استكشاف الأرض الساتلية (المنفعلة) في</w:t>
      </w:r>
      <w:r w:rsidR="002979B4">
        <w:rPr>
          <w:rFonts w:ascii="Times New Roman" w:hAnsi="Times New Roman" w:hint="eastAsia"/>
          <w:b w:val="0"/>
          <w:bCs w:val="0"/>
          <w:rtl/>
          <w:lang w:bidi="ar-EG"/>
        </w:rPr>
        <w:t> </w:t>
      </w:r>
      <w:r w:rsidR="008F4367">
        <w:rPr>
          <w:rFonts w:ascii="Times New Roman" w:hAnsi="Times New Roman" w:hint="cs"/>
          <w:b w:val="0"/>
          <w:bCs w:val="0"/>
          <w:rtl/>
          <w:lang w:bidi="ar-EG"/>
        </w:rPr>
        <w:t>نطاق التردد</w:t>
      </w:r>
      <w:r w:rsidR="009871A4" w:rsidRPr="002D2E99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9871A4" w:rsidRPr="002D2E99">
        <w:rPr>
          <w:rFonts w:ascii="Times New Roman" w:hAnsi="Times New Roman"/>
          <w:b w:val="0"/>
          <w:bCs w:val="0"/>
          <w:lang w:bidi="ar-EG"/>
        </w:rPr>
        <w:t>GHz 37-36</w:t>
      </w:r>
      <w:r w:rsidR="008F4367">
        <w:rPr>
          <w:rFonts w:ascii="Times New Roman" w:hAnsi="Times New Roman" w:hint="cs"/>
          <w:b w:val="0"/>
          <w:bCs w:val="0"/>
          <w:rtl/>
          <w:lang w:bidi="ar-EG"/>
        </w:rPr>
        <w:t xml:space="preserve">، </w:t>
      </w:r>
      <w:r w:rsidR="002843B6">
        <w:rPr>
          <w:rFonts w:ascii="Times New Roman" w:hAnsi="Times New Roman" w:hint="cs"/>
          <w:b w:val="0"/>
          <w:bCs w:val="0"/>
          <w:rtl/>
          <w:lang w:bidi="ar-EG"/>
        </w:rPr>
        <w:t>ت</w:t>
      </w:r>
      <w:r w:rsidR="006A7309" w:rsidRPr="006A7309">
        <w:rPr>
          <w:rFonts w:ascii="Times New Roman" w:hAnsi="Times New Roman" w:hint="cs"/>
          <w:b w:val="0"/>
          <w:bCs w:val="0"/>
          <w:rtl/>
          <w:lang w:bidi="ar-EG"/>
        </w:rPr>
        <w:t>بحث</w:t>
      </w:r>
      <w:r w:rsidR="008F4367" w:rsidRPr="006A7309">
        <w:rPr>
          <w:rFonts w:ascii="Times New Roman" w:hAnsi="Times New Roman" w:hint="cs"/>
          <w:b w:val="0"/>
          <w:bCs w:val="0"/>
          <w:rtl/>
          <w:lang w:bidi="ar-EG"/>
        </w:rPr>
        <w:t xml:space="preserve"> اليابان </w:t>
      </w:r>
      <w:r w:rsidR="006A7309" w:rsidRPr="006A7309">
        <w:rPr>
          <w:rFonts w:ascii="Times New Roman" w:hAnsi="Times New Roman" w:hint="cs"/>
          <w:b w:val="0"/>
          <w:bCs w:val="0"/>
          <w:rtl/>
          <w:lang w:bidi="ar-EG"/>
        </w:rPr>
        <w:t xml:space="preserve">في اختيار الخيار </w:t>
      </w:r>
      <w:r w:rsidR="006A7309" w:rsidRPr="006A7309">
        <w:rPr>
          <w:rFonts w:ascii="Times New Roman" w:hAnsi="Times New Roman"/>
          <w:b w:val="0"/>
          <w:bCs w:val="0"/>
          <w:lang w:bidi="ar-EG"/>
        </w:rPr>
        <w:t>1</w:t>
      </w:r>
      <w:r w:rsidR="006A7309" w:rsidRPr="006A7309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في إطار الشرط </w:t>
      </w:r>
      <w:r w:rsidR="006A7309" w:rsidRPr="006A7309">
        <w:rPr>
          <w:rFonts w:ascii="Times New Roman" w:hAnsi="Times New Roman"/>
          <w:b w:val="0"/>
          <w:bCs w:val="0"/>
          <w:lang w:bidi="ar-SY"/>
        </w:rPr>
        <w:t>C2a</w:t>
      </w:r>
      <w:r w:rsidR="006A7309" w:rsidRPr="006A7309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</w:t>
      </w:r>
      <w:r w:rsidR="00223109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الوارد </w:t>
      </w:r>
      <w:r w:rsidR="006A7309" w:rsidRPr="006A7309">
        <w:rPr>
          <w:rFonts w:ascii="Times New Roman" w:hAnsi="Times New Roman" w:hint="cs"/>
          <w:b w:val="0"/>
          <w:bCs w:val="0"/>
          <w:rtl/>
          <w:lang w:val="fr-CH" w:bidi="ar-SY"/>
        </w:rPr>
        <w:t>في تقرير الاجتماع التحضيري للمؤتمر</w:t>
      </w:r>
      <w:r w:rsidR="006A7309" w:rsidRPr="006A7309">
        <w:rPr>
          <w:rFonts w:ascii="Times New Roman" w:hAnsi="Times New Roman" w:hint="cs"/>
          <w:b w:val="0"/>
          <w:bCs w:val="0"/>
          <w:rtl/>
          <w:lang w:bidi="ar-EG"/>
        </w:rPr>
        <w:t xml:space="preserve">. وفيما يتعلق بالقيم التي ستحدد لاحقاً في الجدول </w:t>
      </w:r>
      <w:r w:rsidR="006A7309" w:rsidRPr="006A7309">
        <w:rPr>
          <w:rFonts w:ascii="Times New Roman" w:hAnsi="Times New Roman"/>
          <w:b w:val="0"/>
          <w:bCs w:val="0"/>
          <w:lang w:bidi="ar-EG"/>
        </w:rPr>
        <w:t>2</w:t>
      </w:r>
      <w:r w:rsidR="006A7309" w:rsidRPr="006A7309">
        <w:rPr>
          <w:rFonts w:ascii="Times New Roman" w:hAnsi="Times New Roman" w:hint="cs"/>
          <w:b w:val="0"/>
          <w:bCs w:val="0"/>
          <w:rtl/>
          <w:lang w:val="fr-CH" w:bidi="ar-SY"/>
        </w:rPr>
        <w:t>، تدرس اليابان اختيار قيمة تتراوح ما بين</w:t>
      </w:r>
      <w:r w:rsidR="009871A4" w:rsidRPr="006A7309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9871A4" w:rsidRPr="006A7309">
        <w:rPr>
          <w:rFonts w:ascii="Times New Roman" w:hAnsi="Times New Roman"/>
          <w:b w:val="0"/>
          <w:bCs w:val="0"/>
          <w:lang w:val="en-GB" w:bidi="ar-EG"/>
        </w:rPr>
        <w:t>47</w:t>
      </w:r>
      <w:r w:rsidR="009871A4" w:rsidRPr="006A7309">
        <w:rPr>
          <w:rFonts w:ascii="Times New Roman" w:hAnsi="Times New Roman"/>
          <w:b w:val="0"/>
          <w:bCs w:val="0"/>
          <w:lang w:bidi="ar-EG"/>
        </w:rPr>
        <w:t>–</w:t>
      </w:r>
      <w:r w:rsidR="006A7309" w:rsidRPr="006A7309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و</w:t>
      </w:r>
      <w:proofErr w:type="gramStart"/>
      <w:r w:rsidR="002979B4">
        <w:rPr>
          <w:rFonts w:ascii="Times New Roman" w:hAnsi="Times New Roman"/>
          <w:b w:val="0"/>
          <w:bCs w:val="0"/>
          <w:lang w:bidi="ar-EG"/>
        </w:rPr>
        <w:t>dB</w:t>
      </w:r>
      <w:r w:rsidR="009871A4" w:rsidRPr="006A7309">
        <w:rPr>
          <w:rFonts w:ascii="Times New Roman" w:hAnsi="Times New Roman"/>
          <w:b w:val="0"/>
          <w:bCs w:val="0"/>
          <w:lang w:val="en-GB" w:bidi="ar-EG"/>
        </w:rPr>
        <w:t>(</w:t>
      </w:r>
      <w:proofErr w:type="gramEnd"/>
      <w:r w:rsidR="009871A4" w:rsidRPr="006A7309">
        <w:rPr>
          <w:rFonts w:ascii="Times New Roman" w:hAnsi="Times New Roman"/>
          <w:b w:val="0"/>
          <w:bCs w:val="0"/>
          <w:lang w:val="en-GB" w:bidi="ar-EG"/>
        </w:rPr>
        <w:t>W/100 MHz)</w:t>
      </w:r>
      <w:r w:rsidR="009871A4" w:rsidRPr="006A7309">
        <w:rPr>
          <w:rFonts w:ascii="Times New Roman" w:hAnsi="Times New Roman"/>
          <w:b w:val="0"/>
          <w:bCs w:val="0"/>
          <w:lang w:bidi="ar-EG"/>
        </w:rPr>
        <w:t> </w:t>
      </w:r>
      <w:r w:rsidR="009871A4" w:rsidRPr="006A7309">
        <w:rPr>
          <w:rFonts w:ascii="Times New Roman" w:hAnsi="Times New Roman"/>
          <w:b w:val="0"/>
          <w:bCs w:val="0"/>
          <w:lang w:val="en-GB" w:bidi="ar-EG"/>
        </w:rPr>
        <w:t>33–</w:t>
      </w:r>
      <w:r w:rsidR="009871A4" w:rsidRPr="006A7309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</w:t>
      </w:r>
      <w:r w:rsidR="006A7309" w:rsidRPr="006A7309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بالنسبة </w:t>
      </w:r>
      <w:r w:rsidR="0001163D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للمحطات القاعدة </w:t>
      </w:r>
      <w:r w:rsidR="006A7309" w:rsidRPr="006A7309">
        <w:rPr>
          <w:rFonts w:ascii="Times New Roman" w:hAnsi="Times New Roman" w:hint="cs"/>
          <w:b w:val="0"/>
          <w:bCs w:val="0"/>
          <w:rtl/>
          <w:lang w:val="en-GB" w:bidi="ar-EG"/>
        </w:rPr>
        <w:t>للاتصالات المتنقلة الدولية</w:t>
      </w:r>
      <w:r w:rsidR="009871A4" w:rsidRPr="006A7309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</w:t>
      </w:r>
      <w:r w:rsidR="006A7309" w:rsidRPr="006A7309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وما بين </w:t>
      </w:r>
      <w:r w:rsidR="009871A4" w:rsidRPr="006A7309">
        <w:rPr>
          <w:rFonts w:ascii="Times New Roman" w:hAnsi="Times New Roman"/>
          <w:b w:val="0"/>
          <w:bCs w:val="0"/>
          <w:lang w:val="en-GB" w:bidi="ar-EG"/>
        </w:rPr>
        <w:t>46</w:t>
      </w:r>
      <w:r w:rsidR="009871A4" w:rsidRPr="006A7309">
        <w:rPr>
          <w:rFonts w:ascii="Times New Roman" w:hAnsi="Times New Roman"/>
          <w:b w:val="0"/>
          <w:bCs w:val="0"/>
          <w:lang w:bidi="ar-EG"/>
        </w:rPr>
        <w:t>–</w:t>
      </w:r>
      <w:r w:rsidR="009871A4" w:rsidRPr="006A7309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</w:t>
      </w:r>
      <w:r w:rsidR="006A7309" w:rsidRPr="006A7309">
        <w:rPr>
          <w:rFonts w:ascii="Times New Roman" w:hAnsi="Times New Roman" w:hint="cs"/>
          <w:b w:val="0"/>
          <w:bCs w:val="0"/>
          <w:rtl/>
          <w:lang w:val="en-GB" w:bidi="ar-EG"/>
        </w:rPr>
        <w:t>و</w:t>
      </w:r>
      <w:r w:rsidR="009871A4" w:rsidRPr="006A7309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</w:t>
      </w:r>
      <w:r w:rsidR="002979B4">
        <w:rPr>
          <w:rFonts w:ascii="Times New Roman" w:hAnsi="Times New Roman"/>
          <w:b w:val="0"/>
          <w:bCs w:val="0"/>
          <w:lang w:val="en-GB" w:bidi="ar-EG"/>
        </w:rPr>
        <w:t>dB</w:t>
      </w:r>
      <w:r w:rsidR="009871A4" w:rsidRPr="006A7309">
        <w:rPr>
          <w:rFonts w:ascii="Times New Roman" w:hAnsi="Times New Roman"/>
          <w:b w:val="0"/>
          <w:bCs w:val="0"/>
          <w:lang w:val="en-GB" w:bidi="ar-EG"/>
        </w:rPr>
        <w:t>(W/100 MHz)</w:t>
      </w:r>
      <w:r w:rsidR="006A7309" w:rsidRPr="006A7309">
        <w:rPr>
          <w:rFonts w:ascii="Times New Roman" w:hAnsi="Times New Roman"/>
          <w:b w:val="0"/>
          <w:bCs w:val="0"/>
          <w:lang w:val="en-GB" w:bidi="ar-EG"/>
        </w:rPr>
        <w:t xml:space="preserve"> </w:t>
      </w:r>
      <w:r w:rsidR="009871A4" w:rsidRPr="006A7309">
        <w:rPr>
          <w:rFonts w:ascii="Times New Roman" w:hAnsi="Times New Roman"/>
          <w:b w:val="0"/>
          <w:bCs w:val="0"/>
          <w:lang w:val="en-GB" w:bidi="ar-EG"/>
        </w:rPr>
        <w:t>32–</w:t>
      </w:r>
      <w:r w:rsidR="009871A4" w:rsidRPr="006A7309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</w:t>
      </w:r>
      <w:r w:rsidR="006A7309" w:rsidRPr="006A7309">
        <w:rPr>
          <w:rFonts w:ascii="Times New Roman" w:hAnsi="Times New Roman" w:hint="cs"/>
          <w:b w:val="0"/>
          <w:bCs w:val="0"/>
          <w:rtl/>
          <w:lang w:val="en-GB" w:bidi="ar-EG"/>
        </w:rPr>
        <w:t>بالنسبة للمحطات المتنقلة للاتصالات المتنقلة الساتلية على التوالي</w:t>
      </w:r>
      <w:r w:rsidR="002D2E99" w:rsidRPr="006A7309">
        <w:rPr>
          <w:rFonts w:ascii="Times New Roman" w:hAnsi="Times New Roman" w:hint="cs"/>
          <w:b w:val="0"/>
          <w:bCs w:val="0"/>
          <w:rtl/>
          <w:lang w:val="en-GB"/>
        </w:rPr>
        <w:t>. و</w:t>
      </w:r>
      <w:r w:rsidR="006A7309" w:rsidRPr="006A7309">
        <w:rPr>
          <w:rFonts w:ascii="Times New Roman" w:hAnsi="Times New Roman" w:hint="cs"/>
          <w:b w:val="0"/>
          <w:bCs w:val="0"/>
          <w:rtl/>
          <w:lang w:val="en-GB"/>
        </w:rPr>
        <w:t>تدرس اليابان أيضاً أوجه تخفيف إضافية في هذه ال</w:t>
      </w:r>
      <w:r w:rsidR="0001163D">
        <w:rPr>
          <w:rFonts w:ascii="Times New Roman" w:hAnsi="Times New Roman" w:hint="cs"/>
          <w:b w:val="0"/>
          <w:bCs w:val="0"/>
          <w:rtl/>
          <w:lang w:val="en-GB"/>
        </w:rPr>
        <w:t>حدود</w:t>
      </w:r>
      <w:r w:rsidR="002D2E99" w:rsidRPr="006A7309">
        <w:rPr>
          <w:rFonts w:ascii="Times New Roman" w:hAnsi="Times New Roman" w:hint="cs"/>
          <w:b w:val="0"/>
          <w:bCs w:val="0"/>
          <w:rtl/>
          <w:lang w:val="en-GB"/>
        </w:rPr>
        <w:t xml:space="preserve"> للبث غير المطلوب لمحطات الاتصالات </w:t>
      </w:r>
      <w:r w:rsidR="00223109">
        <w:rPr>
          <w:rFonts w:ascii="Times New Roman" w:hAnsi="Times New Roman" w:hint="cs"/>
          <w:b w:val="0"/>
          <w:bCs w:val="0"/>
          <w:rtl/>
          <w:lang w:bidi="ar-EG"/>
        </w:rPr>
        <w:t>المتنقلة الدولية</w:t>
      </w:r>
      <w:r w:rsidR="002D2E99" w:rsidRPr="006A7309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</w:t>
      </w:r>
      <w:r w:rsidR="006A7309" w:rsidRPr="006A7309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بالإضافة إلى معيار التداخل لأجهزة استشعار </w:t>
      </w:r>
      <w:r w:rsidR="002D2E99" w:rsidRPr="006A7309">
        <w:rPr>
          <w:rFonts w:ascii="Times New Roman" w:hAnsi="Times New Roman" w:hint="cs"/>
          <w:b w:val="0"/>
          <w:bCs w:val="0"/>
          <w:rtl/>
          <w:lang w:val="en-GB" w:bidi="ar-EG"/>
        </w:rPr>
        <w:t>خدمة استكشاف الأرض الساتلية (المنفعلة) في نطاق التردد </w:t>
      </w:r>
      <w:r w:rsidR="002D2E99" w:rsidRPr="006A7309">
        <w:rPr>
          <w:rFonts w:ascii="Times New Roman" w:hAnsi="Times New Roman"/>
          <w:b w:val="0"/>
          <w:bCs w:val="0"/>
          <w:lang w:bidi="ar-EG"/>
        </w:rPr>
        <w:t>GHz 37-3</w:t>
      </w:r>
      <w:r w:rsidR="00223109">
        <w:rPr>
          <w:rFonts w:ascii="Times New Roman" w:hAnsi="Times New Roman"/>
          <w:b w:val="0"/>
          <w:bCs w:val="0"/>
          <w:lang w:bidi="ar-EG"/>
        </w:rPr>
        <w:t>6</w:t>
      </w:r>
      <w:r w:rsidR="00BE3245">
        <w:rPr>
          <w:rFonts w:ascii="Times New Roman" w:hAnsi="Times New Roman" w:hint="cs"/>
          <w:b w:val="0"/>
          <w:bCs w:val="0"/>
          <w:rtl/>
          <w:lang w:bidi="ar-EG"/>
        </w:rPr>
        <w:t>، الواردة</w:t>
      </w:r>
      <w:r w:rsidR="002D2E99" w:rsidRPr="002D2E99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في التوصية </w:t>
      </w:r>
      <w:r w:rsidR="002D2E99" w:rsidRPr="002D2E99">
        <w:rPr>
          <w:rFonts w:ascii="Times New Roman" w:hAnsi="Times New Roman"/>
          <w:b w:val="0"/>
          <w:bCs w:val="0"/>
          <w:lang w:val="en-GB" w:bidi="ar-EG"/>
        </w:rPr>
        <w:t>ITU-R RS.2017</w:t>
      </w:r>
      <w:r w:rsidR="00BE3245">
        <w:rPr>
          <w:rFonts w:ascii="Times New Roman" w:hAnsi="Times New Roman" w:hint="cs"/>
          <w:b w:val="0"/>
          <w:bCs w:val="0"/>
          <w:rtl/>
          <w:lang w:val="en-GB" w:bidi="ar-EG"/>
        </w:rPr>
        <w:t>، أي التي تسمح بتجاوز معيار التداخل بنسبة</w:t>
      </w:r>
      <w:r w:rsidR="00BE3245">
        <w:rPr>
          <w:rFonts w:ascii="Times New Roman" w:hAnsi="Times New Roman" w:hint="cs"/>
          <w:b w:val="0"/>
          <w:bCs w:val="0"/>
          <w:rtl/>
          <w:lang w:val="fr-CH" w:bidi="ar-SY"/>
        </w:rPr>
        <w:t xml:space="preserve"> </w:t>
      </w:r>
      <w:r w:rsidR="00BE3245">
        <w:rPr>
          <w:rFonts w:ascii="Times New Roman" w:hAnsi="Times New Roman"/>
          <w:b w:val="0"/>
          <w:bCs w:val="0"/>
          <w:lang w:val="en-GB" w:bidi="ar-EG"/>
        </w:rPr>
        <w:t>%</w:t>
      </w:r>
      <w:r w:rsidR="00BE3245">
        <w:rPr>
          <w:rFonts w:ascii="Times New Roman" w:hAnsi="Times New Roman"/>
          <w:b w:val="0"/>
          <w:bCs w:val="0"/>
          <w:lang w:bidi="ar-EG"/>
        </w:rPr>
        <w:t>0</w:t>
      </w:r>
      <w:r w:rsidR="0001163D">
        <w:rPr>
          <w:rFonts w:ascii="Times New Roman" w:hAnsi="Times New Roman"/>
          <w:b w:val="0"/>
          <w:bCs w:val="0"/>
          <w:lang w:bidi="ar-EG"/>
        </w:rPr>
        <w:t>,</w:t>
      </w:r>
      <w:r w:rsidR="00BE3245">
        <w:rPr>
          <w:rFonts w:ascii="Times New Roman" w:hAnsi="Times New Roman"/>
          <w:b w:val="0"/>
          <w:bCs w:val="0"/>
          <w:lang w:bidi="ar-EG"/>
        </w:rPr>
        <w:t>1</w:t>
      </w:r>
      <w:r w:rsidR="00A15405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BE3245">
        <w:rPr>
          <w:rFonts w:ascii="Times New Roman" w:hAnsi="Times New Roman" w:hint="cs"/>
          <w:b w:val="0"/>
          <w:bCs w:val="0"/>
          <w:rtl/>
          <w:lang w:bidi="ar-EG"/>
        </w:rPr>
        <w:t>من الوقت أو</w:t>
      </w:r>
      <w:r w:rsidR="0001163D">
        <w:rPr>
          <w:rFonts w:ascii="Times New Roman" w:hAnsi="Times New Roman" w:hint="eastAsia"/>
          <w:b w:val="0"/>
          <w:bCs w:val="0"/>
          <w:rtl/>
          <w:lang w:bidi="ar-EG"/>
        </w:rPr>
        <w:t> </w:t>
      </w:r>
      <w:r w:rsidR="00BE3245">
        <w:rPr>
          <w:rFonts w:ascii="Times New Roman" w:hAnsi="Times New Roman" w:hint="cs"/>
          <w:b w:val="0"/>
          <w:bCs w:val="0"/>
          <w:rtl/>
          <w:lang w:bidi="ar-EG"/>
        </w:rPr>
        <w:t xml:space="preserve">لمساحة </w:t>
      </w:r>
      <w:r w:rsidR="00FB55ED" w:rsidRPr="00FB55ED">
        <w:rPr>
          <w:rFonts w:ascii="Times New Roman" w:hAnsi="Times New Roman"/>
          <w:b w:val="0"/>
          <w:bCs w:val="0"/>
          <w:vertAlign w:val="superscript"/>
          <w:lang w:val="en-GB" w:bidi="ar-SY"/>
        </w:rPr>
        <w:t>2</w:t>
      </w:r>
      <w:r w:rsidR="00FB55ED" w:rsidRPr="00FB55ED">
        <w:rPr>
          <w:rFonts w:ascii="Times New Roman" w:hAnsi="Times New Roman"/>
          <w:b w:val="0"/>
          <w:bCs w:val="0"/>
          <w:lang w:val="en-GB" w:bidi="ar-SY"/>
        </w:rPr>
        <w:t>km</w:t>
      </w:r>
      <w:r w:rsidR="00FB55ED">
        <w:rPr>
          <w:rFonts w:ascii="Times New Roman" w:hAnsi="Times New Roman"/>
          <w:b w:val="0"/>
          <w:bCs w:val="0"/>
          <w:lang w:bidi="ar-EG"/>
        </w:rPr>
        <w:t xml:space="preserve"> </w:t>
      </w:r>
      <w:r w:rsidR="00BE3245">
        <w:rPr>
          <w:rFonts w:ascii="Times New Roman" w:hAnsi="Times New Roman"/>
          <w:b w:val="0"/>
          <w:bCs w:val="0"/>
          <w:lang w:bidi="ar-EG"/>
        </w:rPr>
        <w:t>10</w:t>
      </w:r>
      <w:r w:rsidR="00FB55ED">
        <w:rPr>
          <w:rFonts w:ascii="Times New Roman" w:hAnsi="Times New Roman"/>
          <w:b w:val="0"/>
          <w:bCs w:val="0"/>
          <w:lang w:bidi="ar-EG"/>
        </w:rPr>
        <w:t> 000</w:t>
      </w:r>
      <w:r w:rsidR="00BE3245">
        <w:rPr>
          <w:rFonts w:ascii="Times New Roman" w:hAnsi="Times New Roman"/>
          <w:b w:val="0"/>
          <w:bCs w:val="0"/>
          <w:lang w:bidi="ar-EG"/>
        </w:rPr>
        <w:t> 000</w:t>
      </w:r>
      <w:r w:rsidR="00BE3245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7DA17E7D" w14:textId="057DA22E" w:rsidR="002D2E99" w:rsidRPr="002D2E99" w:rsidRDefault="002D2E99" w:rsidP="00D02721">
      <w:pPr>
        <w:spacing w:before="600"/>
        <w:jc w:val="center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___________</w:t>
      </w:r>
    </w:p>
    <w:sectPr w:rsidR="002D2E99" w:rsidRPr="002D2E99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E3B8B" w14:textId="77777777" w:rsidR="00EA5D25" w:rsidRDefault="00EA5D25" w:rsidP="002919E1">
      <w:r>
        <w:separator/>
      </w:r>
    </w:p>
    <w:p w14:paraId="33EEFE2A" w14:textId="77777777" w:rsidR="00EA5D25" w:rsidRDefault="00EA5D25" w:rsidP="002919E1"/>
    <w:p w14:paraId="729973B6" w14:textId="77777777" w:rsidR="00EA5D25" w:rsidRDefault="00EA5D25" w:rsidP="002919E1"/>
    <w:p w14:paraId="03F900E3" w14:textId="77777777" w:rsidR="00EA5D25" w:rsidRDefault="00EA5D25"/>
  </w:endnote>
  <w:endnote w:type="continuationSeparator" w:id="0">
    <w:p w14:paraId="5BBDC247" w14:textId="77777777" w:rsidR="00EA5D25" w:rsidRDefault="00EA5D25" w:rsidP="002919E1">
      <w:r>
        <w:continuationSeparator/>
      </w:r>
    </w:p>
    <w:p w14:paraId="19D2F670" w14:textId="77777777" w:rsidR="00EA5D25" w:rsidRDefault="00EA5D25" w:rsidP="002919E1"/>
    <w:p w14:paraId="4D44EC98" w14:textId="77777777" w:rsidR="00EA5D25" w:rsidRDefault="00EA5D25" w:rsidP="002919E1"/>
    <w:p w14:paraId="68356F1D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0B207" w14:textId="2655FBAC" w:rsidR="00281F5F" w:rsidRPr="000801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  <w:rPr>
        <w:lang w:val="es-ES"/>
      </w:rPr>
    </w:pPr>
    <w:r>
      <w:fldChar w:fldCharType="begin"/>
    </w:r>
    <w:r w:rsidRPr="0008015F">
      <w:rPr>
        <w:lang w:val="es-ES"/>
      </w:rPr>
      <w:instrText xml:space="preserve"> FILENAME \p \* MERGEFORMAT </w:instrText>
    </w:r>
    <w:r>
      <w:fldChar w:fldCharType="separate"/>
    </w:r>
    <w:r w:rsidR="002979B4">
      <w:rPr>
        <w:noProof/>
        <w:lang w:val="es-ES"/>
      </w:rPr>
      <w:t>P:\ARA\ITU-R\CONF-R\CMR19\000\080ADD13ADD02A.docx</w:t>
    </w:r>
    <w:r>
      <w:fldChar w:fldCharType="end"/>
    </w:r>
    <w:proofErr w:type="gramStart"/>
    <w:r w:rsidRPr="0008015F">
      <w:rPr>
        <w:lang w:val="es-ES"/>
      </w:rPr>
      <w:t xml:space="preserve">   (</w:t>
    </w:r>
    <w:proofErr w:type="gramEnd"/>
    <w:r w:rsidR="00B62DA4" w:rsidRPr="0008015F">
      <w:rPr>
        <w:lang w:val="es-ES"/>
      </w:rPr>
      <w:t>462163</w:t>
    </w:r>
    <w:r w:rsidRPr="0008015F">
      <w:rPr>
        <w:lang w:val="es-ES"/>
      </w:rPr>
      <w:t>)</w:t>
    </w:r>
    <w:r w:rsidR="008927F5" w:rsidRPr="0008015F">
      <w:rPr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E34B6" w14:textId="5CBAD128" w:rsidR="008927F5" w:rsidRPr="00CB4300" w:rsidRDefault="008927F5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3E4A9F">
      <w:rPr>
        <w:noProof/>
        <w:lang w:val="es-ES"/>
      </w:rPr>
      <w:t>P:\ARA\ITU-R\CONF-R\CMR19\000\080ADD13ADD02A.docx</w:t>
    </w:r>
    <w:r>
      <w:fldChar w:fldCharType="end"/>
    </w:r>
    <w:r w:rsidR="00B62DA4" w:rsidRPr="0008015F">
      <w:rPr>
        <w:lang w:val="es-ES"/>
      </w:rPr>
      <w:t>  </w:t>
    </w:r>
    <w:proofErr w:type="gramStart"/>
    <w:r w:rsidR="00B62DA4" w:rsidRPr="0008015F">
      <w:rPr>
        <w:lang w:val="es-ES"/>
      </w:rPr>
      <w:t>   (</w:t>
    </w:r>
    <w:proofErr w:type="gramEnd"/>
    <w:r w:rsidR="00B62DA4" w:rsidRPr="0008015F">
      <w:rPr>
        <w:lang w:val="es-ES"/>
      </w:rPr>
      <w:t>462163)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D8D49" w14:textId="77777777" w:rsidR="00EA5D25" w:rsidRDefault="00EA5D25" w:rsidP="002919E1">
      <w:r>
        <w:t>___________________</w:t>
      </w:r>
    </w:p>
  </w:footnote>
  <w:footnote w:type="continuationSeparator" w:id="0">
    <w:p w14:paraId="4B60430D" w14:textId="77777777" w:rsidR="00EA5D25" w:rsidRDefault="00EA5D25" w:rsidP="002919E1">
      <w:r>
        <w:continuationSeparator/>
      </w:r>
    </w:p>
    <w:p w14:paraId="46F92C8E" w14:textId="77777777" w:rsidR="00EA5D25" w:rsidRDefault="00EA5D25" w:rsidP="002919E1"/>
    <w:p w14:paraId="602F0D77" w14:textId="77777777" w:rsidR="00EA5D25" w:rsidRDefault="00EA5D25" w:rsidP="002919E1"/>
    <w:p w14:paraId="08246BD2" w14:textId="77777777" w:rsidR="00EA5D25" w:rsidRDefault="00EA5D25"/>
  </w:footnote>
  <w:footnote w:id="1">
    <w:p w14:paraId="2B4D3877" w14:textId="43605A1F" w:rsidR="009871A4" w:rsidRDefault="009871A4" w:rsidP="002979B4">
      <w:pPr>
        <w:pStyle w:val="FootnoteText"/>
      </w:pPr>
      <w:r>
        <w:rPr>
          <w:rStyle w:val="FootnoteReference"/>
          <w:rtl/>
        </w:rPr>
        <w:t>*</w:t>
      </w:r>
      <w:r>
        <w:tab/>
      </w:r>
      <w:r w:rsidR="00074D4A" w:rsidRPr="00074D4A">
        <w:rPr>
          <w:rtl/>
          <w:lang w:bidi="ar-SA"/>
        </w:rPr>
        <w:t xml:space="preserve">يُفترض أن </w:t>
      </w:r>
      <w:r w:rsidR="007B2291">
        <w:rPr>
          <w:rFonts w:hint="cs"/>
          <w:rtl/>
          <w:lang w:bidi="ar-SA"/>
        </w:rPr>
        <w:t>عدداً</w:t>
      </w:r>
      <w:r w:rsidR="00074D4A" w:rsidRPr="00074D4A">
        <w:rPr>
          <w:rtl/>
          <w:lang w:bidi="ar-SA"/>
        </w:rPr>
        <w:t xml:space="preserve"> محدود</w:t>
      </w:r>
      <w:r w:rsidR="00074D4A">
        <w:rPr>
          <w:rFonts w:hint="cs"/>
          <w:rtl/>
          <w:lang w:val="fr-CH" w:bidi="ar-SY"/>
        </w:rPr>
        <w:t>اً</w:t>
      </w:r>
      <w:r w:rsidR="00074D4A" w:rsidRPr="00074D4A">
        <w:rPr>
          <w:rtl/>
          <w:lang w:bidi="ar-SA"/>
        </w:rPr>
        <w:t xml:space="preserve"> جد</w:t>
      </w:r>
      <w:r w:rsidR="00074D4A">
        <w:rPr>
          <w:rFonts w:hint="cs"/>
          <w:rtl/>
          <w:lang w:bidi="ar-SA"/>
        </w:rPr>
        <w:t xml:space="preserve">اً </w:t>
      </w:r>
      <w:r w:rsidR="00074D4A" w:rsidRPr="00074D4A">
        <w:rPr>
          <w:rtl/>
          <w:lang w:bidi="ar-SA"/>
        </w:rPr>
        <w:t xml:space="preserve">من المحطات المتنقلة للاتصالات المتنقلة الدولية </w:t>
      </w:r>
      <w:r w:rsidR="002979B4">
        <w:rPr>
          <w:lang w:bidi="ar-SA"/>
        </w:rPr>
        <w:t>(</w:t>
      </w:r>
      <w:r w:rsidR="00074D4A" w:rsidRPr="00074D4A">
        <w:rPr>
          <w:lang w:bidi="ar-SA"/>
        </w:rPr>
        <w:t>IMT</w:t>
      </w:r>
      <w:r w:rsidR="002979B4">
        <w:rPr>
          <w:lang w:bidi="ar-SA"/>
        </w:rPr>
        <w:t>)</w:t>
      </w:r>
      <w:r w:rsidR="00074D4A" w:rsidRPr="00074D4A">
        <w:rPr>
          <w:rtl/>
          <w:lang w:bidi="ar-SA"/>
        </w:rPr>
        <w:t xml:space="preserve"> سيتواصل مع محطات قاعدة </w:t>
      </w:r>
      <w:r w:rsidR="00074D4A">
        <w:rPr>
          <w:rFonts w:hint="cs"/>
          <w:rtl/>
          <w:lang w:bidi="ar-SA"/>
        </w:rPr>
        <w:t>ل</w:t>
      </w:r>
      <w:r w:rsidR="00074D4A" w:rsidRPr="00074D4A">
        <w:rPr>
          <w:rtl/>
          <w:lang w:bidi="ar-SA"/>
        </w:rPr>
        <w:t xml:space="preserve">لاتصالات المتنقلة الدولية التي </w:t>
      </w:r>
      <w:r w:rsidR="00074D4A">
        <w:rPr>
          <w:rFonts w:hint="cs"/>
          <w:rtl/>
          <w:lang w:bidi="ar-SA"/>
        </w:rPr>
        <w:t>يكون تسديد</w:t>
      </w:r>
      <w:r w:rsidR="00074D4A" w:rsidRPr="00074D4A">
        <w:rPr>
          <w:rtl/>
          <w:lang w:bidi="ar-SA"/>
        </w:rPr>
        <w:t xml:space="preserve"> </w:t>
      </w:r>
      <w:r w:rsidR="00074D4A">
        <w:rPr>
          <w:rFonts w:hint="cs"/>
          <w:rtl/>
          <w:lang w:bidi="ar-SA"/>
        </w:rPr>
        <w:t>ح</w:t>
      </w:r>
      <w:r w:rsidR="00074D4A" w:rsidRPr="00074D4A">
        <w:rPr>
          <w:rtl/>
          <w:lang w:bidi="ar-SA"/>
        </w:rPr>
        <w:t>زم</w:t>
      </w:r>
      <w:r w:rsidR="00074D4A">
        <w:rPr>
          <w:rFonts w:hint="cs"/>
          <w:rtl/>
          <w:lang w:bidi="ar-SA"/>
        </w:rPr>
        <w:t>تها</w:t>
      </w:r>
      <w:r w:rsidR="0001163D">
        <w:rPr>
          <w:rtl/>
          <w:lang w:bidi="ar-SA"/>
        </w:rPr>
        <w:t xml:space="preserve"> الرئيسية</w:t>
      </w:r>
      <w:r w:rsidR="00074D4A">
        <w:rPr>
          <w:rFonts w:hint="cs"/>
          <w:rtl/>
          <w:lang w:bidi="ar-SA"/>
        </w:rPr>
        <w:t xml:space="preserve"> فوق</w:t>
      </w:r>
      <w:r w:rsidR="00074D4A" w:rsidRPr="00074D4A">
        <w:rPr>
          <w:rtl/>
          <w:lang w:bidi="ar-SA"/>
        </w:rPr>
        <w:t xml:space="preserve"> الأفق.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9604E" w14:textId="77777777" w:rsidR="00281F5F" w:rsidRDefault="00281F5F" w:rsidP="002919E1"/>
  <w:p w14:paraId="122045C3" w14:textId="77777777" w:rsidR="00281F5F" w:rsidRDefault="00281F5F" w:rsidP="002919E1"/>
  <w:p w14:paraId="7B2110D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3402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979B4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80(Add.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5EC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E2A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04AB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65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11005"/>
    <w:rsid w:val="00011021"/>
    <w:rsid w:val="000114EC"/>
    <w:rsid w:val="0001163D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4D4A"/>
    <w:rsid w:val="00075A3F"/>
    <w:rsid w:val="0008015F"/>
    <w:rsid w:val="000A1B16"/>
    <w:rsid w:val="000B3896"/>
    <w:rsid w:val="000B5404"/>
    <w:rsid w:val="000D06EB"/>
    <w:rsid w:val="000D1708"/>
    <w:rsid w:val="000E2AFC"/>
    <w:rsid w:val="000E5E68"/>
    <w:rsid w:val="000E6D30"/>
    <w:rsid w:val="000F05F5"/>
    <w:rsid w:val="000F518F"/>
    <w:rsid w:val="0010081C"/>
    <w:rsid w:val="001013E3"/>
    <w:rsid w:val="0010363F"/>
    <w:rsid w:val="00110356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109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B6"/>
    <w:rsid w:val="002843E4"/>
    <w:rsid w:val="002919E1"/>
    <w:rsid w:val="00295917"/>
    <w:rsid w:val="00296071"/>
    <w:rsid w:val="002979B4"/>
    <w:rsid w:val="002A4572"/>
    <w:rsid w:val="002A7E2E"/>
    <w:rsid w:val="002B12C5"/>
    <w:rsid w:val="002B16D8"/>
    <w:rsid w:val="002D2E99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D586C"/>
    <w:rsid w:val="003E02EF"/>
    <w:rsid w:val="003E1D90"/>
    <w:rsid w:val="003E4A9F"/>
    <w:rsid w:val="003F758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4B0C"/>
    <w:rsid w:val="004C5C04"/>
    <w:rsid w:val="004D0448"/>
    <w:rsid w:val="004D4AE6"/>
    <w:rsid w:val="00505FCA"/>
    <w:rsid w:val="00510C2D"/>
    <w:rsid w:val="005166A4"/>
    <w:rsid w:val="005169F4"/>
    <w:rsid w:val="0052063A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66E7C"/>
    <w:rsid w:val="006779A4"/>
    <w:rsid w:val="00680A66"/>
    <w:rsid w:val="00681391"/>
    <w:rsid w:val="00694690"/>
    <w:rsid w:val="0069526C"/>
    <w:rsid w:val="006A12AC"/>
    <w:rsid w:val="006A1C2C"/>
    <w:rsid w:val="006A2162"/>
    <w:rsid w:val="006A7309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B2291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83E82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367"/>
    <w:rsid w:val="008F4626"/>
    <w:rsid w:val="009004DF"/>
    <w:rsid w:val="00904AA5"/>
    <w:rsid w:val="00951718"/>
    <w:rsid w:val="00960962"/>
    <w:rsid w:val="00972CE0"/>
    <w:rsid w:val="00984201"/>
    <w:rsid w:val="009871A4"/>
    <w:rsid w:val="00993F71"/>
    <w:rsid w:val="009A3D30"/>
    <w:rsid w:val="009D6348"/>
    <w:rsid w:val="009E5007"/>
    <w:rsid w:val="009E613F"/>
    <w:rsid w:val="009F042B"/>
    <w:rsid w:val="00A03FD6"/>
    <w:rsid w:val="00A04CF4"/>
    <w:rsid w:val="00A116A8"/>
    <w:rsid w:val="00A15405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A3324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2C0F"/>
    <w:rsid w:val="00B62DA4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3245"/>
    <w:rsid w:val="00BE3D34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2721"/>
    <w:rsid w:val="00D1782D"/>
    <w:rsid w:val="00D25120"/>
    <w:rsid w:val="00D419CB"/>
    <w:rsid w:val="00D44350"/>
    <w:rsid w:val="00D44E3F"/>
    <w:rsid w:val="00D45D0E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3D4A"/>
    <w:rsid w:val="00F97D1C"/>
    <w:rsid w:val="00FA0D4E"/>
    <w:rsid w:val="00FB0753"/>
    <w:rsid w:val="00FB55ED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A423C7B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TableText0">
    <w:name w:val="Table_Text"/>
    <w:basedOn w:val="Normal"/>
    <w:qFormat/>
    <w:rsid w:val="007742EC"/>
    <w:pPr>
      <w:tabs>
        <w:tab w:val="clear" w:pos="1871"/>
        <w:tab w:val="clear" w:pos="2268"/>
      </w:tabs>
      <w:spacing w:before="60" w:after="60" w:line="260" w:lineRule="exact"/>
    </w:pPr>
    <w:rPr>
      <w:sz w:val="20"/>
      <w:szCs w:val="26"/>
    </w:rPr>
  </w:style>
  <w:style w:type="paragraph" w:customStyle="1" w:styleId="Tablelegend0">
    <w:name w:val="Table legend"/>
    <w:basedOn w:val="Normal"/>
    <w:qFormat/>
    <w:rsid w:val="007742EC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</w:pPr>
    <w:rPr>
      <w:rFonts w:eastAsiaTheme="minorEastAsia"/>
      <w:lang w:eastAsia="zh-CN" w:bidi="ar-SY"/>
    </w:rPr>
  </w:style>
  <w:style w:type="paragraph" w:customStyle="1" w:styleId="HeadingI0">
    <w:name w:val="Heading_I"/>
    <w:basedOn w:val="Normal"/>
    <w:next w:val="Normal"/>
    <w:qFormat/>
    <w:rsid w:val="00770D1A"/>
    <w:pPr>
      <w:keepNext/>
      <w:spacing w:before="180"/>
    </w:pPr>
    <w:rPr>
      <w:rFonts w:ascii="Times New Roman italic" w:hAnsi="Times New Roman italic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R16-WRC19-C-0080!A13-A2!MSW-A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C51F-86A2-4269-BF8D-52892AB75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BA682-88BF-4390-A206-FD79E42278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6DAFD7-C67C-4B99-9939-A8156C61E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7FCD29-0C14-42DA-BFA0-3CB0280469C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A523D80-3EF4-49C6-A548-20BE862B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823</Words>
  <Characters>4520</Characters>
  <Application>Microsoft Office Word</Application>
  <DocSecurity>0</DocSecurity>
  <Lines>96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R16-WRC19-C-0080!A13-A2!MSW-A</vt:lpstr>
    </vt:vector>
  </TitlesOfParts>
  <Manager>General Secretariat - Pool</Manager>
  <Company>International Telecommunication Union (ITU)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R16-WRC19-C-0080!A13-A2!MSW-A</dc:title>
  <dc:creator>Documents Proposals Manager (DPM)</dc:creator>
  <cp:keywords>DPM_v2019.10.15.2_prod</cp:keywords>
  <cp:lastModifiedBy>Arabic</cp:lastModifiedBy>
  <cp:revision>10</cp:revision>
  <cp:lastPrinted>2019-10-17T14:18:00Z</cp:lastPrinted>
  <dcterms:created xsi:type="dcterms:W3CDTF">2019-10-21T11:52:00Z</dcterms:created>
  <dcterms:modified xsi:type="dcterms:W3CDTF">2019-10-21T19:47:00Z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