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6B4B9E" w14:paraId="48A5C8D5" w14:textId="77777777" w:rsidTr="001226EC">
        <w:trPr>
          <w:cantSplit/>
        </w:trPr>
        <w:tc>
          <w:tcPr>
            <w:tcW w:w="6771" w:type="dxa"/>
          </w:tcPr>
          <w:p w14:paraId="26F0599D" w14:textId="77777777" w:rsidR="005651C9" w:rsidRPr="006B4B9E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B4B9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6B4B9E">
              <w:rPr>
                <w:rFonts w:ascii="Verdana" w:hAnsi="Verdana"/>
                <w:b/>
                <w:bCs/>
                <w:szCs w:val="22"/>
              </w:rPr>
              <w:t>9</w:t>
            </w:r>
            <w:r w:rsidRPr="006B4B9E">
              <w:rPr>
                <w:rFonts w:ascii="Verdana" w:hAnsi="Verdana"/>
                <w:b/>
                <w:bCs/>
                <w:szCs w:val="22"/>
              </w:rPr>
              <w:t>)</w:t>
            </w:r>
            <w:r w:rsidRPr="006B4B9E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6B4B9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6B4B9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B4B9E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6B4B9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6DAAB319" w14:textId="77777777" w:rsidR="005651C9" w:rsidRPr="006B4B9E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B4B9E">
              <w:rPr>
                <w:szCs w:val="22"/>
                <w:lang w:eastAsia="zh-CN"/>
              </w:rPr>
              <w:drawing>
                <wp:inline distT="0" distB="0" distL="0" distR="0" wp14:anchorId="724C0BFA" wp14:editId="6A747259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B4B9E" w14:paraId="7CE733CF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1B166BDF" w14:textId="77777777" w:rsidR="005651C9" w:rsidRPr="006B4B9E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46351158" w14:textId="77777777" w:rsidR="005651C9" w:rsidRPr="006B4B9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B4B9E" w14:paraId="46393D46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4CBB7A0B" w14:textId="77777777" w:rsidR="005651C9" w:rsidRPr="006B4B9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F45DCED" w14:textId="77777777" w:rsidR="005651C9" w:rsidRPr="006B4B9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B4B9E" w14:paraId="7A7E3B04" w14:textId="77777777" w:rsidTr="001226EC">
        <w:trPr>
          <w:cantSplit/>
        </w:trPr>
        <w:tc>
          <w:tcPr>
            <w:tcW w:w="6771" w:type="dxa"/>
          </w:tcPr>
          <w:p w14:paraId="1CF083B8" w14:textId="77777777" w:rsidR="005651C9" w:rsidRPr="006B4B9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B4B9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51F9E2CA" w14:textId="77777777" w:rsidR="005651C9" w:rsidRPr="006B4B9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B4B9E">
              <w:rPr>
                <w:rFonts w:ascii="Verdana" w:hAnsi="Verdana"/>
                <w:b/>
                <w:bCs/>
                <w:sz w:val="18"/>
                <w:szCs w:val="18"/>
              </w:rPr>
              <w:t>Документ 78</w:t>
            </w:r>
            <w:r w:rsidR="005651C9" w:rsidRPr="006B4B9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B4B9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B4B9E" w14:paraId="7C812651" w14:textId="77777777" w:rsidTr="001226EC">
        <w:trPr>
          <w:cantSplit/>
        </w:trPr>
        <w:tc>
          <w:tcPr>
            <w:tcW w:w="6771" w:type="dxa"/>
          </w:tcPr>
          <w:p w14:paraId="57AB0E46" w14:textId="77777777" w:rsidR="000F33D8" w:rsidRPr="006B4B9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84F7D27" w14:textId="77777777" w:rsidR="000F33D8" w:rsidRPr="006B4B9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B4B9E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6B4B9E" w14:paraId="6E788120" w14:textId="77777777" w:rsidTr="001226EC">
        <w:trPr>
          <w:cantSplit/>
        </w:trPr>
        <w:tc>
          <w:tcPr>
            <w:tcW w:w="6771" w:type="dxa"/>
          </w:tcPr>
          <w:p w14:paraId="01A7F9E0" w14:textId="77777777" w:rsidR="000F33D8" w:rsidRPr="006B4B9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429B103" w14:textId="77777777" w:rsidR="000F33D8" w:rsidRPr="006B4B9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B4B9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B4B9E" w14:paraId="076A7132" w14:textId="77777777" w:rsidTr="009546EA">
        <w:trPr>
          <w:cantSplit/>
        </w:trPr>
        <w:tc>
          <w:tcPr>
            <w:tcW w:w="10031" w:type="dxa"/>
            <w:gridSpan w:val="2"/>
          </w:tcPr>
          <w:p w14:paraId="1FFEA772" w14:textId="77777777" w:rsidR="000F33D8" w:rsidRPr="006B4B9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B4B9E" w14:paraId="292DFAD4" w14:textId="77777777">
        <w:trPr>
          <w:cantSplit/>
        </w:trPr>
        <w:tc>
          <w:tcPr>
            <w:tcW w:w="10031" w:type="dxa"/>
            <w:gridSpan w:val="2"/>
          </w:tcPr>
          <w:p w14:paraId="19854829" w14:textId="1EF7C752" w:rsidR="000F33D8" w:rsidRPr="006B4B9E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6B4B9E">
              <w:rPr>
                <w:szCs w:val="26"/>
              </w:rPr>
              <w:t>Германия (Федеративная Респ</w:t>
            </w:r>
            <w:bookmarkStart w:id="5" w:name="_GoBack"/>
            <w:bookmarkEnd w:id="5"/>
            <w:r w:rsidRPr="006B4B9E">
              <w:rPr>
                <w:szCs w:val="26"/>
              </w:rPr>
              <w:t>ублика)/Австрия/Бразилия (Федеративная Республика)/Камерун (Республика)/Джибути (Республика)/</w:t>
            </w:r>
            <w:r w:rsidR="006B4B9E">
              <w:rPr>
                <w:szCs w:val="26"/>
              </w:rPr>
              <w:br/>
            </w:r>
            <w:r w:rsidRPr="006B4B9E">
              <w:rPr>
                <w:szCs w:val="26"/>
              </w:rPr>
              <w:t>Франция/Люксембург/Мали (Республика)/Норвегия/Нидерланды (Королевство)/Португалия/Швеция/Швейцарская Конфедерация/Тунис</w:t>
            </w:r>
          </w:p>
        </w:tc>
      </w:tr>
      <w:tr w:rsidR="000F33D8" w:rsidRPr="006B4B9E" w14:paraId="62BF5E8E" w14:textId="77777777">
        <w:trPr>
          <w:cantSplit/>
        </w:trPr>
        <w:tc>
          <w:tcPr>
            <w:tcW w:w="10031" w:type="dxa"/>
            <w:gridSpan w:val="2"/>
          </w:tcPr>
          <w:p w14:paraId="63FC57C0" w14:textId="77777777" w:rsidR="000F33D8" w:rsidRPr="006B4B9E" w:rsidRDefault="000F33D8" w:rsidP="000F33D8">
            <w:pPr>
              <w:pStyle w:val="Title1"/>
              <w:rPr>
                <w:szCs w:val="26"/>
              </w:rPr>
            </w:pPr>
            <w:bookmarkStart w:id="6" w:name="dtitle1" w:colFirst="0" w:colLast="0"/>
            <w:bookmarkEnd w:id="4"/>
            <w:r w:rsidRPr="006B4B9E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6B4B9E" w14:paraId="79EA93F3" w14:textId="77777777">
        <w:trPr>
          <w:cantSplit/>
        </w:trPr>
        <w:tc>
          <w:tcPr>
            <w:tcW w:w="10031" w:type="dxa"/>
            <w:gridSpan w:val="2"/>
          </w:tcPr>
          <w:p w14:paraId="629B4673" w14:textId="53A63AA0" w:rsidR="000F33D8" w:rsidRPr="006B4B9E" w:rsidRDefault="005A0971" w:rsidP="003A1918">
            <w:pPr>
              <w:pStyle w:val="Title4"/>
            </w:pPr>
            <w:bookmarkStart w:id="7" w:name="dtitle2" w:colFirst="0" w:colLast="0"/>
            <w:bookmarkEnd w:id="6"/>
            <w:r w:rsidRPr="006B4B9E">
              <w:t>Прояснение в отношении применения Бюро радиосвязи Статьи 48 Устава МСЭ</w:t>
            </w:r>
          </w:p>
        </w:tc>
      </w:tr>
      <w:tr w:rsidR="000F33D8" w:rsidRPr="006B4B9E" w14:paraId="62F9B617" w14:textId="77777777">
        <w:trPr>
          <w:cantSplit/>
        </w:trPr>
        <w:tc>
          <w:tcPr>
            <w:tcW w:w="10031" w:type="dxa"/>
            <w:gridSpan w:val="2"/>
          </w:tcPr>
          <w:p w14:paraId="373AB9E1" w14:textId="77777777" w:rsidR="000F33D8" w:rsidRPr="006B4B9E" w:rsidRDefault="000F33D8" w:rsidP="000F33D8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  <w:r w:rsidRPr="006B4B9E">
              <w:rPr>
                <w:lang w:val="ru-RU"/>
              </w:rPr>
              <w:t>Пункт 9.3 повестки дня</w:t>
            </w:r>
          </w:p>
        </w:tc>
      </w:tr>
    </w:tbl>
    <w:bookmarkEnd w:id="8"/>
    <w:p w14:paraId="20CB89E4" w14:textId="77777777" w:rsidR="00D51940" w:rsidRPr="006B4B9E" w:rsidRDefault="00FA5073" w:rsidP="006B4B9E">
      <w:pPr>
        <w:pStyle w:val="Normalaftertitle"/>
        <w:rPr>
          <w:szCs w:val="22"/>
        </w:rPr>
      </w:pPr>
      <w:r w:rsidRPr="006B4B9E">
        <w:t>9</w:t>
      </w:r>
      <w:r w:rsidRPr="006B4B9E">
        <w:tab/>
        <w:t>рассмотреть и утвердить Отчет Директора Бюро радиосвязи в соответствии со Статьей 7 Конвенции:</w:t>
      </w:r>
    </w:p>
    <w:p w14:paraId="3B75BB22" w14:textId="77777777" w:rsidR="00D51940" w:rsidRPr="006B4B9E" w:rsidRDefault="00FA5073" w:rsidP="00822B4E">
      <w:pPr>
        <w:rPr>
          <w:szCs w:val="22"/>
        </w:rPr>
      </w:pPr>
      <w:r w:rsidRPr="006B4B9E">
        <w:t>9.3</w:t>
      </w:r>
      <w:r w:rsidRPr="006B4B9E">
        <w:tab/>
        <w:t xml:space="preserve">о мерах, принятых во исполнение Резолюции </w:t>
      </w:r>
      <w:r w:rsidRPr="006B4B9E">
        <w:rPr>
          <w:b/>
          <w:bCs/>
        </w:rPr>
        <w:t>80 (Пересм. ВКР-07)</w:t>
      </w:r>
      <w:r w:rsidRPr="006B4B9E">
        <w:t>;</w:t>
      </w:r>
    </w:p>
    <w:p w14:paraId="17C73499" w14:textId="77777777" w:rsidR="005A0971" w:rsidRPr="006B4B9E" w:rsidRDefault="005A0971" w:rsidP="0093183F">
      <w:pPr>
        <w:pStyle w:val="Headingb"/>
        <w:rPr>
          <w:lang w:val="ru-RU"/>
        </w:rPr>
      </w:pPr>
      <w:r w:rsidRPr="006B4B9E">
        <w:rPr>
          <w:lang w:val="ru-RU"/>
        </w:rPr>
        <w:t>Краткое содержание</w:t>
      </w:r>
    </w:p>
    <w:p w14:paraId="5039862E" w14:textId="22A64D10" w:rsidR="005A0971" w:rsidRPr="006B4B9E" w:rsidRDefault="005A0971" w:rsidP="005A0971">
      <w:r w:rsidRPr="006B4B9E">
        <w:t>Суверенное право регламентировать свою электросвязь полностью признается за каждым Государством-Членом. Кроме того, в Уставе МСЭ признаются права Государств-Членов на полную свободу в вопросах национальной обороны, которые закреплены в Статье 48 Устава МСЭ. Наряду с этим признается также, что Государства-Члены обязаны соблюдать дух и положения Устава МСЭ</w:t>
      </w:r>
      <w:r w:rsidR="006B4B9E">
        <w:t>,</w:t>
      </w:r>
      <w:r w:rsidRPr="006B4B9E">
        <w:t xml:space="preserve"> и им настоятельно рекомендуется соблюдать положения Административных регламентов, касающиеся типов излучения и использования частот в соответствии с характером службы, которую они обеспечивают.</w:t>
      </w:r>
    </w:p>
    <w:p w14:paraId="49DD802E" w14:textId="77777777" w:rsidR="005A0971" w:rsidRPr="006B4B9E" w:rsidRDefault="005A0971" w:rsidP="005A0971">
      <w:r w:rsidRPr="006B4B9E">
        <w:t>Также при уважении прав всех администраций, касающихся военного радиооборудования для служб национальной обороны в соответствии с положениями Статьи 48 Устава МСЭ, ВКР-19 предлагается разъяснить последствия и процедуры, связанные со ссылкой на данную Статью.</w:t>
      </w:r>
    </w:p>
    <w:p w14:paraId="518B4D03" w14:textId="77777777" w:rsidR="005A0971" w:rsidRPr="006B4B9E" w:rsidRDefault="005A0971" w:rsidP="0093183F">
      <w:pPr>
        <w:pStyle w:val="Headingb"/>
        <w:rPr>
          <w:lang w:val="ru-RU"/>
        </w:rPr>
      </w:pPr>
      <w:r w:rsidRPr="006B4B9E">
        <w:rPr>
          <w:lang w:val="ru-RU"/>
        </w:rPr>
        <w:t>Справочные документы</w:t>
      </w:r>
    </w:p>
    <w:p w14:paraId="68163FEF" w14:textId="65AE2D14" w:rsidR="005A0971" w:rsidRPr="006B4B9E" w:rsidRDefault="005A0971" w:rsidP="0093183F">
      <w:pPr>
        <w:pStyle w:val="enumlev1"/>
      </w:pPr>
      <w:r w:rsidRPr="006B4B9E">
        <w:t>1</w:t>
      </w:r>
      <w:r w:rsidRPr="006B4B9E">
        <w:tab/>
        <w:t>Устав МСЭ</w:t>
      </w:r>
      <w:r w:rsidR="003A1918" w:rsidRPr="006B4B9E">
        <w:t>.</w:t>
      </w:r>
    </w:p>
    <w:p w14:paraId="389F977B" w14:textId="66044FA0" w:rsidR="005A0971" w:rsidRPr="006B4B9E" w:rsidRDefault="005A0971" w:rsidP="0093183F">
      <w:pPr>
        <w:pStyle w:val="enumlev1"/>
      </w:pPr>
      <w:r w:rsidRPr="006B4B9E">
        <w:t>2</w:t>
      </w:r>
      <w:r w:rsidRPr="006B4B9E">
        <w:tab/>
        <w:t>Циркулярное письмо CR/389 в связи с решениями ВКР-15</w:t>
      </w:r>
      <w:r w:rsidR="003A1918" w:rsidRPr="006B4B9E">
        <w:t>.</w:t>
      </w:r>
    </w:p>
    <w:p w14:paraId="5D83137D" w14:textId="77777777" w:rsidR="005A0971" w:rsidRPr="006B4B9E" w:rsidRDefault="005A0971" w:rsidP="0093183F">
      <w:pPr>
        <w:pStyle w:val="Headingb"/>
        <w:rPr>
          <w:lang w:val="ru-RU"/>
        </w:rPr>
      </w:pPr>
      <w:r w:rsidRPr="006B4B9E">
        <w:rPr>
          <w:lang w:val="ru-RU"/>
        </w:rPr>
        <w:t>Введение</w:t>
      </w:r>
    </w:p>
    <w:p w14:paraId="088F7908" w14:textId="77777777" w:rsidR="005A0971" w:rsidRPr="006B4B9E" w:rsidRDefault="005A0971" w:rsidP="005A0971">
      <w:r w:rsidRPr="006B4B9E">
        <w:t>Все администрации имеют право ссылаться на Статью 48 Устава МСЭ. Данное право уже неоднократно корректно применялось рядом администраций, и ссылки на эту Статью ни разу не потребовали тщательной проверки со стороны Бюро радиосвязи или Радиорегламентарного комитета. Вместе с тем на своем 78-м собрании Радиорегламентарный комитет признал, что не обладает необходимыми полномочиями для принятия решений, затрагивающих Статью 48 Устава МСЭ. При этом члены Радиорегламентарного комитета согласились с тем, что необходимо избегать злоупотреблений при применении Статьи 48 и обратили внимание администраций на требование соблюдать положения этой статьи.</w:t>
      </w:r>
    </w:p>
    <w:p w14:paraId="0322DA7D" w14:textId="77777777" w:rsidR="005A0971" w:rsidRPr="006B4B9E" w:rsidRDefault="005A0971" w:rsidP="005A0971">
      <w:r w:rsidRPr="006B4B9E">
        <w:lastRenderedPageBreak/>
        <w:t>Напомним содержание Статья 48 Устава МСЭ, озаглавленной "Оборудование служб национальной обороны":</w:t>
      </w:r>
    </w:p>
    <w:p w14:paraId="6B2491D3" w14:textId="4737C9B8" w:rsidR="005A0971" w:rsidRPr="006B4B9E" w:rsidRDefault="005A0971" w:rsidP="0093183F">
      <w:pPr>
        <w:pStyle w:val="enumlev1"/>
      </w:pPr>
      <w:r w:rsidRPr="006B4B9E">
        <w:t>1</w:t>
      </w:r>
      <w:r w:rsidR="0093183F" w:rsidRPr="006B4B9E">
        <w:t>)</w:t>
      </w:r>
      <w:r w:rsidRPr="006B4B9E">
        <w:tab/>
        <w:t>Государства-Члены сохраняют за собой полную свободу в отношении военного радиооборудования.</w:t>
      </w:r>
    </w:p>
    <w:p w14:paraId="74FB3021" w14:textId="42427295" w:rsidR="005A0971" w:rsidRPr="006B4B9E" w:rsidRDefault="005A0971" w:rsidP="0093183F">
      <w:pPr>
        <w:pStyle w:val="enumlev1"/>
      </w:pPr>
      <w:r w:rsidRPr="006B4B9E">
        <w:t>2</w:t>
      </w:r>
      <w:r w:rsidR="0093183F" w:rsidRPr="006B4B9E">
        <w:t>)</w:t>
      </w:r>
      <w:r w:rsidRPr="006B4B9E">
        <w:tab/>
        <w:t>Однако при использовании этого оборудования должны по мере возможности соблюдаться установленные положения относительно оказания помощи в случае бедствия и принятия мер для предотвращения вредных помех, а также положения Административных регламентов, касающиеся типов излучения и применения частот, которые следует использовать в соответствии с характером службы, которую они обеспечивают.</w:t>
      </w:r>
    </w:p>
    <w:p w14:paraId="63726915" w14:textId="0A3296B3" w:rsidR="005A0971" w:rsidRPr="006B4B9E" w:rsidRDefault="005A0971" w:rsidP="0093183F">
      <w:pPr>
        <w:pStyle w:val="enumlev1"/>
      </w:pPr>
      <w:r w:rsidRPr="006B4B9E">
        <w:t>3</w:t>
      </w:r>
      <w:r w:rsidR="0093183F" w:rsidRPr="006B4B9E">
        <w:t>)</w:t>
      </w:r>
      <w:r w:rsidRPr="006B4B9E">
        <w:tab/>
        <w:t>Кроме того, если это оборудование используется в службе общественной корреспонденции или в других службах, предусмотренных в Административных регламентах, оно должно, как правило, соответствовать положениям, регламентирующим такого рода службы.</w:t>
      </w:r>
    </w:p>
    <w:p w14:paraId="373637A7" w14:textId="753F7852" w:rsidR="005A0971" w:rsidRPr="006B4B9E" w:rsidRDefault="005A0971" w:rsidP="005A0971">
      <w:r w:rsidRPr="006B4B9E">
        <w:t>Притом что в Статье 48 Устава МСЭ признаются права Государств-Членов, касающиеся военного радиооборудования, в Статье содержится призыв к Государствам-Членам соблюдать применимые установленные положения, с тем чтобы минимизировать вредные помехи. Что еще более важно, насколько военное радиооборудование используется не для целей национальной обороны, настолько это оборудование должно соответствовать регламентарным положениям, применимым к таким службам. Таким образом очевидно, что в Статье 48 содержатся положения, ограничивающие возможности ссылки на эту Статью и ее использования Государствами-Членами.</w:t>
      </w:r>
    </w:p>
    <w:p w14:paraId="3601C029" w14:textId="77777777" w:rsidR="005A0971" w:rsidRPr="006B4B9E" w:rsidRDefault="005A0971" w:rsidP="005A0971">
      <w:r w:rsidRPr="006B4B9E">
        <w:t>Всемирная конференция радиосвязи 2015 года в Женеве (ВКР-15), стремясь прояснить порядок ссылки на Статью 48 Устава МСЭ и применения ее положений, осуществила частичный пересмотр Регламента радиосвязи и приняла ряд решений, основанных на опыте применения радиорегламентарных процедур и других связанных вопросах.</w:t>
      </w:r>
    </w:p>
    <w:p w14:paraId="7C35AB19" w14:textId="77777777" w:rsidR="005A0971" w:rsidRPr="006B4B9E" w:rsidRDefault="005A0971" w:rsidP="005A0971">
      <w:r w:rsidRPr="006B4B9E">
        <w:t>В разделе 3.2.4.3 отчета Директора для ВКР-15 упоминается использование частотных присвоений в космических службах с прямыми или косвенными ссылками на положения Статьи 48 Устава. Обсуждая вопросы, поднятые в этом разделе, одновременно с вопросами, поднятыми в Отчете РРК по Резолюции </w:t>
      </w:r>
      <w:r w:rsidRPr="006B4B9E">
        <w:rPr>
          <w:b/>
          <w:bCs/>
        </w:rPr>
        <w:t>80</w:t>
      </w:r>
      <w:r w:rsidRPr="006B4B9E">
        <w:t>, которые касаются этих же проблем (см. раздел 4.4 Документа 14), ВКР</w:t>
      </w:r>
      <w:r w:rsidRPr="006B4B9E">
        <w:noBreakHyphen/>
        <w:t>15 отметила, что Статья 48 относится к "</w:t>
      </w:r>
      <w:r w:rsidRPr="006B4B9E">
        <w:rPr>
          <w:b/>
          <w:bCs/>
        </w:rPr>
        <w:t>военному радиооборудованию</w:t>
      </w:r>
      <w:r w:rsidRPr="006B4B9E">
        <w:t xml:space="preserve">", </w:t>
      </w:r>
      <w:r w:rsidRPr="006B4B9E">
        <w:rPr>
          <w:b/>
          <w:bCs/>
        </w:rPr>
        <w:t>а не к станциям, которые используются для правительственных целей в общем</w:t>
      </w:r>
      <w:r w:rsidRPr="006B4B9E">
        <w:t xml:space="preserve">, и </w:t>
      </w:r>
      <w:r w:rsidRPr="006B4B9E">
        <w:rPr>
          <w:b/>
          <w:bCs/>
        </w:rPr>
        <w:t>решила, что БР</w:t>
      </w:r>
      <w:r w:rsidRPr="006B4B9E">
        <w:t xml:space="preserve"> не следует делать вывод о том, что администрация в своем ответе на запрос согласно п. </w:t>
      </w:r>
      <w:r w:rsidRPr="006B4B9E">
        <w:rPr>
          <w:b/>
          <w:bCs/>
        </w:rPr>
        <w:t xml:space="preserve">13.6 </w:t>
      </w:r>
      <w:r w:rsidRPr="006B4B9E">
        <w:t xml:space="preserve">РР ссылается на Статью 48 Устава, если только эта администрация явным образом не цитирует Статью 48. ВКР-15 также решила, что не должно быть ограничений на классы станций и характер служб для станции, отвечающей критериям для работы в соответствии со Статьей 48 (Документ </w:t>
      </w:r>
      <w:r w:rsidRPr="006B4B9E">
        <w:rPr>
          <w:bCs/>
          <w:iCs/>
        </w:rPr>
        <w:t>CR/389 ВКР-15</w:t>
      </w:r>
      <w:r w:rsidRPr="006B4B9E">
        <w:t>).</w:t>
      </w:r>
    </w:p>
    <w:p w14:paraId="31F1E5DA" w14:textId="77777777" w:rsidR="005A0971" w:rsidRPr="006B4B9E" w:rsidRDefault="005A0971" w:rsidP="005A0971">
      <w:pPr>
        <w:rPr>
          <w:i/>
          <w:iCs/>
        </w:rPr>
      </w:pPr>
      <w:r w:rsidRPr="006B4B9E">
        <w:t>Раздел 4.10 Отчета Радиорегламентарного комитета для ВКР-19 по Резолюции 80 (Пересм. ВКР-07) (Документ RRB19-1/2) посвящен применению Статьи 48 Устава МСЭ. В данном разделе Комитет отметил следующее: "</w:t>
      </w:r>
      <w:r w:rsidRPr="006B4B9E">
        <w:rPr>
          <w:i/>
          <w:iCs/>
        </w:rPr>
        <w:t>Комитет также рассмотрел поднятые некоторыми администрациями вопросы, касающиеся уместности применения ранее другими администрациями Статьи 48 Устава МСЭ. Комитет признал, что ВКР-12 и ВКР-15 приняли решения о применении Статьи 48 Устава МСЭ, а также положения 3 (У204) Статьи 48, которое гласит:</w:t>
      </w:r>
    </w:p>
    <w:p w14:paraId="280BBB22" w14:textId="3AC72524" w:rsidR="005A0971" w:rsidRPr="006B4B9E" w:rsidRDefault="005A0971" w:rsidP="005A0971">
      <w:pPr>
        <w:rPr>
          <w:i/>
          <w:iCs/>
        </w:rPr>
      </w:pPr>
      <w:r w:rsidRPr="006B4B9E">
        <w:rPr>
          <w:i/>
          <w:iCs/>
        </w:rPr>
        <w:t>У204</w:t>
      </w:r>
      <w:r w:rsidRPr="006B4B9E">
        <w:rPr>
          <w:i/>
          <w:iCs/>
        </w:rPr>
        <w:tab/>
      </w:r>
      <w:r w:rsidRPr="006B4B9E">
        <w:rPr>
          <w:i/>
          <w:iCs/>
        </w:rPr>
        <w:tab/>
        <w:t>3</w:t>
      </w:r>
      <w:r w:rsidRPr="006B4B9E">
        <w:rPr>
          <w:i/>
          <w:iCs/>
        </w:rPr>
        <w:tab/>
        <w:t>Кроме того, если это оборудование используется в службе общественной корреспонденции или в других службах, предусмотренных в Административных регламентах, оно должно, как правило, соответствовать положениям, регламентирующим такого рода службы.</w:t>
      </w:r>
    </w:p>
    <w:p w14:paraId="6516C025" w14:textId="240C908E" w:rsidR="005A0971" w:rsidRPr="006B4B9E" w:rsidRDefault="005A0971" w:rsidP="005A0971">
      <w:pPr>
        <w:rPr>
          <w:bCs/>
          <w:i/>
        </w:rPr>
      </w:pPr>
      <w:r w:rsidRPr="006B4B9E">
        <w:rPr>
          <w:i/>
          <w:iCs/>
        </w:rPr>
        <w:t>Учитывая закономерную деликатность вопросов, связанных с национальной обороной, Комитет полагает, что ВКР</w:t>
      </w:r>
      <w:r w:rsidRPr="006B4B9E">
        <w:rPr>
          <w:i/>
          <w:iCs/>
        </w:rPr>
        <w:noBreakHyphen/>
        <w:t xml:space="preserve">15 пришла к заключению, что администрации должны прямо ссылаться на Статью 48 Устава, для того чтобы применить ее, и, после того как они сделали это, их заявление является окончательным. </w:t>
      </w:r>
      <w:r w:rsidRPr="006B4B9E">
        <w:rPr>
          <w:b/>
          <w:bCs/>
          <w:i/>
          <w:iCs/>
        </w:rPr>
        <w:t>Наряду с этим Комитет признал, что в его мандат не входит принятие оспаривающих решений после того, как администрация сослалась на Статью 48 Устава. Таким образом, ссылка на Статью 48 Устава в ответ на запрос в соответствии с п. 13.6 должна считаться сделанной совершенно честно</w:t>
      </w:r>
      <w:r w:rsidR="0093183F" w:rsidRPr="006B4B9E">
        <w:t>"</w:t>
      </w:r>
      <w:r w:rsidRPr="006B4B9E">
        <w:t>.</w:t>
      </w:r>
    </w:p>
    <w:p w14:paraId="34D63F82" w14:textId="77777777" w:rsidR="005A0971" w:rsidRPr="006B4B9E" w:rsidRDefault="005A0971" w:rsidP="005A0971">
      <w:pPr>
        <w:rPr>
          <w:i/>
        </w:rPr>
      </w:pPr>
      <w:r w:rsidRPr="006B4B9E">
        <w:lastRenderedPageBreak/>
        <w:t xml:space="preserve">Кроме того, </w:t>
      </w:r>
      <w:r w:rsidRPr="006B4B9E">
        <w:rPr>
          <w:iCs/>
        </w:rPr>
        <w:t>"</w:t>
      </w:r>
      <w:r w:rsidRPr="006B4B9E">
        <w:rPr>
          <w:b/>
          <w:bCs/>
          <w:i/>
          <w:iCs/>
        </w:rPr>
        <w:t>Комитет призывает все администрации, которые ссылаются на Статью 48 Устава, делать это только на законных основаниях</w:t>
      </w:r>
      <w:r w:rsidRPr="006B4B9E">
        <w:rPr>
          <w:iCs/>
        </w:rPr>
        <w:t>"</w:t>
      </w:r>
      <w:r w:rsidRPr="006B4B9E">
        <w:rPr>
          <w:i/>
        </w:rPr>
        <w:t>.</w:t>
      </w:r>
    </w:p>
    <w:p w14:paraId="1A4F1F91" w14:textId="293652A0" w:rsidR="005A0971" w:rsidRPr="006B4B9E" w:rsidRDefault="005A0971" w:rsidP="005A0971">
      <w:r w:rsidRPr="006B4B9E">
        <w:t>При уважении прав администраций в отношении военного радиооборудования для служб национальной обороны в соответствии с положениями Статьи 48, была выражена серьезная обеспокоенность, особенно в отношении последствий ссылки на Статью 48 в ущерб справедливому доступу других администраций и других спутниковых сетей к орбитальным ресурсам, а также использования этой Статьи как регламентарной "лазейки", позволяющей защитить конкретные заявки от рассмотрения в соответствии с п. </w:t>
      </w:r>
      <w:r w:rsidRPr="006B4B9E">
        <w:rPr>
          <w:b/>
          <w:bCs/>
        </w:rPr>
        <w:t>13.6</w:t>
      </w:r>
      <w:r w:rsidRPr="006B4B9E">
        <w:t xml:space="preserve"> Регламента радиосвязи (см., например, Документ</w:t>
      </w:r>
      <w:r w:rsidR="0093183F" w:rsidRPr="006B4B9E">
        <w:t> </w:t>
      </w:r>
      <w:r w:rsidRPr="006B4B9E">
        <w:t>18</w:t>
      </w:r>
      <w:r w:rsidR="0093183F" w:rsidRPr="006B4B9E">
        <w:noBreakHyphen/>
      </w:r>
      <w:r w:rsidRPr="006B4B9E">
        <w:t xml:space="preserve">1/7 </w:t>
      </w:r>
      <w:r w:rsidR="0093183F" w:rsidRPr="006B4B9E">
        <w:t xml:space="preserve">РРК </w:t>
      </w:r>
      <w:r w:rsidRPr="006B4B9E">
        <w:t>от 26 февраля 2018 г</w:t>
      </w:r>
      <w:r w:rsidR="0093183F" w:rsidRPr="006B4B9E">
        <w:t>.</w:t>
      </w:r>
      <w:r w:rsidRPr="006B4B9E">
        <w:t>). В связи с этим возникает общий вопрос, возможно ли применение Статья 48 к спутниковым системам для того, чтобы администрации пользовались правами, возникающими в результате применения положений Регламента радиосвязи, без выполнения связанных с этим обязательств.</w:t>
      </w:r>
    </w:p>
    <w:p w14:paraId="687AC023" w14:textId="77777777" w:rsidR="005A0971" w:rsidRPr="006B4B9E" w:rsidRDefault="005A0971" w:rsidP="005A0971">
      <w:r w:rsidRPr="006B4B9E">
        <w:t>В этом контексте можно рассмотреть ряд вопросов, связанных с применением на практике Статьи 48 к спутниковым системам: i) публикация информации о применении Статьи 48 в отношении спутниковой сети (например, в процессе представления заявки CR/C); ii) априорное определение спутниковых сетей, функционирующих в соответствии со Статьей 48; и iii) какой подход применять к спутниковым сетям, в отношении которых была сделана ссылка на Статью 48, если впоследствии данные спутниковые сети использовались для невоенного радиооборудования.</w:t>
      </w:r>
    </w:p>
    <w:p w14:paraId="4829DCF9" w14:textId="77777777" w:rsidR="005A0971" w:rsidRPr="006B4B9E" w:rsidRDefault="005A0971" w:rsidP="005A0971">
      <w:r w:rsidRPr="006B4B9E">
        <w:t>Конкретные аспекты данных вопросов вероятно потребуют всестороннего рассмотрения на Всемирной конференции радиосвязи, поскольку они непосредственно относятся к применению принципов, закрепленных в Статье 48 Устава МСЭ, к спутниковым системам.</w:t>
      </w:r>
    </w:p>
    <w:p w14:paraId="090F29A2" w14:textId="77777777" w:rsidR="005A0971" w:rsidRPr="006B4B9E" w:rsidRDefault="005A0971" w:rsidP="0093183F">
      <w:pPr>
        <w:pStyle w:val="Headingb"/>
        <w:rPr>
          <w:lang w:val="ru-RU"/>
        </w:rPr>
      </w:pPr>
      <w:r w:rsidRPr="006B4B9E">
        <w:rPr>
          <w:lang w:val="ru-RU"/>
        </w:rPr>
        <w:t>Заключение</w:t>
      </w:r>
    </w:p>
    <w:p w14:paraId="25BCD1EB" w14:textId="77777777" w:rsidR="005A0971" w:rsidRPr="006B4B9E" w:rsidRDefault="005A0971" w:rsidP="005A0971">
      <w:r w:rsidRPr="006B4B9E">
        <w:t xml:space="preserve">Администрациям следует учитывать, что применение Статьи 48 Устава МСЭ ограничено исключительно военным радиооборудованием, и положения этой Статьи не должны использоваться для невоенного или коммерческого радиооборудования. Необходимо исключить какое бы то ни было коммерческое использование частотных присвоений в связи со Статьей 48. Присвоения для коммерческих и военных целей должны быть разнесены на две отдельные заявки. </w:t>
      </w:r>
    </w:p>
    <w:p w14:paraId="57CDE256" w14:textId="5C0D52B8" w:rsidR="005A0971" w:rsidRPr="006B4B9E" w:rsidRDefault="005A0971" w:rsidP="005A0971">
      <w:r w:rsidRPr="006B4B9E">
        <w:t>Как следствие, для прояснения последствий ссылки на Статью 48 Устава МСЭ и учитывая</w:t>
      </w:r>
      <w:r w:rsidR="00267C22">
        <w:t>:</w:t>
      </w:r>
    </w:p>
    <w:p w14:paraId="1070DF67" w14:textId="04E899BE" w:rsidR="005A0971" w:rsidRPr="006B4B9E" w:rsidRDefault="005A0971" w:rsidP="0093183F">
      <w:pPr>
        <w:pStyle w:val="enumlev1"/>
      </w:pPr>
      <w:r w:rsidRPr="006B4B9E">
        <w:t>–</w:t>
      </w:r>
      <w:r w:rsidRPr="006B4B9E">
        <w:tab/>
        <w:t>права администраций в отношении военного радиооборудования для служб национальной обороны в соответствии со Статьей 48 Устава МСЭ</w:t>
      </w:r>
      <w:r w:rsidR="003A1918" w:rsidRPr="006B4B9E">
        <w:t>;</w:t>
      </w:r>
      <w:r w:rsidRPr="006B4B9E">
        <w:t xml:space="preserve"> и</w:t>
      </w:r>
    </w:p>
    <w:p w14:paraId="553723F2" w14:textId="6A5EC252" w:rsidR="005A0971" w:rsidRPr="006B4B9E" w:rsidRDefault="005A0971" w:rsidP="0093183F">
      <w:pPr>
        <w:pStyle w:val="enumlev1"/>
      </w:pPr>
      <w:r w:rsidRPr="006B4B9E">
        <w:t>–</w:t>
      </w:r>
      <w:r w:rsidRPr="006B4B9E">
        <w:tab/>
        <w:t>последствия применения Статьи 48 Устава МСЭ в ущерб другим администрациям и другим спутниковым сетям</w:t>
      </w:r>
      <w:r w:rsidR="003A1918" w:rsidRPr="006B4B9E">
        <w:t>.</w:t>
      </w:r>
    </w:p>
    <w:p w14:paraId="376BE459" w14:textId="77777777" w:rsidR="009B5CC2" w:rsidRPr="006B4B9E" w:rsidRDefault="009B5CC2" w:rsidP="0093183F">
      <w:r w:rsidRPr="006B4B9E">
        <w:br w:type="page"/>
      </w:r>
    </w:p>
    <w:p w14:paraId="4123FC9B" w14:textId="77777777" w:rsidR="00BE5AD5" w:rsidRPr="006B4B9E" w:rsidRDefault="00FA5073">
      <w:pPr>
        <w:pStyle w:val="Proposal"/>
      </w:pPr>
      <w:r w:rsidRPr="006B4B9E">
        <w:lastRenderedPageBreak/>
        <w:tab/>
        <w:t>D/AUT/B/CME/DJI/F/LUX/MLI/NOR/HOL/POR/S/SUI/TUN/78/1</w:t>
      </w:r>
    </w:p>
    <w:p w14:paraId="1C0403B3" w14:textId="062B564E" w:rsidR="005A0971" w:rsidRPr="00267C22" w:rsidRDefault="0093183F" w:rsidP="00267C22">
      <w:pPr>
        <w:pStyle w:val="Headingb"/>
        <w:rPr>
          <w:bCs/>
        </w:rPr>
      </w:pPr>
      <w:bookmarkStart w:id="9" w:name="_Hlk22491591"/>
      <w:r w:rsidRPr="006B4B9E">
        <w:t>Предлагается</w:t>
      </w:r>
      <w:r w:rsidR="00267C22" w:rsidRPr="00267C22">
        <w:rPr>
          <w:b w:val="0"/>
        </w:rPr>
        <w:t>:</w:t>
      </w:r>
    </w:p>
    <w:p w14:paraId="610EA84B" w14:textId="40666176" w:rsidR="005A0971" w:rsidRPr="006B4B9E" w:rsidRDefault="005A0971" w:rsidP="005A0971">
      <w:pPr>
        <w:rPr>
          <w:b/>
          <w:bCs/>
        </w:rPr>
      </w:pPr>
      <w:r w:rsidRPr="006B4B9E">
        <w:rPr>
          <w:bCs/>
        </w:rPr>
        <w:t>Всемирной конференции радиосвязи 2019 года (ВКР-19) принять решение о практических аспектах, связанных со спутниковыми сетями, в отношении которых в связи с исследованиями БР согласно п. </w:t>
      </w:r>
      <w:r w:rsidRPr="006B4B9E">
        <w:rPr>
          <w:b/>
        </w:rPr>
        <w:t>13.6</w:t>
      </w:r>
      <w:r w:rsidRPr="006B4B9E">
        <w:rPr>
          <w:bCs/>
        </w:rPr>
        <w:t xml:space="preserve"> </w:t>
      </w:r>
      <w:r w:rsidR="0093183F" w:rsidRPr="006B4B9E">
        <w:rPr>
          <w:bCs/>
        </w:rPr>
        <w:t xml:space="preserve">РР </w:t>
      </w:r>
      <w:r w:rsidRPr="006B4B9E">
        <w:rPr>
          <w:bCs/>
        </w:rPr>
        <w:t>была сделана ссылка на Статью 48 Устава, а именно:</w:t>
      </w:r>
    </w:p>
    <w:p w14:paraId="0A5B1CEA" w14:textId="77777777" w:rsidR="005A0971" w:rsidRPr="006B4B9E" w:rsidRDefault="005A0971" w:rsidP="0093183F">
      <w:pPr>
        <w:pStyle w:val="enumlev1"/>
      </w:pPr>
      <w:r w:rsidRPr="006B4B9E">
        <w:t>1)</w:t>
      </w:r>
      <w:r w:rsidRPr="006B4B9E">
        <w:tab/>
        <w:t>поручить БР систематически и регулярно публиковать список заявок на регистрацию спутниковых сетей, в отношении которых сделана ссылка на Статью 48, с тем чтобы обеспечить бóльшую прозрачность для всех Государств-Членов;</w:t>
      </w:r>
    </w:p>
    <w:p w14:paraId="6471046A" w14:textId="7AB7AE0E" w:rsidR="005A0971" w:rsidRPr="006B4B9E" w:rsidRDefault="005A0971" w:rsidP="0093183F">
      <w:pPr>
        <w:pStyle w:val="enumlev1"/>
      </w:pPr>
      <w:r w:rsidRPr="006B4B9E">
        <w:t>2)</w:t>
      </w:r>
      <w:r w:rsidRPr="006B4B9E">
        <w:tab/>
        <w:t>разъяснить подход к существующим спутниковым сетям согласно п. </w:t>
      </w:r>
      <w:r w:rsidRPr="006B4B9E">
        <w:rPr>
          <w:b/>
          <w:bCs/>
        </w:rPr>
        <w:t>13.6</w:t>
      </w:r>
      <w:r w:rsidR="0093183F" w:rsidRPr="006B4B9E">
        <w:t xml:space="preserve"> РР</w:t>
      </w:r>
      <w:r w:rsidRPr="006B4B9E">
        <w:t>, в отношении которых сделана ссылка на Статью 48, если выяснилось, что данные сети используются для гражданского радиооборудования. Статья 48 может применяться исключительно к национальному военному радиооборудованию заявляющей администрации и не должна применяться к имеющим двойное назначение (военное и гражданское) заявкам на регистрацию. В будущем следует подавать отдельные заявки на регистрацию военного оборудования и коммерческое использование. Вследствие этого любые заявки на регистрацию, в отношении которых сделана ссылка на Статью 48, не могут впоследствии использоваться для невоенных (например, коммерческих) целей. В</w:t>
      </w:r>
      <w:r w:rsidR="006B4B9E" w:rsidRPr="006B4B9E">
        <w:t> </w:t>
      </w:r>
      <w:r w:rsidRPr="006B4B9E">
        <w:t>тех случаях, когда ссылка на Статью 48 уже сделана, БР следует во взаимодействии с заинтересованной администрацией отметить, к какой части присвоения применима Статья 48, а оставшуюся часть присвоения рассматривать в соответствии с п. </w:t>
      </w:r>
      <w:r w:rsidRPr="006B4B9E">
        <w:rPr>
          <w:b/>
          <w:bCs/>
        </w:rPr>
        <w:t>13.6</w:t>
      </w:r>
      <w:r w:rsidR="0093183F" w:rsidRPr="006B4B9E">
        <w:t xml:space="preserve"> РР</w:t>
      </w:r>
      <w:r w:rsidRPr="006B4B9E">
        <w:t>;</w:t>
      </w:r>
    </w:p>
    <w:p w14:paraId="5EC33451" w14:textId="14C53D24" w:rsidR="005A0971" w:rsidRPr="006B4B9E" w:rsidRDefault="005A0971" w:rsidP="0093183F">
      <w:pPr>
        <w:pStyle w:val="enumlev1"/>
      </w:pPr>
      <w:r w:rsidRPr="006B4B9E">
        <w:t>3)</w:t>
      </w:r>
      <w:r w:rsidRPr="006B4B9E">
        <w:tab/>
        <w:t>определить предельные сроки для ссылки на Статью 48, например за два года до ввода в действие. В рамках текущей практики другие заинтересованные администрации узнают о</w:t>
      </w:r>
      <w:r w:rsidR="00267C22">
        <w:t> </w:t>
      </w:r>
      <w:r w:rsidRPr="006B4B9E">
        <w:t>ссылке на Статью 48 только в ходе исследования в соответствии с п. </w:t>
      </w:r>
      <w:r w:rsidRPr="006B4B9E">
        <w:rPr>
          <w:b/>
          <w:bCs/>
        </w:rPr>
        <w:t>13.6</w:t>
      </w:r>
      <w:r w:rsidR="0093183F" w:rsidRPr="006B4B9E">
        <w:t xml:space="preserve"> РР</w:t>
      </w:r>
      <w:r w:rsidRPr="006B4B9E">
        <w:t>. В том случае, если ссылка на Статью 48 сделана по истечении предельного срока, она не должна использоваться в качестве основания для непредставления ответа на запрос, сделанный в рамках исследования согласно п. </w:t>
      </w:r>
      <w:r w:rsidRPr="006B4B9E">
        <w:rPr>
          <w:b/>
          <w:bCs/>
        </w:rPr>
        <w:t>13</w:t>
      </w:r>
      <w:r w:rsidRPr="00267C22">
        <w:rPr>
          <w:b/>
          <w:bCs/>
        </w:rPr>
        <w:t>.6</w:t>
      </w:r>
      <w:r w:rsidR="0093183F" w:rsidRPr="006B4B9E">
        <w:t xml:space="preserve"> РР</w:t>
      </w:r>
      <w:r w:rsidRPr="006B4B9E">
        <w:t xml:space="preserve">; </w:t>
      </w:r>
    </w:p>
    <w:p w14:paraId="01BAF127" w14:textId="34CA78D2" w:rsidR="005A0971" w:rsidRPr="006B4B9E" w:rsidRDefault="005A0971" w:rsidP="0093183F">
      <w:pPr>
        <w:pStyle w:val="enumlev1"/>
      </w:pPr>
      <w:r w:rsidRPr="006B4B9E">
        <w:t>4)</w:t>
      </w:r>
      <w:r w:rsidRPr="006B4B9E">
        <w:tab/>
        <w:t>обеспечить для БР руководящие указания о порядке применения п. </w:t>
      </w:r>
      <w:r w:rsidRPr="006B4B9E">
        <w:rPr>
          <w:b/>
          <w:bCs/>
        </w:rPr>
        <w:t>13.6</w:t>
      </w:r>
      <w:r w:rsidR="0093183F" w:rsidRPr="006B4B9E">
        <w:t xml:space="preserve"> РР</w:t>
      </w:r>
      <w:r w:rsidRPr="006B4B9E">
        <w:t xml:space="preserve"> к спутниковым сетям, в отношении которых сделана ссылка на Статью 48, но правомерность применения Статьи 48 оспаривается другим Государством-Членом, принимая во внимание пп. 2 и 3, выше. </w:t>
      </w:r>
    </w:p>
    <w:p w14:paraId="7BC223F4" w14:textId="4636AC55" w:rsidR="005A0971" w:rsidRPr="006B4B9E" w:rsidRDefault="005A0971" w:rsidP="005A0971">
      <w:r w:rsidRPr="006B4B9E">
        <w:t>Данные элементы не должны рассматриваться как ограничивающие в какой бы то ни было мере права администраций на применение Статьи 48. Они должны использоваться БР и РРК только в качестве руководящих указаний для определения случаев, когда Статья 48 более не может рассматриваться как основание для непредставления ответа на запрос, сделанный в рамках исследования согласно п. </w:t>
      </w:r>
      <w:r w:rsidRPr="006B4B9E">
        <w:rPr>
          <w:b/>
          <w:bCs/>
        </w:rPr>
        <w:t>13.6</w:t>
      </w:r>
      <w:r w:rsidR="0093183F" w:rsidRPr="006B4B9E">
        <w:t xml:space="preserve"> РР</w:t>
      </w:r>
      <w:r w:rsidRPr="006B4B9E">
        <w:t>.</w:t>
      </w:r>
    </w:p>
    <w:bookmarkEnd w:id="9"/>
    <w:p w14:paraId="3E7699AF" w14:textId="77777777" w:rsidR="005A0971" w:rsidRPr="006B4B9E" w:rsidRDefault="005A0971" w:rsidP="00411C49">
      <w:pPr>
        <w:pStyle w:val="Reasons"/>
      </w:pPr>
    </w:p>
    <w:p w14:paraId="66F298E7" w14:textId="77777777" w:rsidR="005A0971" w:rsidRPr="006B4B9E" w:rsidRDefault="005A0971">
      <w:pPr>
        <w:jc w:val="center"/>
      </w:pPr>
      <w:r w:rsidRPr="006B4B9E">
        <w:t>______________</w:t>
      </w:r>
    </w:p>
    <w:sectPr w:rsidR="005A0971" w:rsidRPr="006B4B9E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F96F8" w14:textId="77777777" w:rsidR="00F1578A" w:rsidRDefault="00F1578A">
      <w:r>
        <w:separator/>
      </w:r>
    </w:p>
  </w:endnote>
  <w:endnote w:type="continuationSeparator" w:id="0">
    <w:p w14:paraId="59EC4351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FFDC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3687B51" w14:textId="4CDB6E37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825A1">
      <w:rPr>
        <w:noProof/>
        <w:lang w:val="fr-FR"/>
      </w:rPr>
      <w:t>P:\RUS\ITU-R\CONF-R\CMR19\000\078R.docx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825A1">
      <w:rPr>
        <w:noProof/>
      </w:rPr>
      <w:t>20.10.19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825A1">
      <w:rPr>
        <w:noProof/>
      </w:rPr>
      <w:t>20.10.19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76EB0" w14:textId="000688B6" w:rsidR="00567276" w:rsidRPr="00FA5073" w:rsidRDefault="00567276" w:rsidP="00F33B22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825A1">
      <w:rPr>
        <w:lang w:val="fr-FR"/>
      </w:rPr>
      <w:t>P:\RUS\ITU-R\CONF-R\CMR19\000\078R.docx</w:t>
    </w:r>
    <w:r>
      <w:fldChar w:fldCharType="end"/>
    </w:r>
    <w:r w:rsidR="00FA5073">
      <w:rPr>
        <w:lang w:val="ru-RU"/>
      </w:rPr>
      <w:t xml:space="preserve"> (462153)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AE1D2" w14:textId="383329DE" w:rsidR="00FA5073" w:rsidRPr="00FA5073" w:rsidRDefault="00FA5073" w:rsidP="00FA5073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825A1">
      <w:rPr>
        <w:lang w:val="fr-FR"/>
      </w:rPr>
      <w:t>P:\RUS\ITU-R\CONF-R\CMR19\000\078R.docx</w:t>
    </w:r>
    <w:r>
      <w:fldChar w:fldCharType="end"/>
    </w:r>
    <w:r>
      <w:rPr>
        <w:lang w:val="ru-RU"/>
      </w:rPr>
      <w:t xml:space="preserve"> (462153)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D20AE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7A747AFE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7B51A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6EB829C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78-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67C22"/>
    <w:rsid w:val="00290C74"/>
    <w:rsid w:val="002A2D3F"/>
    <w:rsid w:val="00300F84"/>
    <w:rsid w:val="003258F2"/>
    <w:rsid w:val="00344EB8"/>
    <w:rsid w:val="00346BEC"/>
    <w:rsid w:val="00371E4B"/>
    <w:rsid w:val="003A1918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0971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B4B9E"/>
    <w:rsid w:val="0070728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3183F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BE5AD5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825A1"/>
    <w:rsid w:val="00F97203"/>
    <w:rsid w:val="00FA507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9BD1BD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67C2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267C22"/>
    <w:rPr>
      <w:rFonts w:ascii="Times New Roman" w:hAnsi="Times New Roman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R16-WRC19-C-0078!!MSW-R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AA8B05F-8158-4098-AF96-3E84813A0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00E332-5822-4B61-AB19-AE97582FF39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F9720E-8C56-43D3-B4C9-9B89A4012A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178224-20DD-4572-9B1F-65869E6CD1D1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996b2e75-67fd-4955-a3b0-5ab9934cb50b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1490</Words>
  <Characters>9882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R16-WRC19-C-0078!!MSW-R</vt:lpstr>
    </vt:vector>
  </TitlesOfParts>
  <Manager>General Secretariat - Pool</Manager>
  <Company>International Telecommunication Union (ITU)</Company>
  <LinksUpToDate>false</LinksUpToDate>
  <CharactersWithSpaces>11333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R16-WRC19-C-0078!!MSW-R</dc:title>
  <dc:subject>World Radiocommunication Conference - 2019</dc:subject>
  <dc:creator>Documents Proposals Manager (DPM)</dc:creator>
  <cp:keywords>DPM_v2019.9.25.1_prod</cp:keywords>
  <dc:description/>
  <cp:lastModifiedBy>Russian</cp:lastModifiedBy>
  <cp:revision>8</cp:revision>
  <cp:lastPrinted>2019-10-20T17:54:00Z</cp:lastPrinted>
  <dcterms:created xsi:type="dcterms:W3CDTF">2019-10-20T17:22:00Z</dcterms:created>
  <dcterms:modified xsi:type="dcterms:W3CDTF">2019-10-20T17:55:00Z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