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3B98442" w14:textId="77777777">
        <w:trPr>
          <w:cantSplit/>
        </w:trPr>
        <w:tc>
          <w:tcPr>
            <w:tcW w:w="6911" w:type="dxa"/>
          </w:tcPr>
          <w:p w14:paraId="6BBCC339"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439A5B9E" w14:textId="77777777" w:rsidR="00A066F1" w:rsidRDefault="005F04D8" w:rsidP="003B2284">
            <w:pPr>
              <w:spacing w:before="0" w:line="240" w:lineRule="atLeast"/>
              <w:jc w:val="right"/>
            </w:pPr>
            <w:bookmarkStart w:id="1" w:name="ditulogo"/>
            <w:bookmarkEnd w:id="1"/>
            <w:r>
              <w:rPr>
                <w:noProof/>
                <w:lang w:eastAsia="en-GB"/>
              </w:rPr>
              <w:drawing>
                <wp:inline distT="0" distB="0" distL="0" distR="0" wp14:anchorId="65791B6F" wp14:editId="721E561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EE8A221" w14:textId="77777777">
        <w:trPr>
          <w:cantSplit/>
        </w:trPr>
        <w:tc>
          <w:tcPr>
            <w:tcW w:w="6911" w:type="dxa"/>
            <w:tcBorders>
              <w:bottom w:val="single" w:sz="12" w:space="0" w:color="auto"/>
            </w:tcBorders>
          </w:tcPr>
          <w:p w14:paraId="4F1392DF" w14:textId="77777777" w:rsidR="00A066F1" w:rsidRPr="003B2284"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14:paraId="3CF64602" w14:textId="77777777" w:rsidR="00A066F1" w:rsidRPr="00617BE4" w:rsidRDefault="00A066F1" w:rsidP="00A066F1">
            <w:pPr>
              <w:spacing w:before="0" w:line="240" w:lineRule="atLeast"/>
              <w:rPr>
                <w:rFonts w:ascii="Verdana" w:hAnsi="Verdana"/>
                <w:szCs w:val="24"/>
              </w:rPr>
            </w:pPr>
          </w:p>
        </w:tc>
      </w:tr>
      <w:tr w:rsidR="00A066F1" w:rsidRPr="00C324A8" w14:paraId="29411F22" w14:textId="77777777">
        <w:trPr>
          <w:cantSplit/>
        </w:trPr>
        <w:tc>
          <w:tcPr>
            <w:tcW w:w="6911" w:type="dxa"/>
            <w:tcBorders>
              <w:top w:val="single" w:sz="12" w:space="0" w:color="auto"/>
            </w:tcBorders>
          </w:tcPr>
          <w:p w14:paraId="4DA098F0"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5181DEF" w14:textId="77777777" w:rsidR="00A066F1" w:rsidRPr="00C324A8" w:rsidRDefault="00A066F1" w:rsidP="00A066F1">
            <w:pPr>
              <w:spacing w:before="0" w:line="240" w:lineRule="atLeast"/>
              <w:rPr>
                <w:rFonts w:ascii="Verdana" w:hAnsi="Verdana"/>
                <w:sz w:val="20"/>
              </w:rPr>
            </w:pPr>
          </w:p>
        </w:tc>
      </w:tr>
      <w:tr w:rsidR="00A066F1" w:rsidRPr="00C324A8" w14:paraId="1A40365D" w14:textId="77777777">
        <w:trPr>
          <w:cantSplit/>
          <w:trHeight w:val="23"/>
        </w:trPr>
        <w:tc>
          <w:tcPr>
            <w:tcW w:w="6911" w:type="dxa"/>
            <w:shd w:val="clear" w:color="auto" w:fill="auto"/>
          </w:tcPr>
          <w:p w14:paraId="425435DD" w14:textId="77777777"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tcPr>
          <w:p w14:paraId="33A3494F"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8 to</w:t>
            </w:r>
            <w:r>
              <w:rPr>
                <w:rFonts w:ascii="Verdana" w:hAnsi="Verdana"/>
                <w:b/>
                <w:sz w:val="20"/>
              </w:rPr>
              <w:br/>
              <w:t>Document 75</w:t>
            </w:r>
            <w:r w:rsidR="00A066F1" w:rsidRPr="00841216">
              <w:rPr>
                <w:rFonts w:ascii="Verdana" w:hAnsi="Verdana"/>
                <w:b/>
                <w:sz w:val="20"/>
              </w:rPr>
              <w:t>-</w:t>
            </w:r>
            <w:r w:rsidR="005E10C9" w:rsidRPr="00841216">
              <w:rPr>
                <w:rFonts w:ascii="Verdana" w:hAnsi="Verdana"/>
                <w:b/>
                <w:sz w:val="20"/>
              </w:rPr>
              <w:t>E</w:t>
            </w:r>
          </w:p>
        </w:tc>
      </w:tr>
      <w:tr w:rsidR="00A066F1" w:rsidRPr="00C324A8" w14:paraId="40478987" w14:textId="77777777">
        <w:trPr>
          <w:cantSplit/>
          <w:trHeight w:val="23"/>
        </w:trPr>
        <w:tc>
          <w:tcPr>
            <w:tcW w:w="6911" w:type="dxa"/>
            <w:shd w:val="clear" w:color="auto" w:fill="auto"/>
          </w:tcPr>
          <w:p w14:paraId="2C725F62" w14:textId="77777777"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3AC20506"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18 October 2019</w:t>
            </w:r>
          </w:p>
        </w:tc>
      </w:tr>
      <w:tr w:rsidR="00A066F1" w:rsidRPr="00C324A8" w14:paraId="7A2EA46B" w14:textId="77777777">
        <w:trPr>
          <w:cantSplit/>
          <w:trHeight w:val="23"/>
        </w:trPr>
        <w:tc>
          <w:tcPr>
            <w:tcW w:w="6911" w:type="dxa"/>
            <w:shd w:val="clear" w:color="auto" w:fill="auto"/>
          </w:tcPr>
          <w:p w14:paraId="1373CB6D"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5C4FBDBB"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C90C010" w14:textId="77777777" w:rsidTr="00025864">
        <w:trPr>
          <w:cantSplit/>
          <w:trHeight w:val="23"/>
        </w:trPr>
        <w:tc>
          <w:tcPr>
            <w:tcW w:w="10031" w:type="dxa"/>
            <w:gridSpan w:val="2"/>
            <w:shd w:val="clear" w:color="auto" w:fill="auto"/>
          </w:tcPr>
          <w:p w14:paraId="6A6695E1" w14:textId="77777777" w:rsidR="00A066F1" w:rsidRPr="00C324A8" w:rsidRDefault="00A066F1" w:rsidP="00A066F1">
            <w:pPr>
              <w:tabs>
                <w:tab w:val="left" w:pos="993"/>
              </w:tabs>
              <w:spacing w:before="0"/>
              <w:rPr>
                <w:rFonts w:ascii="Verdana" w:hAnsi="Verdana"/>
                <w:b/>
                <w:sz w:val="20"/>
              </w:rPr>
            </w:pPr>
          </w:p>
        </w:tc>
      </w:tr>
      <w:tr w:rsidR="00E55816" w:rsidRPr="00C324A8" w14:paraId="21367B8C" w14:textId="77777777" w:rsidTr="00025864">
        <w:trPr>
          <w:cantSplit/>
          <w:trHeight w:val="23"/>
        </w:trPr>
        <w:tc>
          <w:tcPr>
            <w:tcW w:w="10031" w:type="dxa"/>
            <w:gridSpan w:val="2"/>
            <w:shd w:val="clear" w:color="auto" w:fill="auto"/>
          </w:tcPr>
          <w:p w14:paraId="58251228" w14:textId="77777777" w:rsidR="00E55816" w:rsidRDefault="00884D60" w:rsidP="00E55816">
            <w:pPr>
              <w:pStyle w:val="Source"/>
            </w:pPr>
            <w:r>
              <w:t>Samoa (Independent State of)</w:t>
            </w:r>
          </w:p>
        </w:tc>
      </w:tr>
      <w:tr w:rsidR="00E55816" w:rsidRPr="00C324A8" w14:paraId="0C73E7BB" w14:textId="77777777" w:rsidTr="00025864">
        <w:trPr>
          <w:cantSplit/>
          <w:trHeight w:val="23"/>
        </w:trPr>
        <w:tc>
          <w:tcPr>
            <w:tcW w:w="10031" w:type="dxa"/>
            <w:gridSpan w:val="2"/>
            <w:shd w:val="clear" w:color="auto" w:fill="auto"/>
          </w:tcPr>
          <w:p w14:paraId="422E7CBB" w14:textId="77777777" w:rsidR="00E55816" w:rsidRDefault="007D5320" w:rsidP="00E55816">
            <w:pPr>
              <w:pStyle w:val="Title1"/>
            </w:pPr>
            <w:r>
              <w:t>WRC-19 AGENDA ITEM 1.8 ISSUE B</w:t>
            </w:r>
          </w:p>
        </w:tc>
      </w:tr>
      <w:tr w:rsidR="00E55816" w:rsidRPr="00C324A8" w14:paraId="35C9833D" w14:textId="77777777" w:rsidTr="00025864">
        <w:trPr>
          <w:cantSplit/>
          <w:trHeight w:val="23"/>
        </w:trPr>
        <w:tc>
          <w:tcPr>
            <w:tcW w:w="10031" w:type="dxa"/>
            <w:gridSpan w:val="2"/>
            <w:shd w:val="clear" w:color="auto" w:fill="auto"/>
          </w:tcPr>
          <w:p w14:paraId="558DA396" w14:textId="77777777" w:rsidR="00E55816" w:rsidRDefault="00E55816" w:rsidP="00E55816">
            <w:pPr>
              <w:pStyle w:val="Title2"/>
            </w:pPr>
          </w:p>
        </w:tc>
      </w:tr>
      <w:tr w:rsidR="00A538A6" w:rsidRPr="00C324A8" w14:paraId="74A7076B" w14:textId="77777777" w:rsidTr="00025864">
        <w:trPr>
          <w:cantSplit/>
          <w:trHeight w:val="23"/>
        </w:trPr>
        <w:tc>
          <w:tcPr>
            <w:tcW w:w="10031" w:type="dxa"/>
            <w:gridSpan w:val="2"/>
            <w:shd w:val="clear" w:color="auto" w:fill="auto"/>
          </w:tcPr>
          <w:p w14:paraId="0EBC9B85" w14:textId="77777777" w:rsidR="00A538A6" w:rsidRDefault="004B13CB" w:rsidP="004B13CB">
            <w:pPr>
              <w:pStyle w:val="Agendaitem"/>
            </w:pPr>
            <w:r>
              <w:t>Agenda item 1.8</w:t>
            </w:r>
          </w:p>
        </w:tc>
      </w:tr>
    </w:tbl>
    <w:bookmarkEnd w:id="7"/>
    <w:bookmarkEnd w:id="8"/>
    <w:p w14:paraId="46D4865D" w14:textId="77777777" w:rsidR="005118F7" w:rsidRPr="00EC5386" w:rsidRDefault="0043771E" w:rsidP="00AB5478">
      <w:pPr>
        <w:overflowPunct/>
        <w:autoSpaceDE/>
        <w:autoSpaceDN/>
        <w:adjustRightInd/>
        <w:textAlignment w:val="auto"/>
        <w:rPr>
          <w:lang w:val="en-US"/>
        </w:rPr>
      </w:pPr>
      <w:r w:rsidRPr="00656311">
        <w:rPr>
          <w:lang w:val="en-US"/>
        </w:rPr>
        <w:t>1.8</w:t>
      </w:r>
      <w:r w:rsidRPr="00656311">
        <w:rPr>
          <w:lang w:val="en-US"/>
        </w:rPr>
        <w:tab/>
        <w:t xml:space="preserve">to consider possible regulatory actions to support Global Maritime Distress Safety Systems (GMDSS) modernization and to support the introduction of additional satellite systems into the GMDSS, in accordance with Resolution </w:t>
      </w:r>
      <w:r w:rsidRPr="00656311">
        <w:rPr>
          <w:b/>
          <w:bCs/>
          <w:lang w:val="en-US"/>
        </w:rPr>
        <w:t xml:space="preserve">359 </w:t>
      </w:r>
      <w:r w:rsidRPr="00656311">
        <w:rPr>
          <w:lang w:val="en-US"/>
        </w:rPr>
        <w:t>(</w:t>
      </w:r>
      <w:r w:rsidRPr="00656311">
        <w:rPr>
          <w:b/>
          <w:bCs/>
          <w:lang w:val="en-US"/>
        </w:rPr>
        <w:t>Rev.WRC-15</w:t>
      </w:r>
      <w:r w:rsidRPr="00656311">
        <w:rPr>
          <w:lang w:val="en-US"/>
        </w:rPr>
        <w:t>);</w:t>
      </w:r>
    </w:p>
    <w:p w14:paraId="6233663D" w14:textId="77777777" w:rsidR="00601466" w:rsidRPr="00601466" w:rsidRDefault="00601466" w:rsidP="00601466">
      <w:pPr>
        <w:pStyle w:val="Heading1"/>
        <w:rPr>
          <w:lang w:val="en-NZ" w:eastAsia="ko-KR"/>
        </w:rPr>
      </w:pPr>
      <w:r>
        <w:rPr>
          <w:lang w:val="en-NZ" w:eastAsia="ko-KR"/>
        </w:rPr>
        <w:t>1</w:t>
      </w:r>
      <w:r>
        <w:rPr>
          <w:lang w:val="en-NZ" w:eastAsia="ko-KR"/>
        </w:rPr>
        <w:tab/>
      </w:r>
      <w:r w:rsidRPr="00601466">
        <w:rPr>
          <w:lang w:val="en-NZ" w:eastAsia="ko-KR"/>
        </w:rPr>
        <w:t>Background</w:t>
      </w:r>
    </w:p>
    <w:p w14:paraId="68E624CC" w14:textId="43FB47B1" w:rsidR="00601466" w:rsidRPr="0051054F" w:rsidRDefault="00601466" w:rsidP="003B5D0C">
      <w:pPr>
        <w:rPr>
          <w:rFonts w:eastAsia="ArialMT"/>
        </w:rPr>
      </w:pPr>
      <w:r w:rsidRPr="003C0FA6">
        <w:rPr>
          <w:rFonts w:eastAsia="ArialMT"/>
        </w:rPr>
        <w:t>The Global Maritime Distress and Safety System (GMDSS) was adopted as part of the 1988 Amendments to the International Convention for the Safety of Life at Sea, 1974 (SOLAS). It was fully implemented in 1999. It has served the mariner and the maritime industry well since its inception, but some of the GMDSS technologies used have not reached their full potential, and some GMDSS functions could be performed by more modern technologies. The plan for modernization of the GMDSS was adopted by the Maritime Safety Committee of the IMO on June</w:t>
      </w:r>
      <w:r w:rsidR="0046124B">
        <w:rPr>
          <w:rFonts w:eastAsia="ArialMT"/>
        </w:rPr>
        <w:t> </w:t>
      </w:r>
      <w:r w:rsidRPr="0051054F">
        <w:rPr>
          <w:rFonts w:eastAsia="ArialMT"/>
        </w:rPr>
        <w:t xml:space="preserve">2017. </w:t>
      </w:r>
      <w:r w:rsidRPr="0051054F">
        <w:rPr>
          <w:rFonts w:eastAsia="ArialMT"/>
          <w:lang w:eastAsia="ko-KR"/>
        </w:rPr>
        <w:t xml:space="preserve">The GMDSS modernization plan consists of various components which could be part of the GMDSS, among them some </w:t>
      </w:r>
      <w:r w:rsidRPr="0051054F">
        <w:rPr>
          <w:rFonts w:eastAsia="ArialMT"/>
        </w:rPr>
        <w:t xml:space="preserve">items are identified in relation to the studies on </w:t>
      </w:r>
      <w:r w:rsidR="003B5D0C" w:rsidRPr="0051054F">
        <w:rPr>
          <w:rFonts w:eastAsia="ArialMT"/>
        </w:rPr>
        <w:t>a</w:t>
      </w:r>
      <w:r w:rsidRPr="0051054F">
        <w:rPr>
          <w:rFonts w:eastAsia="ArialMT"/>
        </w:rPr>
        <w:t xml:space="preserve">genda </w:t>
      </w:r>
      <w:r w:rsidR="003B5D0C" w:rsidRPr="0051054F">
        <w:rPr>
          <w:rFonts w:eastAsia="ArialMT"/>
        </w:rPr>
        <w:t>i</w:t>
      </w:r>
      <w:r w:rsidRPr="0051054F">
        <w:rPr>
          <w:rFonts w:eastAsia="ArialMT"/>
        </w:rPr>
        <w:t>tem 1.8 for the WRC-19, such as additional satellite service in GMDSS, VDES, NAVDAT and HF communications.</w:t>
      </w:r>
    </w:p>
    <w:p w14:paraId="601EA2DD" w14:textId="6076B1F9" w:rsidR="00601466" w:rsidRPr="0051054F" w:rsidRDefault="00601466">
      <w:pPr>
        <w:rPr>
          <w:rFonts w:eastAsia="ArialMT"/>
          <w:lang w:eastAsia="ko-KR"/>
        </w:rPr>
      </w:pPr>
      <w:r w:rsidRPr="0051054F">
        <w:rPr>
          <w:rFonts w:eastAsia="ArialMT"/>
          <w:lang w:eastAsia="ko-KR"/>
        </w:rPr>
        <w:t xml:space="preserve">Resolution </w:t>
      </w:r>
      <w:r w:rsidRPr="00802DD2">
        <w:rPr>
          <w:rFonts w:eastAsia="ArialMT"/>
          <w:b/>
          <w:bCs/>
          <w:lang w:eastAsia="ko-KR"/>
        </w:rPr>
        <w:t xml:space="preserve">359 </w:t>
      </w:r>
      <w:r w:rsidR="003B5D0C" w:rsidRPr="00802DD2">
        <w:rPr>
          <w:rFonts w:eastAsia="ArialMT"/>
          <w:b/>
          <w:bCs/>
          <w:lang w:eastAsia="ko-KR"/>
        </w:rPr>
        <w:t>(Rev.WRC-15)</w:t>
      </w:r>
      <w:r w:rsidR="003B5D0C" w:rsidRPr="0051054F">
        <w:rPr>
          <w:rFonts w:eastAsia="ArialMT"/>
          <w:lang w:eastAsia="ko-KR"/>
        </w:rPr>
        <w:t xml:space="preserve"> </w:t>
      </w:r>
      <w:r w:rsidRPr="0051054F">
        <w:rPr>
          <w:rFonts w:eastAsia="ArialMT"/>
          <w:lang w:eastAsia="ko-KR"/>
        </w:rPr>
        <w:t>invites the WRC-19 to take necessary actions to support GMDSS modernization (</w:t>
      </w:r>
      <w:r w:rsidR="003B5D0C" w:rsidRPr="00802DD2">
        <w:rPr>
          <w:rFonts w:eastAsia="ArialMT"/>
          <w:bCs/>
          <w:i/>
          <w:lang w:eastAsia="ko-KR"/>
        </w:rPr>
        <w:t>r</w:t>
      </w:r>
      <w:r w:rsidRPr="00802DD2">
        <w:rPr>
          <w:rFonts w:eastAsia="ArialMT"/>
          <w:bCs/>
          <w:i/>
          <w:lang w:eastAsia="ko-KR"/>
        </w:rPr>
        <w:t>esolves</w:t>
      </w:r>
      <w:r w:rsidRPr="0051054F">
        <w:rPr>
          <w:rFonts w:eastAsia="ArialMT"/>
          <w:b/>
          <w:i/>
          <w:lang w:eastAsia="ko-KR"/>
        </w:rPr>
        <w:t xml:space="preserve"> </w:t>
      </w:r>
      <w:r w:rsidRPr="00802DD2">
        <w:rPr>
          <w:rFonts w:eastAsia="ArialMT"/>
          <w:bCs/>
          <w:iCs/>
          <w:lang w:eastAsia="ko-KR"/>
        </w:rPr>
        <w:t>1</w:t>
      </w:r>
      <w:r w:rsidRPr="0051054F">
        <w:rPr>
          <w:rFonts w:eastAsia="ArialMT"/>
          <w:lang w:eastAsia="ko-KR"/>
        </w:rPr>
        <w:t>) and to consider regulatory provisions related to the introduction of additional satellite system into the GMDSS while ensuring the protection of all incumbent services from harmful interferences (</w:t>
      </w:r>
      <w:r w:rsidR="003B5D0C" w:rsidRPr="00802DD2">
        <w:rPr>
          <w:rFonts w:eastAsia="ArialMT"/>
          <w:bCs/>
          <w:i/>
          <w:lang w:eastAsia="ko-KR"/>
        </w:rPr>
        <w:t>r</w:t>
      </w:r>
      <w:r w:rsidRPr="00802DD2">
        <w:rPr>
          <w:rFonts w:eastAsia="ArialMT"/>
          <w:bCs/>
          <w:i/>
          <w:lang w:eastAsia="ko-KR"/>
        </w:rPr>
        <w:t>esolve</w:t>
      </w:r>
      <w:r w:rsidR="00802DD2" w:rsidRPr="00802DD2">
        <w:rPr>
          <w:rFonts w:eastAsia="ArialMT"/>
          <w:bCs/>
          <w:i/>
          <w:lang w:eastAsia="ko-KR"/>
        </w:rPr>
        <w:t>s</w:t>
      </w:r>
      <w:r w:rsidRPr="0051054F">
        <w:rPr>
          <w:rFonts w:eastAsia="ArialMT"/>
          <w:b/>
          <w:i/>
          <w:lang w:eastAsia="ko-KR"/>
        </w:rPr>
        <w:t xml:space="preserve"> </w:t>
      </w:r>
      <w:r w:rsidRPr="00802DD2">
        <w:rPr>
          <w:rFonts w:eastAsia="ArialMT"/>
          <w:bCs/>
          <w:iCs/>
          <w:lang w:eastAsia="ko-KR"/>
        </w:rPr>
        <w:t>2</w:t>
      </w:r>
      <w:r w:rsidRPr="0051054F">
        <w:rPr>
          <w:rFonts w:eastAsia="ArialMT"/>
          <w:lang w:eastAsia="ko-KR"/>
        </w:rPr>
        <w:t>).</w:t>
      </w:r>
    </w:p>
    <w:p w14:paraId="125AE2B0" w14:textId="3C1566A8" w:rsidR="00601466" w:rsidRDefault="00601466">
      <w:pPr>
        <w:rPr>
          <w:rFonts w:eastAsia="SimSun"/>
          <w:lang w:eastAsia="zh-CN"/>
        </w:rPr>
      </w:pPr>
      <w:r w:rsidRPr="0051054F">
        <w:rPr>
          <w:rFonts w:eastAsia="ArialMT"/>
          <w:lang w:eastAsia="ko-KR"/>
        </w:rPr>
        <w:t>This document focus</w:t>
      </w:r>
      <w:r w:rsidR="0046124B">
        <w:rPr>
          <w:rFonts w:eastAsia="ArialMT"/>
          <w:lang w:eastAsia="ko-KR"/>
        </w:rPr>
        <w:t>es</w:t>
      </w:r>
      <w:r w:rsidRPr="0051054F">
        <w:rPr>
          <w:rFonts w:eastAsia="ArialMT"/>
          <w:lang w:eastAsia="ko-KR"/>
        </w:rPr>
        <w:t xml:space="preserve"> on the contribution by multiple Administrations in relation to </w:t>
      </w:r>
      <w:r w:rsidR="00802DD2" w:rsidRPr="00802DD2">
        <w:rPr>
          <w:rFonts w:eastAsia="ArialMT"/>
          <w:bCs/>
          <w:i/>
          <w:lang w:eastAsia="ko-KR"/>
        </w:rPr>
        <w:t>resolves</w:t>
      </w:r>
      <w:r w:rsidR="00802DD2" w:rsidRPr="00802DD2">
        <w:rPr>
          <w:rFonts w:eastAsia="ArialMT"/>
          <w:b/>
          <w:iCs/>
          <w:lang w:eastAsia="ko-KR"/>
        </w:rPr>
        <w:t xml:space="preserve"> </w:t>
      </w:r>
      <w:r w:rsidRPr="00802DD2">
        <w:rPr>
          <w:rFonts w:eastAsia="ArialMT"/>
          <w:bCs/>
          <w:iCs/>
          <w:lang w:eastAsia="ko-KR"/>
        </w:rPr>
        <w:t>2</w:t>
      </w:r>
      <w:r w:rsidRPr="0051054F">
        <w:rPr>
          <w:rFonts w:eastAsia="ArialMT"/>
          <w:b/>
          <w:i/>
          <w:lang w:eastAsia="ko-KR"/>
        </w:rPr>
        <w:t>.</w:t>
      </w:r>
      <w:r w:rsidR="00E5192E" w:rsidRPr="0051054F">
        <w:rPr>
          <w:rFonts w:eastAsia="ArialMT"/>
          <w:b/>
          <w:i/>
          <w:lang w:eastAsia="ko-KR"/>
        </w:rPr>
        <w:t xml:space="preserve"> </w:t>
      </w:r>
      <w:r w:rsidRPr="0051054F">
        <w:rPr>
          <w:rFonts w:eastAsia="ArialMT"/>
          <w:lang w:eastAsia="ko-KR"/>
        </w:rPr>
        <w:t>The</w:t>
      </w:r>
      <w:r w:rsidRPr="005E04CD">
        <w:rPr>
          <w:rFonts w:eastAsia="ArialMT"/>
          <w:lang w:eastAsia="ko-KR"/>
        </w:rPr>
        <w:t xml:space="preserve"> IMO’s Maritime Safety Committee (MSC) meeting in May 2018 formally recognized an additional satellite system as the new G</w:t>
      </w:r>
      <w:r w:rsidRPr="006C1CF8">
        <w:rPr>
          <w:rFonts w:eastAsia="ArialMT"/>
          <w:lang w:eastAsia="ko-KR"/>
        </w:rPr>
        <w:t>MDSS satellite service provider</w:t>
      </w:r>
      <w:r w:rsidRPr="006C1CF8">
        <w:rPr>
          <w:rFonts w:eastAsia="SimSun"/>
          <w:lang w:eastAsia="zh-CN"/>
        </w:rPr>
        <w:t>.</w:t>
      </w:r>
    </w:p>
    <w:p w14:paraId="43B72AB7" w14:textId="2DD59984" w:rsidR="00601466" w:rsidRDefault="00601466" w:rsidP="00601466">
      <w:pPr>
        <w:rPr>
          <w:rFonts w:eastAsia="SimSun"/>
          <w:lang w:eastAsia="zh-CN"/>
        </w:rPr>
      </w:pPr>
      <w:r w:rsidRPr="006C1CF8">
        <w:rPr>
          <w:rFonts w:eastAsia="SimSun"/>
          <w:lang w:eastAsia="zh-CN"/>
        </w:rPr>
        <w:t xml:space="preserve">To this effect there is </w:t>
      </w:r>
      <w:r w:rsidR="0046124B">
        <w:rPr>
          <w:rFonts w:eastAsia="SimSun"/>
          <w:lang w:eastAsia="zh-CN"/>
        </w:rPr>
        <w:t xml:space="preserve">a </w:t>
      </w:r>
      <w:r w:rsidRPr="006C1CF8">
        <w:rPr>
          <w:rFonts w:eastAsia="SimSun"/>
          <w:lang w:eastAsia="zh-CN"/>
        </w:rPr>
        <w:t xml:space="preserve">need that </w:t>
      </w:r>
      <w:r w:rsidRPr="005E04CD">
        <w:rPr>
          <w:rFonts w:eastAsia="ArialMT"/>
          <w:lang w:eastAsia="ko-KR"/>
        </w:rPr>
        <w:t xml:space="preserve">outstanding </w:t>
      </w:r>
      <w:r w:rsidRPr="006C1CF8">
        <w:rPr>
          <w:rFonts w:eastAsia="SimSun"/>
          <w:lang w:eastAsia="zh-CN"/>
        </w:rPr>
        <w:t xml:space="preserve">issues and </w:t>
      </w:r>
      <w:r w:rsidRPr="005E04CD">
        <w:rPr>
          <w:rFonts w:eastAsia="ArialMT"/>
          <w:lang w:eastAsia="ko-KR"/>
        </w:rPr>
        <w:t xml:space="preserve">concerns with respect to operational implementation should be addressed </w:t>
      </w:r>
      <w:r w:rsidRPr="005E04CD">
        <w:rPr>
          <w:rFonts w:eastAsia="SimSun"/>
          <w:lang w:eastAsia="zh-CN"/>
        </w:rPr>
        <w:t xml:space="preserve">(see Section </w:t>
      </w:r>
      <w:r>
        <w:rPr>
          <w:rFonts w:eastAsia="SimSun" w:hint="eastAsia"/>
          <w:lang w:eastAsia="zh-CN"/>
        </w:rPr>
        <w:t>5/1.8/3.2.1.</w:t>
      </w:r>
      <w:r>
        <w:rPr>
          <w:rFonts w:eastAsia="SimSun"/>
          <w:lang w:eastAsia="zh-CN"/>
        </w:rPr>
        <w:t>1</w:t>
      </w:r>
      <w:r w:rsidRPr="005E04CD">
        <w:rPr>
          <w:rFonts w:eastAsia="SimSun"/>
          <w:lang w:eastAsia="zh-CN"/>
        </w:rPr>
        <w:t xml:space="preserve"> in the CPM Report in this regards).</w:t>
      </w:r>
    </w:p>
    <w:p w14:paraId="64EE91D5" w14:textId="77777777" w:rsidR="00601466" w:rsidRPr="00601466" w:rsidRDefault="00601466" w:rsidP="00601466">
      <w:pPr>
        <w:pStyle w:val="Heading2"/>
        <w:rPr>
          <w:rFonts w:eastAsia="ArialMT"/>
        </w:rPr>
      </w:pPr>
      <w:r>
        <w:rPr>
          <w:lang w:val="en-NZ" w:eastAsia="ko-KR"/>
        </w:rPr>
        <w:t>1.1</w:t>
      </w:r>
      <w:r>
        <w:rPr>
          <w:lang w:val="en-NZ" w:eastAsia="ko-KR"/>
        </w:rPr>
        <w:tab/>
      </w:r>
      <w:r w:rsidRPr="00FC27BF">
        <w:rPr>
          <w:lang w:val="en-NZ" w:eastAsia="ko-KR"/>
        </w:rPr>
        <w:t xml:space="preserve">Key Elements </w:t>
      </w:r>
    </w:p>
    <w:p w14:paraId="2F5D930A" w14:textId="766F27F4" w:rsidR="00601466" w:rsidRPr="00FC27BF" w:rsidRDefault="00601466" w:rsidP="00601466">
      <w:r w:rsidRPr="00FC27BF">
        <w:t>There are three main issues for consideration for addition of a new GMDSS provider:</w:t>
      </w:r>
    </w:p>
    <w:p w14:paraId="33DEA75F" w14:textId="7876C334" w:rsidR="00601466" w:rsidRPr="00802DD2" w:rsidRDefault="00601466" w:rsidP="00802DD2">
      <w:pPr>
        <w:pStyle w:val="enumlev1"/>
      </w:pPr>
      <w:r w:rsidRPr="00802DD2">
        <w:lastRenderedPageBreak/>
        <w:t>1</w:t>
      </w:r>
      <w:r w:rsidRPr="00802DD2">
        <w:tab/>
        <w:t>The first issue relates to the regulatory approach to identify the frequencies planned to be used by Iridium for the GMDSS in the Radio Regulations (RR).</w:t>
      </w:r>
      <w:r w:rsidR="00E5192E" w:rsidRPr="00802DD2">
        <w:t xml:space="preserve"> </w:t>
      </w:r>
      <w:r w:rsidRPr="00802DD2">
        <w:t>In particular, there is debate about whether Iridium service downlinks operating in the band 1</w:t>
      </w:r>
      <w:r w:rsidR="005F17F9" w:rsidRPr="00802DD2">
        <w:t xml:space="preserve"> </w:t>
      </w:r>
      <w:r w:rsidRPr="00802DD2">
        <w:t>616-1</w:t>
      </w:r>
      <w:r w:rsidR="0046124B">
        <w:t> </w:t>
      </w:r>
      <w:r w:rsidRPr="00802DD2">
        <w:t>626.5</w:t>
      </w:r>
      <w:r w:rsidR="0046124B">
        <w:t> </w:t>
      </w:r>
      <w:r w:rsidRPr="00802DD2">
        <w:t>GHz may continue to operate as part of the secondary MSS space-to-Earth allocation, or whether the downlinks require a primary allocation status as we are dealing with safety of life services for ocean going vessels;</w:t>
      </w:r>
    </w:p>
    <w:p w14:paraId="7FC7BEF3" w14:textId="7F21AE35" w:rsidR="00601466" w:rsidRPr="00802DD2" w:rsidRDefault="00601466" w:rsidP="00802DD2">
      <w:pPr>
        <w:pStyle w:val="enumlev1"/>
      </w:pPr>
      <w:r w:rsidRPr="00802DD2">
        <w:t>2</w:t>
      </w:r>
      <w:r w:rsidRPr="00802DD2">
        <w:tab/>
        <w:t>The second issue relates to potential interference from MSS terminals operating in the band 1</w:t>
      </w:r>
      <w:r w:rsidR="005F17F9" w:rsidRPr="00802DD2">
        <w:t xml:space="preserve"> </w:t>
      </w:r>
      <w:r w:rsidRPr="00802DD2">
        <w:t>626.5-1</w:t>
      </w:r>
      <w:r w:rsidR="005F17F9" w:rsidRPr="00802DD2">
        <w:t xml:space="preserve"> </w:t>
      </w:r>
      <w:r w:rsidRPr="00802DD2">
        <w:t>660.5 MHz to Iridium MSS terminals used on ships, operating in the band at 1</w:t>
      </w:r>
      <w:r w:rsidR="005F17F9" w:rsidRPr="00802DD2">
        <w:t xml:space="preserve"> </w:t>
      </w:r>
      <w:r w:rsidRPr="00802DD2">
        <w:t>616-1</w:t>
      </w:r>
      <w:r w:rsidR="005F17F9" w:rsidRPr="00802DD2">
        <w:t xml:space="preserve"> </w:t>
      </w:r>
      <w:r w:rsidRPr="00802DD2">
        <w:t>626.5 GHz. Iridium and Inmarsat terminals could be used in close proximity to one another, either on the same ship or on different ships.</w:t>
      </w:r>
      <w:r w:rsidR="00E5192E" w:rsidRPr="00802DD2">
        <w:t xml:space="preserve"> </w:t>
      </w:r>
      <w:r w:rsidRPr="00802DD2">
        <w:t>Inmarsat terminals transmit to GSO satellites and have a typical e.i.r.p. of around 20 dBW.</w:t>
      </w:r>
      <w:r w:rsidR="00E5192E" w:rsidRPr="00802DD2">
        <w:t xml:space="preserve"> </w:t>
      </w:r>
      <w:r w:rsidRPr="00802DD2">
        <w:t>There is potential for Iridium terminals to receive interference from Inmarsat terminals, which could be due to blocking of the Iridium receiver or due to unwanted emissions from Inmarsat terminals. However, as per Resolution 359</w:t>
      </w:r>
      <w:r w:rsidR="003B5D0C" w:rsidRPr="00802DD2">
        <w:t xml:space="preserve"> </w:t>
      </w:r>
      <w:r w:rsidR="003B5D0C" w:rsidRPr="00802DD2">
        <w:rPr>
          <w:rFonts w:eastAsia="ArialMT"/>
        </w:rPr>
        <w:t>(Rev.WRC-15)</w:t>
      </w:r>
      <w:r w:rsidRPr="00802DD2">
        <w:t>, a number of measures can be taken by Iridium to mitigate such interference, including careful siting of the terminals on the same ship and inclusion of filtering in the Iridium terminal receivers.</w:t>
      </w:r>
    </w:p>
    <w:p w14:paraId="2CF56F82" w14:textId="4A25283E" w:rsidR="00601466" w:rsidRPr="00802DD2" w:rsidRDefault="00601466" w:rsidP="00802DD2">
      <w:pPr>
        <w:pStyle w:val="enumlev1"/>
      </w:pPr>
      <w:r w:rsidRPr="00802DD2">
        <w:t>3</w:t>
      </w:r>
      <w:r w:rsidRPr="00802DD2">
        <w:tab/>
        <w:t>The third issue relates to the protection of the radio astronomy service from the unwanted emissions of Iridium satellites.</w:t>
      </w:r>
    </w:p>
    <w:p w14:paraId="5EC3922F" w14:textId="208FF915" w:rsidR="00601466" w:rsidRPr="00FC27BF" w:rsidRDefault="00601466">
      <w:r w:rsidRPr="00FC27BF">
        <w:t xml:space="preserve">Resolution </w:t>
      </w:r>
      <w:r w:rsidRPr="00601466">
        <w:rPr>
          <w:b/>
        </w:rPr>
        <w:t xml:space="preserve">359 </w:t>
      </w:r>
      <w:r w:rsidRPr="00601466">
        <w:rPr>
          <w:b/>
          <w:bCs/>
        </w:rPr>
        <w:t>(Rev.WRC-15)</w:t>
      </w:r>
      <w:r w:rsidRPr="00FC27BF">
        <w:t xml:space="preserve">, in setting the scope and conditions of this agenda item, determined in </w:t>
      </w:r>
      <w:r w:rsidRPr="00601466">
        <w:rPr>
          <w:i/>
        </w:rPr>
        <w:t>considering e)</w:t>
      </w:r>
      <w:r w:rsidRPr="00FC27BF">
        <w:t xml:space="preserve">: </w:t>
      </w:r>
      <w:r w:rsidRPr="00601466">
        <w:rPr>
          <w:b/>
          <w:i/>
        </w:rPr>
        <w:t>“that GMDSS satellite systems need to provide protection of incumbent services in accordance with the Radio Regulations, including those in adjacent frequency bands, from harmful interference, and such GMDSS satellite systems should operate within the interference environment of existing systems,”</w:t>
      </w:r>
      <w:r>
        <w:t>.</w:t>
      </w:r>
    </w:p>
    <w:p w14:paraId="0FCC0B9D" w14:textId="77777777" w:rsidR="00601466" w:rsidRPr="00601466" w:rsidRDefault="00601466" w:rsidP="00601466">
      <w:pPr>
        <w:rPr>
          <w:b/>
          <w:lang w:val="en-NZ" w:eastAsia="ko-KR"/>
        </w:rPr>
      </w:pPr>
      <w:r w:rsidRPr="00601466">
        <w:rPr>
          <w:b/>
        </w:rPr>
        <w:t>It is important that Iridium continues to operate in the existing interference environment, and should not put any additional constraints on GSO MSS operations, which are also used for GMDSS service to ships.</w:t>
      </w:r>
    </w:p>
    <w:p w14:paraId="21E64726" w14:textId="77777777" w:rsidR="00601466" w:rsidRPr="003C0FA6" w:rsidRDefault="00601466" w:rsidP="00601466">
      <w:pPr>
        <w:pStyle w:val="Heading2"/>
        <w:rPr>
          <w:lang w:val="en-NZ" w:eastAsia="ko-KR"/>
        </w:rPr>
      </w:pPr>
      <w:r>
        <w:rPr>
          <w:lang w:val="en-NZ" w:eastAsia="ko-KR"/>
        </w:rPr>
        <w:t>1.2</w:t>
      </w:r>
      <w:r>
        <w:rPr>
          <w:lang w:val="en-NZ" w:eastAsia="ko-KR"/>
        </w:rPr>
        <w:tab/>
      </w:r>
      <w:r w:rsidRPr="003C0FA6">
        <w:rPr>
          <w:lang w:val="en-NZ" w:eastAsia="ko-KR"/>
        </w:rPr>
        <w:t>Progress of ITU-R studies</w:t>
      </w:r>
    </w:p>
    <w:p w14:paraId="1A4450BA" w14:textId="1DC1209E" w:rsidR="00601466" w:rsidRPr="0051054F" w:rsidRDefault="003B5D0C">
      <w:pPr>
        <w:rPr>
          <w:rFonts w:eastAsia="SimSun"/>
          <w:lang w:eastAsia="zh-CN"/>
        </w:rPr>
      </w:pPr>
      <w:r w:rsidRPr="0051054F">
        <w:rPr>
          <w:rFonts w:eastAsia="ArialMT"/>
          <w:lang w:eastAsia="ko-KR"/>
        </w:rPr>
        <w:t>ITU-R Working Party (</w:t>
      </w:r>
      <w:r w:rsidR="00601466" w:rsidRPr="0051054F">
        <w:rPr>
          <w:rFonts w:eastAsia="ArialMT"/>
          <w:lang w:eastAsia="ko-KR"/>
        </w:rPr>
        <w:t>WP</w:t>
      </w:r>
      <w:r w:rsidRPr="0051054F">
        <w:rPr>
          <w:rFonts w:eastAsia="ArialMT"/>
          <w:lang w:eastAsia="ko-KR"/>
        </w:rPr>
        <w:t>)</w:t>
      </w:r>
      <w:r w:rsidR="00601466" w:rsidRPr="0051054F">
        <w:rPr>
          <w:rFonts w:eastAsia="ArialMT"/>
          <w:lang w:eastAsia="ko-KR"/>
        </w:rPr>
        <w:t xml:space="preserve"> 5B </w:t>
      </w:r>
      <w:r w:rsidR="005F17F9" w:rsidRPr="0051054F">
        <w:rPr>
          <w:rFonts w:eastAsia="ArialMT"/>
          <w:lang w:eastAsia="ko-KR"/>
        </w:rPr>
        <w:t>was</w:t>
      </w:r>
      <w:r w:rsidR="00601466" w:rsidRPr="0051054F">
        <w:rPr>
          <w:rFonts w:eastAsia="ArialMT"/>
          <w:lang w:eastAsia="ko-KR"/>
        </w:rPr>
        <w:t xml:space="preserve"> the responsible group for </w:t>
      </w:r>
      <w:r w:rsidRPr="0051054F">
        <w:rPr>
          <w:rFonts w:eastAsia="ArialMT"/>
          <w:lang w:eastAsia="ko-KR"/>
        </w:rPr>
        <w:t>a</w:t>
      </w:r>
      <w:r w:rsidR="00601466" w:rsidRPr="0051054F">
        <w:rPr>
          <w:rFonts w:eastAsia="ArialMT"/>
          <w:lang w:eastAsia="ko-KR"/>
        </w:rPr>
        <w:t xml:space="preserve">genda </w:t>
      </w:r>
      <w:r w:rsidRPr="0051054F">
        <w:rPr>
          <w:rFonts w:eastAsia="ArialMT"/>
          <w:lang w:eastAsia="ko-KR"/>
        </w:rPr>
        <w:t>i</w:t>
      </w:r>
      <w:r w:rsidR="00601466" w:rsidRPr="0051054F">
        <w:rPr>
          <w:rFonts w:eastAsia="ArialMT"/>
          <w:lang w:eastAsia="ko-KR"/>
        </w:rPr>
        <w:t xml:space="preserve">tem 1.8, and WP 4C and </w:t>
      </w:r>
      <w:r w:rsidRPr="0051054F">
        <w:rPr>
          <w:rFonts w:eastAsia="ArialMT"/>
          <w:lang w:eastAsia="ko-KR"/>
        </w:rPr>
        <w:t>WP</w:t>
      </w:r>
      <w:r w:rsidR="00FE5C50">
        <w:rPr>
          <w:rFonts w:eastAsia="ArialMT"/>
          <w:lang w:eastAsia="ko-KR"/>
        </w:rPr>
        <w:t> </w:t>
      </w:r>
      <w:r w:rsidR="00601466" w:rsidRPr="0051054F">
        <w:rPr>
          <w:rFonts w:eastAsia="ArialMT"/>
          <w:lang w:eastAsia="ko-KR"/>
        </w:rPr>
        <w:t xml:space="preserve">7D </w:t>
      </w:r>
      <w:r w:rsidR="005F17F9" w:rsidRPr="0051054F">
        <w:rPr>
          <w:rFonts w:eastAsia="ArialMT"/>
          <w:lang w:eastAsia="ko-KR"/>
        </w:rPr>
        <w:t xml:space="preserve">were </w:t>
      </w:r>
      <w:r w:rsidR="00601466" w:rsidRPr="0051054F">
        <w:rPr>
          <w:rFonts w:eastAsia="ArialMT"/>
          <w:lang w:eastAsia="ko-KR"/>
        </w:rPr>
        <w:t>concerned group</w:t>
      </w:r>
      <w:r w:rsidR="005F17F9" w:rsidRPr="0051054F">
        <w:rPr>
          <w:rFonts w:eastAsia="ArialMT"/>
          <w:lang w:eastAsia="ko-KR"/>
        </w:rPr>
        <w:t>s</w:t>
      </w:r>
      <w:r w:rsidR="00601466" w:rsidRPr="0051054F">
        <w:rPr>
          <w:rFonts w:eastAsia="ArialMT"/>
          <w:lang w:eastAsia="ko-KR"/>
        </w:rPr>
        <w:t xml:space="preserve">. The </w:t>
      </w:r>
      <w:r w:rsidRPr="00802DD2">
        <w:rPr>
          <w:rFonts w:eastAsia="ArialMT"/>
          <w:bCs/>
          <w:i/>
          <w:lang w:eastAsia="ko-KR"/>
        </w:rPr>
        <w:t>r</w:t>
      </w:r>
      <w:r w:rsidR="00601466" w:rsidRPr="00802DD2">
        <w:rPr>
          <w:rFonts w:eastAsia="ArialMT"/>
          <w:bCs/>
          <w:i/>
          <w:lang w:eastAsia="ko-KR"/>
        </w:rPr>
        <w:t xml:space="preserve">esolves </w:t>
      </w:r>
      <w:r w:rsidR="00601466" w:rsidRPr="00802DD2">
        <w:rPr>
          <w:rFonts w:eastAsia="ArialMT"/>
          <w:bCs/>
          <w:iCs/>
          <w:lang w:eastAsia="ko-KR"/>
        </w:rPr>
        <w:t>2</w:t>
      </w:r>
      <w:r w:rsidR="00601466" w:rsidRPr="0051054F">
        <w:rPr>
          <w:rFonts w:eastAsia="ArialMT"/>
          <w:lang w:eastAsia="ko-KR"/>
        </w:rPr>
        <w:t xml:space="preserve"> </w:t>
      </w:r>
      <w:r w:rsidR="005F17F9" w:rsidRPr="0051054F">
        <w:rPr>
          <w:rFonts w:eastAsia="ArialMT"/>
          <w:lang w:eastAsia="ko-KR"/>
        </w:rPr>
        <w:t xml:space="preserve">was </w:t>
      </w:r>
      <w:r w:rsidR="00601466" w:rsidRPr="0051054F">
        <w:rPr>
          <w:rFonts w:eastAsia="ArialMT"/>
          <w:lang w:eastAsia="ko-KR"/>
        </w:rPr>
        <w:t xml:space="preserve">under review in WP 4C. </w:t>
      </w:r>
      <w:r w:rsidR="00601466" w:rsidRPr="0051054F">
        <w:rPr>
          <w:rFonts w:eastAsia="SimSun"/>
          <w:lang w:eastAsia="zh-CN"/>
        </w:rPr>
        <w:t xml:space="preserve">To satisfy </w:t>
      </w:r>
      <w:r w:rsidR="00802DD2" w:rsidRPr="00802DD2">
        <w:rPr>
          <w:rFonts w:eastAsia="ArialMT"/>
          <w:bCs/>
          <w:i/>
          <w:lang w:eastAsia="ko-KR"/>
        </w:rPr>
        <w:t xml:space="preserve">resolves </w:t>
      </w:r>
      <w:r w:rsidR="00802DD2" w:rsidRPr="00802DD2">
        <w:rPr>
          <w:rFonts w:eastAsia="ArialMT"/>
          <w:bCs/>
          <w:iCs/>
          <w:lang w:eastAsia="ko-KR"/>
        </w:rPr>
        <w:t>2</w:t>
      </w:r>
      <w:r w:rsidR="00601466" w:rsidRPr="0051054F">
        <w:rPr>
          <w:rFonts w:eastAsia="SimSun"/>
          <w:lang w:eastAsia="zh-CN"/>
        </w:rPr>
        <w:t>, four methods are described in section 5/1.8/4.2 of the CPM Report.</w:t>
      </w:r>
    </w:p>
    <w:p w14:paraId="49D9B3D4" w14:textId="77777777" w:rsidR="00601466" w:rsidRPr="0051054F" w:rsidRDefault="00601466" w:rsidP="00A75223">
      <w:pPr>
        <w:pStyle w:val="Headingb"/>
        <w:ind w:left="1134" w:hanging="1134"/>
      </w:pPr>
      <w:r w:rsidRPr="0051054F">
        <w:t>A</w:t>
      </w:r>
      <w:r w:rsidRPr="0051054F">
        <w:tab/>
        <w:t>The potential impact of possible modifications to the provisions of the Radio Regulations on sharing and compatibility with other services</w:t>
      </w:r>
    </w:p>
    <w:p w14:paraId="3FD4B810" w14:textId="32821989" w:rsidR="00601466" w:rsidRPr="0051054F" w:rsidRDefault="00601466" w:rsidP="00601466">
      <w:pPr>
        <w:pStyle w:val="enumlev2"/>
      </w:pPr>
      <w:r w:rsidRPr="0051054F">
        <w:t>I</w:t>
      </w:r>
      <w:r w:rsidRPr="0051054F">
        <w:tab/>
        <w:t>Since 1998 Radio Astronomy Service (RAS) in the 1</w:t>
      </w:r>
      <w:r w:rsidR="00672D9E" w:rsidRPr="0051054F">
        <w:t xml:space="preserve"> </w:t>
      </w:r>
      <w:r w:rsidRPr="0051054F">
        <w:t>610.6-1</w:t>
      </w:r>
      <w:r w:rsidR="00672D9E" w:rsidRPr="0051054F">
        <w:t xml:space="preserve"> </w:t>
      </w:r>
      <w:r w:rsidRPr="0051054F">
        <w:t>613.8 MHz band worldwide has experienced harmful interference from Iridium MSS operations in the adjacent band 1</w:t>
      </w:r>
      <w:r w:rsidR="00672D9E" w:rsidRPr="0051054F">
        <w:t xml:space="preserve"> </w:t>
      </w:r>
      <w:r w:rsidRPr="0051054F">
        <w:t>613.8-1 626.5 MHz, despite the application of RR No.</w:t>
      </w:r>
      <w:r w:rsidR="00FE5C50">
        <w:t> </w:t>
      </w:r>
      <w:r w:rsidRPr="0051054F">
        <w:rPr>
          <w:b/>
        </w:rPr>
        <w:t>5.372</w:t>
      </w:r>
      <w:r w:rsidRPr="0051054F">
        <w:t>.</w:t>
      </w:r>
    </w:p>
    <w:p w14:paraId="5EA614CD" w14:textId="441A63A7" w:rsidR="00601466" w:rsidRPr="0051054F" w:rsidRDefault="00601466" w:rsidP="00601466">
      <w:pPr>
        <w:pStyle w:val="enumlev3"/>
      </w:pPr>
      <w:r w:rsidRPr="0051054F">
        <w:t>a)</w:t>
      </w:r>
      <w:r w:rsidRPr="0051054F">
        <w:tab/>
        <w:t xml:space="preserve">This interference has been reported to the ITU and documented in </w:t>
      </w:r>
      <w:r w:rsidR="00325993" w:rsidRPr="0051054F">
        <w:t>Electronic Communications Committee (</w:t>
      </w:r>
      <w:r w:rsidRPr="0051054F">
        <w:t>ECC</w:t>
      </w:r>
      <w:r w:rsidR="00325993" w:rsidRPr="0051054F">
        <w:t>)</w:t>
      </w:r>
      <w:r w:rsidRPr="0051054F">
        <w:t xml:space="preserve"> Reports (171 and 226).</w:t>
      </w:r>
    </w:p>
    <w:p w14:paraId="2478F842" w14:textId="7B2B6AE5" w:rsidR="00601466" w:rsidRPr="008A7CEA" w:rsidRDefault="00601466">
      <w:pPr>
        <w:pStyle w:val="enumlev3"/>
      </w:pPr>
      <w:r w:rsidRPr="0051054F">
        <w:t>b)</w:t>
      </w:r>
      <w:r w:rsidRPr="0051054F">
        <w:tab/>
        <w:t xml:space="preserve">As long as this harmful interference persists, Resolution </w:t>
      </w:r>
      <w:r w:rsidRPr="0051054F">
        <w:rPr>
          <w:b/>
        </w:rPr>
        <w:t>359</w:t>
      </w:r>
      <w:r w:rsidRPr="00802DD2">
        <w:rPr>
          <w:b/>
          <w:bCs/>
        </w:rPr>
        <w:t xml:space="preserve"> (</w:t>
      </w:r>
      <w:r w:rsidR="003B5D0C" w:rsidRPr="00802DD2">
        <w:rPr>
          <w:b/>
          <w:bCs/>
        </w:rPr>
        <w:t>Rev.</w:t>
      </w:r>
      <w:r w:rsidRPr="00802DD2">
        <w:rPr>
          <w:b/>
          <w:bCs/>
        </w:rPr>
        <w:t>WRC</w:t>
      </w:r>
      <w:r w:rsidR="00FE5C50">
        <w:rPr>
          <w:b/>
          <w:bCs/>
        </w:rPr>
        <w:noBreakHyphen/>
      </w:r>
      <w:r w:rsidRPr="00802DD2">
        <w:rPr>
          <w:b/>
          <w:bCs/>
        </w:rPr>
        <w:t>15)</w:t>
      </w:r>
      <w:r w:rsidRPr="0051054F">
        <w:t xml:space="preserve"> invites WRC-19 to consider the protection of the RAS in accordance with RR No. </w:t>
      </w:r>
      <w:r w:rsidRPr="0051054F">
        <w:rPr>
          <w:b/>
        </w:rPr>
        <w:t>5.372</w:t>
      </w:r>
      <w:r w:rsidRPr="0051054F">
        <w:t xml:space="preserve"> as provided in </w:t>
      </w:r>
      <w:r w:rsidRPr="0051054F">
        <w:rPr>
          <w:i/>
        </w:rPr>
        <w:t>recognizing</w:t>
      </w:r>
      <w:r w:rsidRPr="0051054F">
        <w:t xml:space="preserve"> </w:t>
      </w:r>
      <w:r w:rsidRPr="0051054F">
        <w:rPr>
          <w:i/>
        </w:rPr>
        <w:t xml:space="preserve">e) quote </w:t>
      </w:r>
      <w:r w:rsidR="00FE5C50">
        <w:rPr>
          <w:i/>
        </w:rPr>
        <w:t>“</w:t>
      </w:r>
      <w:r w:rsidRPr="0051054F">
        <w:rPr>
          <w:i/>
        </w:rPr>
        <w:t xml:space="preserve">that GMDSS satellite systems </w:t>
      </w:r>
      <w:r w:rsidRPr="0051054F">
        <w:rPr>
          <w:i/>
          <w:u w:val="single"/>
        </w:rPr>
        <w:t>need to provide protection of incumbent services</w:t>
      </w:r>
      <w:r w:rsidRPr="0051054F">
        <w:rPr>
          <w:i/>
        </w:rPr>
        <w:t xml:space="preserve"> </w:t>
      </w:r>
      <w:r w:rsidRPr="0051054F">
        <w:rPr>
          <w:i/>
          <w:u w:val="single"/>
        </w:rPr>
        <w:t xml:space="preserve">in accordance with </w:t>
      </w:r>
      <w:r w:rsidR="003B5D0C" w:rsidRPr="0051054F">
        <w:rPr>
          <w:i/>
          <w:u w:val="single"/>
        </w:rPr>
        <w:t xml:space="preserve">the Radio Regulations, </w:t>
      </w:r>
      <w:r w:rsidRPr="0051054F">
        <w:rPr>
          <w:i/>
          <w:u w:val="single"/>
        </w:rPr>
        <w:t>including those</w:t>
      </w:r>
      <w:r w:rsidRPr="0051054F">
        <w:rPr>
          <w:i/>
        </w:rPr>
        <w:t xml:space="preserve"> </w:t>
      </w:r>
      <w:r w:rsidRPr="0051054F">
        <w:rPr>
          <w:i/>
          <w:u w:val="single"/>
        </w:rPr>
        <w:t>in adjacent frequency bands</w:t>
      </w:r>
      <w:r w:rsidR="003B5D0C" w:rsidRPr="0051054F">
        <w:rPr>
          <w:i/>
          <w:u w:val="single"/>
        </w:rPr>
        <w:t>,</w:t>
      </w:r>
      <w:r w:rsidRPr="0051054F">
        <w:rPr>
          <w:i/>
          <w:u w:val="single"/>
        </w:rPr>
        <w:t xml:space="preserve"> from harmful interference</w:t>
      </w:r>
      <w:r w:rsidRPr="0051054F">
        <w:rPr>
          <w:i/>
        </w:rPr>
        <w:t xml:space="preserve">, and </w:t>
      </w:r>
      <w:r w:rsidRPr="0051054F">
        <w:rPr>
          <w:i/>
          <w:u w:val="single"/>
        </w:rPr>
        <w:t>such GMDSS satellite</w:t>
      </w:r>
      <w:r w:rsidRPr="008A7CEA">
        <w:rPr>
          <w:i/>
          <w:u w:val="single"/>
        </w:rPr>
        <w:t xml:space="preserve"> systems should</w:t>
      </w:r>
      <w:r>
        <w:rPr>
          <w:i/>
        </w:rPr>
        <w:t xml:space="preserve"> </w:t>
      </w:r>
      <w:r w:rsidRPr="008A7CEA">
        <w:rPr>
          <w:i/>
          <w:u w:val="single"/>
        </w:rPr>
        <w:t>operate within the interference environment of existing systems</w:t>
      </w:r>
      <w:r w:rsidR="00FE5C50">
        <w:rPr>
          <w:i/>
        </w:rPr>
        <w:t>”</w:t>
      </w:r>
    </w:p>
    <w:p w14:paraId="4FD8B226" w14:textId="566620FF" w:rsidR="00601466" w:rsidRPr="0051054F" w:rsidRDefault="00601466" w:rsidP="0045406D">
      <w:pPr>
        <w:pStyle w:val="enumlev2"/>
      </w:pPr>
      <w:r w:rsidRPr="0051054F">
        <w:t>II</w:t>
      </w:r>
      <w:r w:rsidR="0045406D" w:rsidRPr="0051054F">
        <w:tab/>
      </w:r>
      <w:r w:rsidRPr="0051054F">
        <w:t>The band, 1</w:t>
      </w:r>
      <w:r w:rsidR="00FE5C50">
        <w:t> </w:t>
      </w:r>
      <w:r w:rsidRPr="0051054F">
        <w:t>626.5-1</w:t>
      </w:r>
      <w:r w:rsidR="00FE5C50">
        <w:t> </w:t>
      </w:r>
      <w:r w:rsidRPr="0051054F">
        <w:t xml:space="preserve">645.5 MHz, is used within the GMDSS in RR Appendix </w:t>
      </w:r>
      <w:r w:rsidRPr="0051054F">
        <w:rPr>
          <w:b/>
        </w:rPr>
        <w:t>15</w:t>
      </w:r>
      <w:r w:rsidRPr="0051054F">
        <w:t xml:space="preserve"> </w:t>
      </w:r>
      <w:r w:rsidRPr="00802DD2">
        <w:rPr>
          <w:b/>
          <w:bCs/>
        </w:rPr>
        <w:t>(Rev.</w:t>
      </w:r>
      <w:r w:rsidRPr="0051054F">
        <w:rPr>
          <w:b/>
        </w:rPr>
        <w:t>WRC-15</w:t>
      </w:r>
      <w:r w:rsidRPr="00802DD2">
        <w:rPr>
          <w:b/>
          <w:bCs/>
        </w:rPr>
        <w:t>)</w:t>
      </w:r>
      <w:r w:rsidRPr="0051054F">
        <w:t xml:space="preserve"> (see Table </w:t>
      </w:r>
      <w:r w:rsidRPr="0051054F">
        <w:rPr>
          <w:b/>
        </w:rPr>
        <w:t>15-2)</w:t>
      </w:r>
      <w:r w:rsidRPr="0051054F">
        <w:t xml:space="preserve"> by Inmarsat and is afforded priority through RR No. </w:t>
      </w:r>
      <w:r w:rsidRPr="0051054F">
        <w:rPr>
          <w:b/>
        </w:rPr>
        <w:t xml:space="preserve">5.353A </w:t>
      </w:r>
      <w:r w:rsidRPr="0051054F">
        <w:t>in accordance with IMO requirements.</w:t>
      </w:r>
      <w:r w:rsidR="00E5192E" w:rsidRPr="0051054F">
        <w:t xml:space="preserve"> </w:t>
      </w:r>
    </w:p>
    <w:p w14:paraId="47374228" w14:textId="270CB9FE" w:rsidR="00601466" w:rsidRPr="0051054F" w:rsidRDefault="0045406D" w:rsidP="0045406D">
      <w:pPr>
        <w:pStyle w:val="enumlev2"/>
      </w:pPr>
      <w:r w:rsidRPr="0051054F">
        <w:t>III</w:t>
      </w:r>
      <w:r w:rsidRPr="0051054F">
        <w:tab/>
      </w:r>
      <w:r w:rsidR="00601466" w:rsidRPr="0051054F">
        <w:t>The band 1</w:t>
      </w:r>
      <w:r w:rsidR="00A75223">
        <w:t> </w:t>
      </w:r>
      <w:r w:rsidR="00601466" w:rsidRPr="0051054F">
        <w:t>626.5-1</w:t>
      </w:r>
      <w:r w:rsidR="00A75223">
        <w:t> </w:t>
      </w:r>
      <w:r w:rsidR="00601466" w:rsidRPr="0051054F">
        <w:t>660.5 MHz is used in the maritime community for GSO MSS, which could be a potential source of interference to non-GSO ship earth stations which receive in the adjacent band 1</w:t>
      </w:r>
      <w:r w:rsidR="00672D9E" w:rsidRPr="0051054F">
        <w:t xml:space="preserve"> </w:t>
      </w:r>
      <w:r w:rsidR="00601466" w:rsidRPr="0051054F">
        <w:t>613.8-1</w:t>
      </w:r>
      <w:r w:rsidR="00672D9E" w:rsidRPr="0051054F">
        <w:t xml:space="preserve"> </w:t>
      </w:r>
      <w:r w:rsidR="00601466" w:rsidRPr="0051054F">
        <w:t>626.5 MHz.</w:t>
      </w:r>
      <w:r w:rsidR="00E5192E" w:rsidRPr="0051054F">
        <w:t xml:space="preserve"> </w:t>
      </w:r>
      <w:r w:rsidR="00601466" w:rsidRPr="0051054F">
        <w:t>Interference could be caused due to the unwanted emissions of the transmitting GSO MES (in the uplink) being received by the non-GSO ship earth station, or by the emissions of the transmitting GSO MES operating in adjacent bands which could result in signal overload to the non-GSO ship earth station receiver.</w:t>
      </w:r>
    </w:p>
    <w:p w14:paraId="2DF1D704" w14:textId="4220B7C7" w:rsidR="00601466" w:rsidRPr="00F46CB6" w:rsidRDefault="0045406D">
      <w:pPr>
        <w:pStyle w:val="enumlev2"/>
      </w:pPr>
      <w:r w:rsidRPr="0051054F">
        <w:t>IV</w:t>
      </w:r>
      <w:r w:rsidRPr="0051054F">
        <w:tab/>
      </w:r>
      <w:r w:rsidR="00601466" w:rsidRPr="0051054F">
        <w:t xml:space="preserve">Given such an interference scenario, it is therefore important that </w:t>
      </w:r>
      <w:r w:rsidR="003B5D0C" w:rsidRPr="0051054F">
        <w:t>non-</w:t>
      </w:r>
      <w:r w:rsidR="00601466" w:rsidRPr="0051054F">
        <w:t>GSO MES terminals planning to offer GMDSS services in the 1</w:t>
      </w:r>
      <w:r w:rsidR="00672D9E" w:rsidRPr="0051054F">
        <w:t xml:space="preserve"> </w:t>
      </w:r>
      <w:r w:rsidR="00601466" w:rsidRPr="0051054F">
        <w:t>616-1</w:t>
      </w:r>
      <w:r w:rsidR="00672D9E" w:rsidRPr="0051054F">
        <w:t xml:space="preserve"> </w:t>
      </w:r>
      <w:r w:rsidR="00601466" w:rsidRPr="0051054F">
        <w:t xml:space="preserve">626.5 MHz band must be designed and installed in such a manner as to </w:t>
      </w:r>
      <w:r w:rsidR="00601466" w:rsidRPr="0051054F">
        <w:rPr>
          <w:u w:val="single"/>
        </w:rPr>
        <w:t>tolerate the potential for interference from existing GSO terminals</w:t>
      </w:r>
      <w:r w:rsidR="00601466" w:rsidRPr="0051054F">
        <w:t xml:space="preserve"> operating in the band 1</w:t>
      </w:r>
      <w:r w:rsidR="00672D9E" w:rsidRPr="0051054F">
        <w:t xml:space="preserve"> </w:t>
      </w:r>
      <w:r w:rsidR="00601466" w:rsidRPr="0051054F">
        <w:t>626.5-1</w:t>
      </w:r>
      <w:r w:rsidR="00FE5C50">
        <w:t> </w:t>
      </w:r>
      <w:r w:rsidR="00601466" w:rsidRPr="0051054F">
        <w:t>660.5 MHz. Iridium GMDSS terminals should be in compliance to Resolution</w:t>
      </w:r>
      <w:r w:rsidR="00FE5C50">
        <w:t> </w:t>
      </w:r>
      <w:r w:rsidR="00601466" w:rsidRPr="00802DD2">
        <w:rPr>
          <w:b/>
          <w:bCs/>
        </w:rPr>
        <w:t>359 (Rev.WRC-15)</w:t>
      </w:r>
      <w:r w:rsidR="00601466" w:rsidRPr="0051054F">
        <w:t xml:space="preserve"> which states in </w:t>
      </w:r>
      <w:r w:rsidR="00601466" w:rsidRPr="00FE5C50">
        <w:rPr>
          <w:i/>
          <w:iCs/>
        </w:rPr>
        <w:t>considering</w:t>
      </w:r>
      <w:r w:rsidR="00601466" w:rsidRPr="0051054F">
        <w:t xml:space="preserve"> </w:t>
      </w:r>
      <w:r w:rsidR="00601466" w:rsidRPr="00FE5C50">
        <w:rPr>
          <w:i/>
          <w:iCs/>
        </w:rPr>
        <w:t>e)</w:t>
      </w:r>
      <w:r w:rsidR="00601466" w:rsidRPr="0051054F">
        <w:t xml:space="preserve">; </w:t>
      </w:r>
      <w:r w:rsidR="00601466" w:rsidRPr="0051054F">
        <w:rPr>
          <w:i/>
          <w:u w:val="single"/>
        </w:rPr>
        <w:t>“...GMDSS satellite systems should operate within the interference environment of existing</w:t>
      </w:r>
      <w:r w:rsidR="00601466" w:rsidRPr="00FC27BF">
        <w:rPr>
          <w:i/>
          <w:u w:val="single"/>
        </w:rPr>
        <w:t xml:space="preserve"> systems</w:t>
      </w:r>
      <w:r w:rsidR="00601466" w:rsidRPr="00FC27BF">
        <w:t>”.</w:t>
      </w:r>
    </w:p>
    <w:p w14:paraId="31D2902B" w14:textId="77777777" w:rsidR="00601466" w:rsidRDefault="0045406D" w:rsidP="0045406D">
      <w:pPr>
        <w:pStyle w:val="enumlev2"/>
      </w:pPr>
      <w:r>
        <w:t>V</w:t>
      </w:r>
      <w:r>
        <w:tab/>
      </w:r>
      <w:r w:rsidR="00601466">
        <w:t>There are m</w:t>
      </w:r>
      <w:r w:rsidR="00601466" w:rsidRPr="00FC6458">
        <w:t>easures available</w:t>
      </w:r>
      <w:r w:rsidR="00601466">
        <w:t xml:space="preserve"> for Iridium t</w:t>
      </w:r>
      <w:r w:rsidR="00601466" w:rsidRPr="00FC6458">
        <w:t>o ensure compatible operations with existing GSO MES terminals operating in adjacent bands</w:t>
      </w:r>
      <w:r w:rsidR="00601466">
        <w:t xml:space="preserve"> by including </w:t>
      </w:r>
    </w:p>
    <w:p w14:paraId="75F181AF" w14:textId="16F51BFD" w:rsidR="00601466" w:rsidRDefault="00601466" w:rsidP="0045406D">
      <w:pPr>
        <w:pStyle w:val="enumlev3"/>
      </w:pPr>
      <w:r w:rsidRPr="00FC6458">
        <w:t>(a)</w:t>
      </w:r>
      <w:r w:rsidR="00802DD2">
        <w:tab/>
      </w:r>
      <w:r w:rsidRPr="00FC6458">
        <w:t xml:space="preserve">provision of adequate system link margin in the design of non-GSO GMDSS compliant terminals, </w:t>
      </w:r>
    </w:p>
    <w:p w14:paraId="4D08FC07" w14:textId="245573CA" w:rsidR="00601466" w:rsidRDefault="00601466" w:rsidP="0045406D">
      <w:pPr>
        <w:pStyle w:val="enumlev3"/>
      </w:pPr>
      <w:r w:rsidRPr="00FC6458">
        <w:t>(b)</w:t>
      </w:r>
      <w:r w:rsidR="00802DD2">
        <w:tab/>
      </w:r>
      <w:r w:rsidRPr="00FC6458">
        <w:t>ensuring the non-GSO GMDSS receivers are not desensitized from operation of GSO</w:t>
      </w:r>
      <w:r>
        <w:t>-</w:t>
      </w:r>
      <w:r w:rsidRPr="00FC6458">
        <w:t xml:space="preserve"> MES terminals operating in adjacent bands, </w:t>
      </w:r>
    </w:p>
    <w:p w14:paraId="6CB97048" w14:textId="4E6C6F6D" w:rsidR="00601466" w:rsidRDefault="00601466" w:rsidP="0045406D">
      <w:pPr>
        <w:pStyle w:val="enumlev3"/>
      </w:pPr>
      <w:r w:rsidRPr="00FC6458">
        <w:t>(c)</w:t>
      </w:r>
      <w:r w:rsidR="00802DD2">
        <w:tab/>
      </w:r>
      <w:r w:rsidRPr="00FC6458">
        <w:t>including adequate carrier separation of the non-GSO MSS system to 1</w:t>
      </w:r>
      <w:r w:rsidR="00F84BC0">
        <w:t> </w:t>
      </w:r>
      <w:r w:rsidRPr="00677FB0">
        <w:t>6</w:t>
      </w:r>
      <w:r w:rsidRPr="00FC6458">
        <w:t>26.5 MHz if necessary, and</w:t>
      </w:r>
    </w:p>
    <w:p w14:paraId="21156EE6" w14:textId="30FB9399" w:rsidR="00601466" w:rsidRDefault="00601466" w:rsidP="0045406D">
      <w:pPr>
        <w:pStyle w:val="enumlev3"/>
      </w:pPr>
      <w:r w:rsidRPr="00FC6458">
        <w:t>(d)</w:t>
      </w:r>
      <w:r w:rsidR="00802DD2">
        <w:tab/>
      </w:r>
      <w:r w:rsidRPr="00FC6458">
        <w:t>measures taken by the terminal manufacturer to mitigate any interference through design and through equipment performance standards</w:t>
      </w:r>
      <w:r w:rsidR="00F84BC0">
        <w:t>,</w:t>
      </w:r>
      <w:r>
        <w:t xml:space="preserve"> and </w:t>
      </w:r>
    </w:p>
    <w:p w14:paraId="4E4C2108" w14:textId="65572C7B" w:rsidR="00601466" w:rsidRDefault="00601466" w:rsidP="0045406D">
      <w:pPr>
        <w:pStyle w:val="enumlev3"/>
      </w:pPr>
      <w:r>
        <w:t>(e)</w:t>
      </w:r>
      <w:r w:rsidR="00802DD2">
        <w:tab/>
      </w:r>
      <w:r>
        <w:t>Guidelines for the installation of non-GSO terminals on ships.</w:t>
      </w:r>
    </w:p>
    <w:p w14:paraId="599C0194" w14:textId="77777777" w:rsidR="00601466" w:rsidRPr="00FC27BF" w:rsidRDefault="0045406D" w:rsidP="0045406D">
      <w:pPr>
        <w:pStyle w:val="enumlev2"/>
      </w:pPr>
      <w:r>
        <w:t>VI</w:t>
      </w:r>
      <w:r>
        <w:tab/>
      </w:r>
      <w:r w:rsidR="00601466" w:rsidRPr="00304146">
        <w:t>Iridium</w:t>
      </w:r>
      <w:r w:rsidR="00601466">
        <w:t>’s</w:t>
      </w:r>
      <w:r w:rsidR="00601466" w:rsidRPr="00304146">
        <w:t xml:space="preserve"> approval as a GMDSS provider introduces the risk of overload interference to Iridium GMDSS terminals from Inmarsat terminals on the same </w:t>
      </w:r>
      <w:r w:rsidR="00601466" w:rsidRPr="0051054F">
        <w:t xml:space="preserve">ship. In line with </w:t>
      </w:r>
      <w:r w:rsidR="00601466" w:rsidRPr="00F84BC0">
        <w:rPr>
          <w:i/>
          <w:iCs/>
        </w:rPr>
        <w:t>considering e)</w:t>
      </w:r>
      <w:r w:rsidR="00601466" w:rsidRPr="0051054F">
        <w:t xml:space="preserve"> of Res</w:t>
      </w:r>
      <w:r w:rsidR="00304BF9" w:rsidRPr="00802DD2">
        <w:t>olution</w:t>
      </w:r>
      <w:r w:rsidR="00601466" w:rsidRPr="0051054F">
        <w:t xml:space="preserve"> </w:t>
      </w:r>
      <w:r w:rsidR="00601466" w:rsidRPr="00802DD2">
        <w:rPr>
          <w:b/>
        </w:rPr>
        <w:t>359</w:t>
      </w:r>
      <w:r w:rsidR="00304BF9" w:rsidRPr="00802DD2">
        <w:rPr>
          <w:b/>
        </w:rPr>
        <w:t xml:space="preserve"> </w:t>
      </w:r>
      <w:r w:rsidR="00304BF9" w:rsidRPr="00802DD2">
        <w:rPr>
          <w:b/>
          <w:bCs/>
        </w:rPr>
        <w:t>(Rev.WRC-15)</w:t>
      </w:r>
      <w:r w:rsidR="00601466" w:rsidRPr="0051054F">
        <w:t xml:space="preserve">, </w:t>
      </w:r>
      <w:r w:rsidR="00601466" w:rsidRPr="0051054F">
        <w:rPr>
          <w:b/>
        </w:rPr>
        <w:t>it would be</w:t>
      </w:r>
      <w:r w:rsidR="00601466" w:rsidRPr="00FC27BF">
        <w:rPr>
          <w:b/>
        </w:rPr>
        <w:t xml:space="preserve"> Iridium’s responsibility to manage this type of interference</w:t>
      </w:r>
      <w:r w:rsidR="00601466" w:rsidRPr="0043771E">
        <w:t>.</w:t>
      </w:r>
    </w:p>
    <w:p w14:paraId="50F56428" w14:textId="77777777" w:rsidR="00601466" w:rsidRPr="00304146" w:rsidRDefault="0045406D" w:rsidP="0045406D">
      <w:pPr>
        <w:pStyle w:val="enumlev2"/>
      </w:pPr>
      <w:r>
        <w:t>VII</w:t>
      </w:r>
      <w:r>
        <w:tab/>
      </w:r>
      <w:r w:rsidR="00601466">
        <w:t xml:space="preserve">If the new GMDSS provider does not implement suitable measures, </w:t>
      </w:r>
      <w:r w:rsidR="00601466" w:rsidRPr="00304146">
        <w:t>Iridium receivers</w:t>
      </w:r>
      <w:r w:rsidR="00601466">
        <w:t xml:space="preserve"> could receive interference from Inmarsat terminals</w:t>
      </w:r>
      <w:r w:rsidR="00601466" w:rsidRPr="00304146">
        <w:t xml:space="preserve">, in particular due to Iridium receiver overload. This type of interference has been reported in the past for land mobile terminals. Iridium and Inmarsat </w:t>
      </w:r>
      <w:r w:rsidR="00601466">
        <w:t xml:space="preserve">maritime terminals </w:t>
      </w:r>
      <w:r w:rsidR="00601466" w:rsidRPr="00304146">
        <w:t>have co-existed for many years in adjacent bands within the existing interference environment</w:t>
      </w:r>
      <w:r w:rsidR="00601466">
        <w:t xml:space="preserve"> and this situation can continue in the future provided that the regulatory framework is not changed regarding potential interference from GSO MESs to Iridium terminals</w:t>
      </w:r>
      <w:r w:rsidR="00601466" w:rsidRPr="00304146">
        <w:t>.</w:t>
      </w:r>
    </w:p>
    <w:p w14:paraId="711020C1" w14:textId="77777777" w:rsidR="00601466" w:rsidRPr="0045406D" w:rsidRDefault="0045406D" w:rsidP="00A75223">
      <w:pPr>
        <w:pStyle w:val="Headingb"/>
      </w:pPr>
      <w:r w:rsidRPr="0045406D">
        <w:t>B</w:t>
      </w:r>
      <w:r w:rsidRPr="0045406D">
        <w:tab/>
      </w:r>
      <w:r w:rsidR="00601466" w:rsidRPr="0045406D">
        <w:t>Systems in the frequency bands of interest and adjacent frequency bands.</w:t>
      </w:r>
    </w:p>
    <w:p w14:paraId="12C57E3B" w14:textId="77777777" w:rsidR="00601466" w:rsidRPr="0051054F" w:rsidRDefault="00601466" w:rsidP="0045406D">
      <w:pPr>
        <w:rPr>
          <w:b/>
        </w:rPr>
      </w:pPr>
      <w:r w:rsidRPr="0051054F">
        <w:t xml:space="preserve">The main RR addressing the GMDSS frequency bands are in </w:t>
      </w:r>
      <w:r w:rsidR="00304BF9" w:rsidRPr="00802DD2">
        <w:t>RR</w:t>
      </w:r>
      <w:r w:rsidR="00304BF9" w:rsidRPr="0051054F">
        <w:t xml:space="preserve"> </w:t>
      </w:r>
      <w:r w:rsidRPr="0051054F">
        <w:t xml:space="preserve">Appendix </w:t>
      </w:r>
      <w:r w:rsidRPr="0051054F">
        <w:rPr>
          <w:b/>
        </w:rPr>
        <w:t>15</w:t>
      </w:r>
      <w:r w:rsidRPr="0051054F">
        <w:t xml:space="preserve"> </w:t>
      </w:r>
      <w:r w:rsidRPr="0051054F">
        <w:rPr>
          <w:b/>
        </w:rPr>
        <w:t>(</w:t>
      </w:r>
      <w:r w:rsidR="00B12DBA" w:rsidRPr="00802DD2">
        <w:rPr>
          <w:b/>
        </w:rPr>
        <w:t>Rev.</w:t>
      </w:r>
      <w:r w:rsidRPr="0051054F">
        <w:rPr>
          <w:b/>
        </w:rPr>
        <w:t>WRC-15).</w:t>
      </w:r>
      <w:r w:rsidR="00E5192E" w:rsidRPr="0051054F">
        <w:rPr>
          <w:b/>
        </w:rPr>
        <w:t xml:space="preserve"> </w:t>
      </w:r>
      <w:r w:rsidRPr="0051054F">
        <w:t xml:space="preserve">“Frequencies for distress and safety communications for the Global Maritime Distress and Safety System (GMDSS)” Table </w:t>
      </w:r>
      <w:r w:rsidRPr="0051054F">
        <w:rPr>
          <w:b/>
        </w:rPr>
        <w:t xml:space="preserve">15-2. </w:t>
      </w:r>
    </w:p>
    <w:p w14:paraId="3D88697C" w14:textId="77777777" w:rsidR="00601466" w:rsidRPr="0051054F" w:rsidRDefault="00601466" w:rsidP="0045406D">
      <w:pPr>
        <w:rPr>
          <w:b/>
        </w:rPr>
      </w:pPr>
      <w:r w:rsidRPr="0051054F">
        <w:t xml:space="preserve">RR Appendix </w:t>
      </w:r>
      <w:r w:rsidRPr="0051054F">
        <w:rPr>
          <w:b/>
          <w:bCs/>
        </w:rPr>
        <w:t>15</w:t>
      </w:r>
      <w:r w:rsidRPr="0051054F">
        <w:t xml:space="preserve"> identifies all spectrum/frequencies used by the GMDSS; Table </w:t>
      </w:r>
      <w:r w:rsidRPr="0051054F">
        <w:rPr>
          <w:b/>
        </w:rPr>
        <w:t>15-2</w:t>
      </w:r>
      <w:r w:rsidRPr="0051054F">
        <w:t xml:space="preserve"> shows all spectrum/frequencies above 30 MHz, including some used to provide satellite GMDSS. Currently, this table does not include the Iridium band 1</w:t>
      </w:r>
      <w:r w:rsidR="00325993" w:rsidRPr="00802DD2">
        <w:t xml:space="preserve"> </w:t>
      </w:r>
      <w:r w:rsidRPr="0051054F">
        <w:t>616-1</w:t>
      </w:r>
      <w:r w:rsidR="00325993" w:rsidRPr="00802DD2">
        <w:t xml:space="preserve"> </w:t>
      </w:r>
      <w:r w:rsidRPr="0051054F">
        <w:t>626.5 MHz.</w:t>
      </w:r>
    </w:p>
    <w:p w14:paraId="3543A1E6" w14:textId="77777777" w:rsidR="00601466" w:rsidRPr="0051054F" w:rsidRDefault="00601466" w:rsidP="0045406D">
      <w:pPr>
        <w:pStyle w:val="Heading2"/>
        <w:rPr>
          <w:lang w:val="en-NZ"/>
        </w:rPr>
      </w:pPr>
      <w:r w:rsidRPr="0051054F">
        <w:rPr>
          <w:lang w:val="en-NZ" w:eastAsia="ko-KR"/>
        </w:rPr>
        <w:t>1.3</w:t>
      </w:r>
      <w:r w:rsidR="0045406D" w:rsidRPr="0051054F">
        <w:rPr>
          <w:lang w:val="en-NZ" w:eastAsia="ko-KR"/>
        </w:rPr>
        <w:tab/>
      </w:r>
      <w:r w:rsidRPr="0051054F">
        <w:rPr>
          <w:lang w:val="en-NZ" w:eastAsia="ko-KR"/>
        </w:rPr>
        <w:t>List of relevant ITU-R Recommendations and Reports</w:t>
      </w:r>
    </w:p>
    <w:p w14:paraId="7EA6C4F3" w14:textId="5D3040A0" w:rsidR="00601466" w:rsidRPr="0045406D" w:rsidRDefault="00802DD2" w:rsidP="0045406D">
      <w:pPr>
        <w:rPr>
          <w:b/>
          <w:i/>
          <w:color w:val="000000" w:themeColor="text1"/>
          <w:lang w:val="en-NZ"/>
        </w:rPr>
      </w:pPr>
      <w:r w:rsidRPr="00802DD2">
        <w:rPr>
          <w:rFonts w:eastAsia="ArialMT"/>
          <w:bCs/>
          <w:i/>
          <w:lang w:eastAsia="ko-KR"/>
        </w:rPr>
        <w:t xml:space="preserve">resolves </w:t>
      </w:r>
      <w:r w:rsidRPr="00802DD2">
        <w:rPr>
          <w:rFonts w:eastAsia="ArialMT"/>
          <w:bCs/>
          <w:iCs/>
          <w:lang w:eastAsia="ko-KR"/>
        </w:rPr>
        <w:t>2</w:t>
      </w:r>
      <w:r w:rsidRPr="00802DD2">
        <w:rPr>
          <w:b/>
          <w:iCs/>
          <w:color w:val="000000" w:themeColor="text1"/>
          <w:lang w:val="en-NZ"/>
        </w:rPr>
        <w:t>:</w:t>
      </w:r>
      <w:r w:rsidR="00601466" w:rsidRPr="0045406D">
        <w:rPr>
          <w:b/>
          <w:i/>
          <w:color w:val="000000" w:themeColor="text1"/>
          <w:lang w:val="en-NZ"/>
        </w:rPr>
        <w:t xml:space="preserve"> </w:t>
      </w:r>
    </w:p>
    <w:p w14:paraId="5EDE9AA8" w14:textId="77777777" w:rsidR="00601466" w:rsidRPr="003C0FA6" w:rsidRDefault="0045406D" w:rsidP="0045406D">
      <w:pPr>
        <w:pStyle w:val="enumlev1"/>
        <w:rPr>
          <w:lang w:val="en-NZ"/>
        </w:rPr>
      </w:pPr>
      <w:r w:rsidRPr="0045406D">
        <w:rPr>
          <w:lang w:val="en-NZ"/>
        </w:rPr>
        <w:t>–</w:t>
      </w:r>
      <w:r>
        <w:rPr>
          <w:lang w:val="en-NZ"/>
        </w:rPr>
        <w:tab/>
      </w:r>
      <w:r w:rsidR="00601466" w:rsidRPr="003C0FA6">
        <w:rPr>
          <w:lang w:val="en-NZ"/>
        </w:rPr>
        <w:t>Recommendation ITU-R M.1184-3: Technical characteristics of mobile satellite systems in the frequency bands below 3 GHz for use in developing criteria for sharing between the mobile-satellite service (MSS) and other services;</w:t>
      </w:r>
    </w:p>
    <w:p w14:paraId="1CE00CF4" w14:textId="77777777" w:rsidR="00601466" w:rsidRPr="003C0FA6" w:rsidRDefault="0045406D" w:rsidP="0045406D">
      <w:pPr>
        <w:pStyle w:val="enumlev1"/>
        <w:rPr>
          <w:lang w:val="en-NZ"/>
        </w:rPr>
      </w:pPr>
      <w:r w:rsidRPr="0045406D">
        <w:rPr>
          <w:lang w:val="en-NZ"/>
        </w:rPr>
        <w:t>–</w:t>
      </w:r>
      <w:r>
        <w:rPr>
          <w:lang w:val="en-NZ"/>
        </w:rPr>
        <w:tab/>
      </w:r>
      <w:r w:rsidR="00601466" w:rsidRPr="003C0FA6">
        <w:rPr>
          <w:lang w:val="en-NZ"/>
        </w:rPr>
        <w:t>Recommendation ITU-R M.1188-1: Impact of propagation on the design of non-GSO mobile-satellite systems not employing satellite diversity which provide service to handheld equipment;</w:t>
      </w:r>
    </w:p>
    <w:p w14:paraId="5A5DB206" w14:textId="3E5A16BF" w:rsidR="00601466" w:rsidRDefault="0045406D" w:rsidP="0045406D">
      <w:pPr>
        <w:pStyle w:val="enumlev1"/>
        <w:rPr>
          <w:lang w:val="en-NZ"/>
        </w:rPr>
      </w:pPr>
      <w:r w:rsidRPr="0045406D">
        <w:rPr>
          <w:lang w:val="en-NZ"/>
        </w:rPr>
        <w:t>–</w:t>
      </w:r>
      <w:r>
        <w:rPr>
          <w:lang w:val="en-NZ"/>
        </w:rPr>
        <w:tab/>
      </w:r>
      <w:r w:rsidR="00601466" w:rsidRPr="00495DFB">
        <w:rPr>
          <w:lang w:val="en-NZ"/>
        </w:rPr>
        <w:t xml:space="preserve">Recommendation ITU-R M.1583-1: Interference calculations between non-geostationary mobile-satellite service or </w:t>
      </w:r>
      <w:proofErr w:type="spellStart"/>
      <w:r w:rsidR="00601466" w:rsidRPr="00495DFB">
        <w:rPr>
          <w:lang w:val="en-NZ"/>
        </w:rPr>
        <w:t>radionavigation</w:t>
      </w:r>
      <w:proofErr w:type="spellEnd"/>
      <w:r w:rsidR="00601466" w:rsidRPr="00495DFB">
        <w:rPr>
          <w:lang w:val="en-NZ"/>
        </w:rPr>
        <w:t>-satellite service systems and radio astronomy telescope sites;</w:t>
      </w:r>
    </w:p>
    <w:p w14:paraId="578371A9" w14:textId="77777777" w:rsidR="00601466" w:rsidRPr="00DE0CF8" w:rsidRDefault="0045406D" w:rsidP="0045406D">
      <w:pPr>
        <w:pStyle w:val="enumlev1"/>
        <w:rPr>
          <w:rFonts w:eastAsia="SimSun"/>
        </w:rPr>
      </w:pPr>
      <w:r w:rsidRPr="0045406D">
        <w:rPr>
          <w:rFonts w:eastAsia="SimSun"/>
        </w:rPr>
        <w:t>–</w:t>
      </w:r>
      <w:r>
        <w:rPr>
          <w:rFonts w:eastAsia="SimSun"/>
        </w:rPr>
        <w:tab/>
      </w:r>
      <w:r w:rsidR="00601466" w:rsidRPr="0012658D">
        <w:rPr>
          <w:rFonts w:eastAsia="SimSun"/>
        </w:rPr>
        <w:t>Recommendations ITU-R RA.1631-0</w:t>
      </w:r>
      <w:r w:rsidR="00601466">
        <w:rPr>
          <w:rFonts w:eastAsia="SimSun" w:hint="eastAsia"/>
          <w:lang w:eastAsia="zh-CN"/>
        </w:rPr>
        <w:t xml:space="preserve">: Reference radio </w:t>
      </w:r>
      <w:r w:rsidR="00601466">
        <w:rPr>
          <w:rFonts w:eastAsia="SimSun"/>
          <w:lang w:eastAsia="zh-CN"/>
        </w:rPr>
        <w:t>astronomy</w:t>
      </w:r>
      <w:r w:rsidR="00601466">
        <w:rPr>
          <w:rFonts w:eastAsia="SimSun" w:hint="eastAsia"/>
          <w:lang w:eastAsia="zh-CN"/>
        </w:rPr>
        <w:t xml:space="preserve"> antenna pattern to be used for </w:t>
      </w:r>
      <w:r w:rsidR="00601466">
        <w:rPr>
          <w:rFonts w:eastAsia="SimSun"/>
          <w:lang w:eastAsia="zh-CN"/>
        </w:rPr>
        <w:t>compatibility</w:t>
      </w:r>
      <w:r w:rsidR="00601466">
        <w:rPr>
          <w:rFonts w:eastAsia="SimSun" w:hint="eastAsia"/>
          <w:lang w:eastAsia="zh-CN"/>
        </w:rPr>
        <w:t xml:space="preserve"> analyses between non-GSO systems and </w:t>
      </w:r>
      <w:r w:rsidR="00601466">
        <w:rPr>
          <w:rFonts w:eastAsia="SimSun"/>
          <w:lang w:eastAsia="zh-CN"/>
        </w:rPr>
        <w:t>radi</w:t>
      </w:r>
      <w:r w:rsidR="00601466">
        <w:rPr>
          <w:rFonts w:eastAsia="SimSun" w:hint="eastAsia"/>
          <w:lang w:eastAsia="zh-CN"/>
        </w:rPr>
        <w:t>o astronomy service stations based on the epfd concept</w:t>
      </w:r>
      <w:r w:rsidR="00601466">
        <w:rPr>
          <w:rFonts w:eastAsia="SimSun"/>
          <w:lang w:eastAsia="zh-CN"/>
        </w:rPr>
        <w:t>;</w:t>
      </w:r>
    </w:p>
    <w:p w14:paraId="68AC464B" w14:textId="77777777" w:rsidR="00601466" w:rsidRPr="003C0FA6" w:rsidRDefault="0045406D" w:rsidP="0045406D">
      <w:pPr>
        <w:pStyle w:val="enumlev1"/>
        <w:rPr>
          <w:lang w:val="en-NZ"/>
        </w:rPr>
      </w:pPr>
      <w:r w:rsidRPr="0045406D">
        <w:rPr>
          <w:lang w:val="en-NZ"/>
        </w:rPr>
        <w:t>–</w:t>
      </w:r>
      <w:r>
        <w:rPr>
          <w:lang w:val="en-NZ"/>
        </w:rPr>
        <w:tab/>
      </w:r>
      <w:r w:rsidR="00601466" w:rsidRPr="003C0FA6">
        <w:rPr>
          <w:lang w:val="en-NZ"/>
        </w:rPr>
        <w:t>Report ITU-R M.2369-0: Use of non-geostationary orbit mobile satellite systems to enhance maritime safety;</w:t>
      </w:r>
    </w:p>
    <w:p w14:paraId="3411ACA6" w14:textId="77777777" w:rsidR="00601466" w:rsidRPr="003C0FA6" w:rsidRDefault="0045406D" w:rsidP="0045406D">
      <w:pPr>
        <w:pStyle w:val="enumlev1"/>
        <w:rPr>
          <w:lang w:val="en-NZ"/>
        </w:rPr>
      </w:pPr>
      <w:r w:rsidRPr="0045406D">
        <w:rPr>
          <w:rFonts w:eastAsia="SimSun"/>
          <w:lang w:val="en-NZ" w:eastAsia="zh-CN"/>
        </w:rPr>
        <w:t>–</w:t>
      </w:r>
      <w:r>
        <w:rPr>
          <w:rFonts w:eastAsia="SimSun"/>
          <w:lang w:val="en-NZ" w:eastAsia="zh-CN"/>
        </w:rPr>
        <w:tab/>
      </w:r>
      <w:r w:rsidR="00601466">
        <w:rPr>
          <w:rFonts w:eastAsia="SimSun"/>
          <w:lang w:val="en-NZ" w:eastAsia="zh-CN"/>
        </w:rPr>
        <w:t>D</w:t>
      </w:r>
      <w:r w:rsidR="00601466" w:rsidRPr="003C0FA6">
        <w:rPr>
          <w:lang w:val="en-NZ"/>
        </w:rPr>
        <w:t>raft new Report ITU-R M.[GMDSS</w:t>
      </w:r>
      <w:r w:rsidR="00601466" w:rsidRPr="003C0FA6">
        <w:rPr>
          <w:lang w:val="en-NZ"/>
        </w:rPr>
        <w:noBreakHyphen/>
        <w:t>SATREG]</w:t>
      </w:r>
      <w:r w:rsidR="00601466">
        <w:rPr>
          <w:lang w:val="en-NZ"/>
        </w:rPr>
        <w:t>-</w:t>
      </w:r>
      <w:r w:rsidR="00601466" w:rsidRPr="003C0FA6">
        <w:rPr>
          <w:lang w:val="en-NZ"/>
        </w:rPr>
        <w:t>Introduction of additional mobile-satellite service systems into the GMDSS;</w:t>
      </w:r>
    </w:p>
    <w:p w14:paraId="25192A62" w14:textId="77777777" w:rsidR="00601466" w:rsidRPr="003C0FA6" w:rsidRDefault="0045406D" w:rsidP="0045406D">
      <w:pPr>
        <w:pStyle w:val="enumlev1"/>
        <w:rPr>
          <w:lang w:val="en-NZ"/>
        </w:rPr>
      </w:pPr>
      <w:r w:rsidRPr="0045406D">
        <w:rPr>
          <w:lang w:val="en-NZ"/>
        </w:rPr>
        <w:t>–</w:t>
      </w:r>
      <w:r>
        <w:rPr>
          <w:lang w:val="en-NZ"/>
        </w:rPr>
        <w:tab/>
      </w:r>
      <w:r w:rsidR="00601466" w:rsidRPr="003C0FA6">
        <w:rPr>
          <w:lang w:val="en-NZ"/>
        </w:rPr>
        <w:t>Working document towards a preliminary draft new Report ITU-R M.[RAS</w:t>
      </w:r>
      <w:r w:rsidR="00601466" w:rsidRPr="003C0FA6">
        <w:rPr>
          <w:lang w:val="en-NZ"/>
        </w:rPr>
        <w:noBreakHyphen/>
        <w:t xml:space="preserve">COMPAT] – Unwanted emissions in the RAS band from space-to-Earth transmissions from </w:t>
      </w:r>
      <w:r w:rsidR="00601466">
        <w:rPr>
          <w:lang w:val="en-NZ"/>
        </w:rPr>
        <w:t>MSS S</w:t>
      </w:r>
      <w:r w:rsidR="00601466" w:rsidRPr="003C0FA6">
        <w:rPr>
          <w:lang w:val="en-NZ"/>
        </w:rPr>
        <w:t>atellites.</w:t>
      </w:r>
    </w:p>
    <w:p w14:paraId="517BAF6B" w14:textId="77777777" w:rsidR="00601466" w:rsidRPr="003C0FA6" w:rsidRDefault="00601466" w:rsidP="00786FBE">
      <w:pPr>
        <w:pStyle w:val="Heading1"/>
        <w:rPr>
          <w:lang w:val="en-NZ" w:eastAsia="ko-KR"/>
        </w:rPr>
      </w:pPr>
      <w:r w:rsidRPr="00786FBE">
        <w:t>2</w:t>
      </w:r>
      <w:r w:rsidRPr="00786FBE">
        <w:tab/>
      </w:r>
      <w:r w:rsidRPr="003C0FA6">
        <w:rPr>
          <w:lang w:val="en-NZ" w:eastAsia="ko-KR"/>
        </w:rPr>
        <w:t xml:space="preserve">Summary </w:t>
      </w:r>
    </w:p>
    <w:p w14:paraId="18AA027E" w14:textId="1D528FB6" w:rsidR="00601466" w:rsidRPr="0051054F" w:rsidRDefault="00601466">
      <w:pPr>
        <w:rPr>
          <w:rFonts w:eastAsia="SimSun"/>
          <w:lang w:eastAsia="zh-CN"/>
        </w:rPr>
      </w:pPr>
      <w:r w:rsidRPr="0051054F">
        <w:rPr>
          <w:rFonts w:eastAsia="SimSun"/>
          <w:lang w:eastAsia="zh-CN"/>
        </w:rPr>
        <w:t xml:space="preserve">Samoa </w:t>
      </w:r>
      <w:r w:rsidRPr="0051054F">
        <w:rPr>
          <w:rFonts w:eastAsiaTheme="minorEastAsia"/>
          <w:lang w:eastAsia="zh-CN"/>
        </w:rPr>
        <w:t>support</w:t>
      </w:r>
      <w:r w:rsidR="00B12DBA" w:rsidRPr="00802DD2">
        <w:rPr>
          <w:rFonts w:eastAsiaTheme="minorEastAsia"/>
          <w:lang w:eastAsia="zh-CN"/>
        </w:rPr>
        <w:t>s</w:t>
      </w:r>
      <w:r w:rsidRPr="0051054F">
        <w:rPr>
          <w:rFonts w:eastAsiaTheme="minorEastAsia"/>
          <w:lang w:val="en-NZ" w:eastAsia="zh-CN"/>
        </w:rPr>
        <w:t xml:space="preserve"> upgrading the MSS (space-to-Earth) relating to the allocation in </w:t>
      </w:r>
      <w:r w:rsidRPr="0051054F">
        <w:rPr>
          <w:rFonts w:eastAsiaTheme="minorEastAsia"/>
          <w:lang w:eastAsia="zh-CN"/>
        </w:rPr>
        <w:t>the frequency band 1 621.35</w:t>
      </w:r>
      <w:r w:rsidR="00802DD2">
        <w:rPr>
          <w:rFonts w:eastAsiaTheme="minorEastAsia"/>
          <w:lang w:eastAsia="zh-CN"/>
        </w:rPr>
        <w:t>-</w:t>
      </w:r>
      <w:r w:rsidRPr="0051054F">
        <w:rPr>
          <w:rFonts w:eastAsiaTheme="minorEastAsia"/>
          <w:lang w:eastAsia="zh-CN"/>
        </w:rPr>
        <w:t>1 626.5 MHz</w:t>
      </w:r>
      <w:r w:rsidRPr="0051054F">
        <w:rPr>
          <w:rFonts w:eastAsiaTheme="minorEastAsia"/>
          <w:lang w:val="en-NZ" w:eastAsia="zh-CN"/>
        </w:rPr>
        <w:t xml:space="preserve"> to primary due to the fact that all services providing safety-of-life are of primary status and all services and frequency bands are primary allocations and </w:t>
      </w:r>
      <w:r w:rsidRPr="0051054F">
        <w:rPr>
          <w:rFonts w:eastAsiaTheme="minorEastAsia"/>
          <w:lang w:eastAsia="zh-CN"/>
        </w:rPr>
        <w:t xml:space="preserve">ensure that the </w:t>
      </w:r>
      <w:r w:rsidRPr="0051054F">
        <w:rPr>
          <w:rFonts w:eastAsiaTheme="minorEastAsia"/>
          <w:lang w:val="en-NZ" w:eastAsia="zh-CN"/>
        </w:rPr>
        <w:t xml:space="preserve">upgrading to primary </w:t>
      </w:r>
      <w:r w:rsidRPr="0051054F">
        <w:rPr>
          <w:rFonts w:eastAsiaTheme="minorEastAsia"/>
          <w:lang w:eastAsia="zh-CN"/>
        </w:rPr>
        <w:t>status should not impose additional constrains to the emission of MSS and RDSS earth stations in the frequency band 1 610-1 626.5MHz</w:t>
      </w:r>
      <w:r w:rsidRPr="0051054F">
        <w:t xml:space="preserve"> for which complete coordination information has been received by the Radiocommunication Bureau before formal commencement of the service.</w:t>
      </w:r>
    </w:p>
    <w:p w14:paraId="4D2E50F9" w14:textId="78618FE2" w:rsidR="00601466" w:rsidRPr="0051054F" w:rsidRDefault="00601466" w:rsidP="00786FBE">
      <w:pPr>
        <w:pStyle w:val="Heading2"/>
        <w:rPr>
          <w:lang w:val="en-NZ" w:eastAsia="ko-KR"/>
        </w:rPr>
      </w:pPr>
      <w:r w:rsidRPr="0051054F">
        <w:rPr>
          <w:lang w:val="en-NZ" w:eastAsia="ko-KR"/>
        </w:rPr>
        <w:t>2.</w:t>
      </w:r>
      <w:r w:rsidR="00793A01">
        <w:rPr>
          <w:lang w:val="en-NZ" w:eastAsia="ko-KR"/>
        </w:rPr>
        <w:t>1</w:t>
      </w:r>
      <w:r w:rsidRPr="0051054F">
        <w:rPr>
          <w:lang w:val="en-NZ" w:eastAsia="ko-KR"/>
        </w:rPr>
        <w:tab/>
        <w:t xml:space="preserve">Administration </w:t>
      </w:r>
      <w:r w:rsidR="00802DD2">
        <w:rPr>
          <w:lang w:val="en-NZ" w:eastAsia="ko-KR"/>
        </w:rPr>
        <w:t>v</w:t>
      </w:r>
      <w:r w:rsidRPr="0051054F">
        <w:rPr>
          <w:lang w:val="en-NZ" w:eastAsia="ko-KR"/>
        </w:rPr>
        <w:t>iew</w:t>
      </w:r>
    </w:p>
    <w:p w14:paraId="04E538F4" w14:textId="77777777" w:rsidR="00786FBE" w:rsidRPr="00786FBE" w:rsidRDefault="00601466">
      <w:r w:rsidRPr="0051054F">
        <w:rPr>
          <w:rFonts w:eastAsiaTheme="minorEastAsia"/>
          <w:lang w:val="en-SG" w:eastAsia="zh-CN"/>
        </w:rPr>
        <w:t>It is the view of th</w:t>
      </w:r>
      <w:r w:rsidR="00B12DBA" w:rsidRPr="00802DD2">
        <w:rPr>
          <w:rFonts w:eastAsiaTheme="minorEastAsia"/>
          <w:lang w:val="en-SG" w:eastAsia="zh-CN"/>
        </w:rPr>
        <w:t>is</w:t>
      </w:r>
      <w:r w:rsidRPr="0051054F">
        <w:rPr>
          <w:rFonts w:eastAsiaTheme="minorEastAsia"/>
          <w:lang w:val="en-SG" w:eastAsia="zh-CN"/>
        </w:rPr>
        <w:t xml:space="preserve"> Administration to support the introduction of additional satellite systems to support GMDSS for enhancement of safety-of-life </w:t>
      </w:r>
      <w:r w:rsidRPr="0051054F">
        <w:rPr>
          <w:lang w:val="en-SG"/>
        </w:rPr>
        <w:t xml:space="preserve">in accordance with the Resolution </w:t>
      </w:r>
      <w:r w:rsidRPr="0051054F">
        <w:rPr>
          <w:b/>
          <w:lang w:val="en-SG"/>
        </w:rPr>
        <w:t>359 (Rev.WRC-15)</w:t>
      </w:r>
      <w:r w:rsidRPr="0051054F">
        <w:rPr>
          <w:rFonts w:eastAsiaTheme="minorEastAsia"/>
          <w:lang w:val="en-SG" w:eastAsia="zh-CN"/>
        </w:rPr>
        <w:t xml:space="preserve">, while protecting the services </w:t>
      </w:r>
      <w:r w:rsidRPr="0051054F">
        <w:rPr>
          <w:rFonts w:eastAsiaTheme="minorEastAsia"/>
          <w:bCs/>
          <w:lang w:eastAsia="zh-CN"/>
        </w:rPr>
        <w:t>within the frequency band and the adjacent bands</w:t>
      </w:r>
      <w:r w:rsidRPr="0051054F">
        <w:rPr>
          <w:rFonts w:eastAsiaTheme="minorEastAsia"/>
          <w:lang w:val="en-SG" w:eastAsia="zh-CN"/>
        </w:rPr>
        <w:t xml:space="preserve"> and ensuring that no undue constraints are imposed on these existing services.</w:t>
      </w:r>
      <w:r w:rsidRPr="0051054F" w:rsidDel="001978CC">
        <w:rPr>
          <w:rFonts w:eastAsiaTheme="minorEastAsia"/>
          <w:lang w:val="en-SG" w:eastAsia="zh-CN"/>
        </w:rPr>
        <w:t xml:space="preserve"> </w:t>
      </w:r>
      <w:r w:rsidRPr="0051054F">
        <w:rPr>
          <w:rFonts w:eastAsiaTheme="minorEastAsia"/>
          <w:lang w:val="en-SG" w:eastAsia="zh-CN"/>
        </w:rPr>
        <w:t>Th</w:t>
      </w:r>
      <w:r w:rsidR="00B12DBA" w:rsidRPr="00802DD2">
        <w:rPr>
          <w:rFonts w:eastAsiaTheme="minorEastAsia"/>
          <w:lang w:val="en-SG" w:eastAsia="zh-CN"/>
        </w:rPr>
        <w:t>is</w:t>
      </w:r>
      <w:r w:rsidRPr="0051054F">
        <w:rPr>
          <w:rFonts w:eastAsiaTheme="minorEastAsia"/>
          <w:lang w:val="en-SG" w:eastAsia="zh-CN"/>
        </w:rPr>
        <w:t xml:space="preserve"> Administration therefore support</w:t>
      </w:r>
      <w:r w:rsidR="00B12DBA" w:rsidRPr="00802DD2">
        <w:rPr>
          <w:rFonts w:eastAsiaTheme="minorEastAsia"/>
          <w:lang w:val="en-SG" w:eastAsia="zh-CN"/>
        </w:rPr>
        <w:t>s</w:t>
      </w:r>
      <w:r w:rsidRPr="0051054F">
        <w:rPr>
          <w:rFonts w:eastAsiaTheme="minorEastAsia"/>
          <w:lang w:val="en-SG" w:eastAsia="zh-CN"/>
        </w:rPr>
        <w:t xml:space="preserve"> Method B2 (b) or B4</w:t>
      </w:r>
      <w:r w:rsidR="00304BF9" w:rsidRPr="0051054F">
        <w:rPr>
          <w:rFonts w:eastAsiaTheme="minorEastAsia"/>
          <w:lang w:val="en-SG" w:eastAsia="zh-CN"/>
        </w:rPr>
        <w:t xml:space="preserve"> </w:t>
      </w:r>
      <w:r w:rsidR="00304BF9" w:rsidRPr="00802DD2">
        <w:rPr>
          <w:rFonts w:eastAsiaTheme="minorEastAsia"/>
          <w:lang w:val="en-SG" w:eastAsia="zh-CN"/>
        </w:rPr>
        <w:t>of the CPM Report</w:t>
      </w:r>
      <w:r w:rsidRPr="0051054F">
        <w:rPr>
          <w:rFonts w:eastAsiaTheme="minorEastAsia"/>
          <w:lang w:val="en-SG" w:eastAsia="zh-CN"/>
        </w:rPr>
        <w:t xml:space="preserve"> with the conditions as outlined in </w:t>
      </w:r>
      <w:r w:rsidR="00786FBE" w:rsidRPr="0051054F">
        <w:rPr>
          <w:rFonts w:eastAsiaTheme="minorEastAsia"/>
          <w:lang w:val="en-SG" w:eastAsia="zh-CN"/>
        </w:rPr>
        <w:t xml:space="preserve">accordance with Resolution </w:t>
      </w:r>
      <w:r w:rsidR="00786FBE" w:rsidRPr="0051054F">
        <w:rPr>
          <w:rFonts w:eastAsiaTheme="minorEastAsia"/>
          <w:b/>
          <w:lang w:val="en-SG" w:eastAsia="zh-CN"/>
        </w:rPr>
        <w:t>359</w:t>
      </w:r>
      <w:r w:rsidR="00B12DBA" w:rsidRPr="0051054F">
        <w:rPr>
          <w:rFonts w:eastAsiaTheme="minorEastAsia"/>
          <w:b/>
          <w:lang w:val="en-SG" w:eastAsia="zh-CN"/>
        </w:rPr>
        <w:t xml:space="preserve"> </w:t>
      </w:r>
      <w:r w:rsidR="00B12DBA" w:rsidRPr="00802DD2">
        <w:rPr>
          <w:rFonts w:eastAsiaTheme="minorEastAsia"/>
          <w:b/>
          <w:lang w:val="en-SG" w:eastAsia="zh-CN"/>
        </w:rPr>
        <w:t>(Rev.WRC-15)</w:t>
      </w:r>
      <w:r w:rsidR="00786FBE" w:rsidRPr="0051054F">
        <w:rPr>
          <w:rFonts w:eastAsiaTheme="minorEastAsia"/>
          <w:lang w:val="en-SG" w:eastAsia="zh-CN"/>
        </w:rPr>
        <w:t>.</w:t>
      </w:r>
    </w:p>
    <w:p w14:paraId="68C6899B" w14:textId="77777777" w:rsidR="00786FBE" w:rsidRDefault="00786FBE">
      <w:pPr>
        <w:jc w:val="center"/>
      </w:pPr>
      <w:r>
        <w:t>______________</w:t>
      </w:r>
    </w:p>
    <w:sectPr w:rsidR="00786FBE"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88B3A" w14:textId="77777777" w:rsidR="00315680" w:rsidRDefault="00315680">
      <w:r>
        <w:separator/>
      </w:r>
    </w:p>
  </w:endnote>
  <w:endnote w:type="continuationSeparator" w:id="0">
    <w:p w14:paraId="2D8EECA0" w14:textId="77777777" w:rsidR="00315680" w:rsidRDefault="0031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MT">
    <w:altName w:val="바탕"/>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68DD" w14:textId="77777777" w:rsidR="00E45D05" w:rsidRDefault="00E45D05">
    <w:pPr>
      <w:framePr w:wrap="around" w:vAnchor="text" w:hAnchor="margin" w:xAlign="right" w:y="1"/>
    </w:pPr>
    <w:r>
      <w:fldChar w:fldCharType="begin"/>
    </w:r>
    <w:r>
      <w:instrText xml:space="preserve">PAGE  </w:instrText>
    </w:r>
    <w:r>
      <w:fldChar w:fldCharType="end"/>
    </w:r>
  </w:p>
  <w:p w14:paraId="28FBB7F5" w14:textId="5F7FFEF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12AE">
      <w:rPr>
        <w:noProof/>
        <w:lang w:val="en-US"/>
      </w:rPr>
      <w:t>P:\ENG\ITU-R\CONF-R\CMR19\000\075ADD08E.docx</w:t>
    </w:r>
    <w:r>
      <w:fldChar w:fldCharType="end"/>
    </w:r>
    <w:r w:rsidRPr="0041348E">
      <w:rPr>
        <w:lang w:val="en-US"/>
      </w:rPr>
      <w:tab/>
    </w:r>
    <w:r>
      <w:fldChar w:fldCharType="begin"/>
    </w:r>
    <w:r>
      <w:instrText xml:space="preserve"> SAVEDATE \@ DD.MM.YY </w:instrText>
    </w:r>
    <w:r>
      <w:fldChar w:fldCharType="separate"/>
    </w:r>
    <w:r w:rsidR="00F612AE">
      <w:rPr>
        <w:noProof/>
      </w:rPr>
      <w:t>21.10.19</w:t>
    </w:r>
    <w:r>
      <w:fldChar w:fldCharType="end"/>
    </w:r>
    <w:r w:rsidRPr="0041348E">
      <w:rPr>
        <w:lang w:val="en-US"/>
      </w:rPr>
      <w:tab/>
    </w:r>
    <w:r>
      <w:fldChar w:fldCharType="begin"/>
    </w:r>
    <w:r>
      <w:instrText xml:space="preserve"> PRINTDATE \@ DD.MM.YY </w:instrText>
    </w:r>
    <w:r>
      <w:fldChar w:fldCharType="separate"/>
    </w:r>
    <w:r w:rsidR="00F612AE">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E52D" w14:textId="3F4E7793" w:rsidR="003D679A" w:rsidRPr="0041348E" w:rsidRDefault="003D679A" w:rsidP="003D679A">
    <w:pPr>
      <w:pStyle w:val="Footer"/>
      <w:rPr>
        <w:lang w:val="en-US"/>
      </w:rPr>
    </w:pPr>
    <w:r>
      <w:fldChar w:fldCharType="begin"/>
    </w:r>
    <w:r w:rsidRPr="0041348E">
      <w:rPr>
        <w:lang w:val="en-US"/>
      </w:rPr>
      <w:instrText xml:space="preserve"> FILENAME \p  \* MERGEFORMAT </w:instrText>
    </w:r>
    <w:r>
      <w:fldChar w:fldCharType="separate"/>
    </w:r>
    <w:r w:rsidR="00F612AE" w:rsidRPr="00F612AE">
      <w:t>P</w:t>
    </w:r>
    <w:r w:rsidR="00F612AE">
      <w:rPr>
        <w:lang w:val="en-US"/>
      </w:rPr>
      <w:t>:\ENG\ITU-R\CONF-R\CMR19\000</w:t>
    </w:r>
    <w:r w:rsidR="00F612AE" w:rsidRPr="00F612AE">
      <w:t>\</w:t>
    </w:r>
    <w:r w:rsidR="00F612AE">
      <w:rPr>
        <w:lang w:val="en-US"/>
      </w:rPr>
      <w:t>075ADD08E.docx</w:t>
    </w:r>
    <w:r>
      <w:fldChar w:fldCharType="end"/>
    </w:r>
    <w:r w:rsidRPr="0041348E">
      <w:rPr>
        <w:lang w:val="en-US"/>
      </w:rPr>
      <w:t xml:space="preserve"> </w:t>
    </w:r>
    <w:r>
      <w:rPr>
        <w:lang w:val="en-US"/>
      </w:rPr>
      <w:t>(462466)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D559B" w14:textId="0EF4AFD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F612AE" w:rsidRPr="00F612AE">
      <w:t>P</w:t>
    </w:r>
    <w:r w:rsidR="00F612AE">
      <w:rPr>
        <w:lang w:val="en-US"/>
      </w:rPr>
      <w:t>:\ENG\ITU-R\CONF-R\CMR19\000</w:t>
    </w:r>
    <w:r w:rsidR="00F612AE" w:rsidRPr="00F612AE">
      <w:t>\</w:t>
    </w:r>
    <w:r w:rsidR="00F612AE">
      <w:rPr>
        <w:lang w:val="en-US"/>
      </w:rPr>
      <w:t>075ADD08E.docx</w:t>
    </w:r>
    <w:r>
      <w:fldChar w:fldCharType="end"/>
    </w:r>
    <w:r w:rsidR="00C27DCB" w:rsidRPr="0041348E">
      <w:rPr>
        <w:lang w:val="en-US"/>
      </w:rPr>
      <w:t xml:space="preserve"> </w:t>
    </w:r>
    <w:r w:rsidR="003D679A">
      <w:rPr>
        <w:lang w:val="en-US"/>
      </w:rPr>
      <w:t>(462466)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A090D" w14:textId="77777777" w:rsidR="00315680" w:rsidRDefault="00315680">
      <w:r>
        <w:rPr>
          <w:b/>
        </w:rPr>
        <w:t>_______________</w:t>
      </w:r>
    </w:p>
  </w:footnote>
  <w:footnote w:type="continuationSeparator" w:id="0">
    <w:p w14:paraId="08A14107" w14:textId="77777777" w:rsidR="00315680" w:rsidRDefault="00315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29598" w14:textId="77777777" w:rsidR="00E45D05" w:rsidRDefault="00A066F1" w:rsidP="00187BD9">
    <w:pPr>
      <w:pStyle w:val="Header"/>
    </w:pPr>
    <w:r>
      <w:fldChar w:fldCharType="begin"/>
    </w:r>
    <w:r>
      <w:instrText xml:space="preserve"> PAGE  \* MERGEFORMAT </w:instrText>
    </w:r>
    <w:r>
      <w:fldChar w:fldCharType="separate"/>
    </w:r>
    <w:r w:rsidR="00677FB0">
      <w:rPr>
        <w:noProof/>
      </w:rPr>
      <w:t>5</w:t>
    </w:r>
    <w:r>
      <w:fldChar w:fldCharType="end"/>
    </w:r>
  </w:p>
  <w:p w14:paraId="6EA1BFF5"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75(Add.8)</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75902C0"/>
    <w:multiLevelType w:val="hybridMultilevel"/>
    <w:tmpl w:val="7A0C8A38"/>
    <w:lvl w:ilvl="0" w:tplc="08090019">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3AF45078"/>
    <w:multiLevelType w:val="hybridMultilevel"/>
    <w:tmpl w:val="CA12933C"/>
    <w:lvl w:ilvl="0" w:tplc="722A45E8">
      <w:start w:val="2"/>
      <w:numFmt w:val="bullet"/>
      <w:lvlText w:val="-"/>
      <w:lvlJc w:val="left"/>
      <w:pPr>
        <w:ind w:left="748" w:hanging="400"/>
      </w:pPr>
      <w:rPr>
        <w:rFonts w:ascii="Times New Roman" w:eastAsia="GulimChe" w:hAnsi="Times New Roman" w:cs="Times New Roman" w:hint="default"/>
      </w:rPr>
    </w:lvl>
    <w:lvl w:ilvl="1" w:tplc="04090003" w:tentative="1">
      <w:start w:val="1"/>
      <w:numFmt w:val="bullet"/>
      <w:lvlText w:val=""/>
      <w:lvlJc w:val="left"/>
      <w:pPr>
        <w:ind w:left="1148" w:hanging="400"/>
      </w:pPr>
      <w:rPr>
        <w:rFonts w:ascii="Wingdings" w:hAnsi="Wingdings" w:hint="default"/>
      </w:rPr>
    </w:lvl>
    <w:lvl w:ilvl="2" w:tplc="04090005" w:tentative="1">
      <w:start w:val="1"/>
      <w:numFmt w:val="bullet"/>
      <w:lvlText w:val=""/>
      <w:lvlJc w:val="left"/>
      <w:pPr>
        <w:ind w:left="1548" w:hanging="400"/>
      </w:pPr>
      <w:rPr>
        <w:rFonts w:ascii="Wingdings" w:hAnsi="Wingdings" w:hint="default"/>
      </w:rPr>
    </w:lvl>
    <w:lvl w:ilvl="3" w:tplc="04090001" w:tentative="1">
      <w:start w:val="1"/>
      <w:numFmt w:val="bullet"/>
      <w:lvlText w:val=""/>
      <w:lvlJc w:val="left"/>
      <w:pPr>
        <w:ind w:left="1948" w:hanging="400"/>
      </w:pPr>
      <w:rPr>
        <w:rFonts w:ascii="Wingdings" w:hAnsi="Wingdings" w:hint="default"/>
      </w:rPr>
    </w:lvl>
    <w:lvl w:ilvl="4" w:tplc="04090003" w:tentative="1">
      <w:start w:val="1"/>
      <w:numFmt w:val="bullet"/>
      <w:lvlText w:val=""/>
      <w:lvlJc w:val="left"/>
      <w:pPr>
        <w:ind w:left="2348" w:hanging="400"/>
      </w:pPr>
      <w:rPr>
        <w:rFonts w:ascii="Wingdings" w:hAnsi="Wingdings" w:hint="default"/>
      </w:rPr>
    </w:lvl>
    <w:lvl w:ilvl="5" w:tplc="04090005" w:tentative="1">
      <w:start w:val="1"/>
      <w:numFmt w:val="bullet"/>
      <w:lvlText w:val=""/>
      <w:lvlJc w:val="left"/>
      <w:pPr>
        <w:ind w:left="2748" w:hanging="400"/>
      </w:pPr>
      <w:rPr>
        <w:rFonts w:ascii="Wingdings" w:hAnsi="Wingdings" w:hint="default"/>
      </w:rPr>
    </w:lvl>
    <w:lvl w:ilvl="6" w:tplc="04090001" w:tentative="1">
      <w:start w:val="1"/>
      <w:numFmt w:val="bullet"/>
      <w:lvlText w:val=""/>
      <w:lvlJc w:val="left"/>
      <w:pPr>
        <w:ind w:left="3148" w:hanging="400"/>
      </w:pPr>
      <w:rPr>
        <w:rFonts w:ascii="Wingdings" w:hAnsi="Wingdings" w:hint="default"/>
      </w:rPr>
    </w:lvl>
    <w:lvl w:ilvl="7" w:tplc="04090003" w:tentative="1">
      <w:start w:val="1"/>
      <w:numFmt w:val="bullet"/>
      <w:lvlText w:val=""/>
      <w:lvlJc w:val="left"/>
      <w:pPr>
        <w:ind w:left="3548" w:hanging="400"/>
      </w:pPr>
      <w:rPr>
        <w:rFonts w:ascii="Wingdings" w:hAnsi="Wingdings" w:hint="default"/>
      </w:rPr>
    </w:lvl>
    <w:lvl w:ilvl="8" w:tplc="04090005" w:tentative="1">
      <w:start w:val="1"/>
      <w:numFmt w:val="bullet"/>
      <w:lvlText w:val=""/>
      <w:lvlJc w:val="left"/>
      <w:pPr>
        <w:ind w:left="3948" w:hanging="400"/>
      </w:pPr>
      <w:rPr>
        <w:rFonts w:ascii="Wingdings" w:hAnsi="Wingdings" w:hint="default"/>
      </w:rPr>
    </w:lvl>
  </w:abstractNum>
  <w:abstractNum w:abstractNumId="4" w15:restartNumberingAfterBreak="0">
    <w:nsid w:val="43584311"/>
    <w:multiLevelType w:val="hybridMultilevel"/>
    <w:tmpl w:val="0AF8068C"/>
    <w:lvl w:ilvl="0" w:tplc="0809000F">
      <w:start w:val="1"/>
      <w:numFmt w:val="decimal"/>
      <w:lvlText w:val="%1."/>
      <w:lvlJc w:val="left"/>
      <w:pPr>
        <w:ind w:left="75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13737C"/>
    <w:multiLevelType w:val="hybridMultilevel"/>
    <w:tmpl w:val="429CED8E"/>
    <w:lvl w:ilvl="0" w:tplc="08090017">
      <w:start w:val="1"/>
      <w:numFmt w:val="lowerLetter"/>
      <w:lvlText w:val="%1)"/>
      <w:lvlJc w:val="left"/>
      <w:pPr>
        <w:ind w:left="2160" w:hanging="360"/>
      </w:pPr>
      <w:rPr>
        <w:rFont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632E1E44"/>
    <w:multiLevelType w:val="hybridMultilevel"/>
    <w:tmpl w:val="54523F9E"/>
    <w:lvl w:ilvl="0" w:tplc="08090013">
      <w:start w:val="1"/>
      <w:numFmt w:val="upperRoman"/>
      <w:lvlText w:val="%1."/>
      <w:lvlJc w:val="right"/>
      <w:pPr>
        <w:ind w:left="960" w:hanging="360"/>
      </w:p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7" w15:restartNumberingAfterBreak="0">
    <w:nsid w:val="65B92782"/>
    <w:multiLevelType w:val="multilevel"/>
    <w:tmpl w:val="DE364BDE"/>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4471"/>
    <w:rsid w:val="00187BD9"/>
    <w:rsid w:val="00190B55"/>
    <w:rsid w:val="001C10E4"/>
    <w:rsid w:val="001C3B5F"/>
    <w:rsid w:val="001D058F"/>
    <w:rsid w:val="002009EA"/>
    <w:rsid w:val="00202756"/>
    <w:rsid w:val="00202CA0"/>
    <w:rsid w:val="00216B6D"/>
    <w:rsid w:val="00241FA2"/>
    <w:rsid w:val="00271316"/>
    <w:rsid w:val="002B349C"/>
    <w:rsid w:val="002D58BE"/>
    <w:rsid w:val="002F4747"/>
    <w:rsid w:val="00302605"/>
    <w:rsid w:val="00304BF9"/>
    <w:rsid w:val="00315680"/>
    <w:rsid w:val="00325993"/>
    <w:rsid w:val="00327B7B"/>
    <w:rsid w:val="00361B37"/>
    <w:rsid w:val="00377BD3"/>
    <w:rsid w:val="00384088"/>
    <w:rsid w:val="003852CE"/>
    <w:rsid w:val="0039169B"/>
    <w:rsid w:val="003A7F8C"/>
    <w:rsid w:val="003B2284"/>
    <w:rsid w:val="003B532E"/>
    <w:rsid w:val="003B5D0C"/>
    <w:rsid w:val="003D0F8B"/>
    <w:rsid w:val="003D679A"/>
    <w:rsid w:val="003E0DB6"/>
    <w:rsid w:val="0041348E"/>
    <w:rsid w:val="00420873"/>
    <w:rsid w:val="0043771E"/>
    <w:rsid w:val="0045406D"/>
    <w:rsid w:val="0046124B"/>
    <w:rsid w:val="00492075"/>
    <w:rsid w:val="004969AD"/>
    <w:rsid w:val="004A26C4"/>
    <w:rsid w:val="004B13CB"/>
    <w:rsid w:val="004D26EA"/>
    <w:rsid w:val="004D2BFB"/>
    <w:rsid w:val="004D5D5C"/>
    <w:rsid w:val="004F3DC0"/>
    <w:rsid w:val="0050139F"/>
    <w:rsid w:val="0051054F"/>
    <w:rsid w:val="0055140B"/>
    <w:rsid w:val="005964AB"/>
    <w:rsid w:val="005C099A"/>
    <w:rsid w:val="005C31A5"/>
    <w:rsid w:val="005E10C9"/>
    <w:rsid w:val="005E290B"/>
    <w:rsid w:val="005E61DD"/>
    <w:rsid w:val="005F04D8"/>
    <w:rsid w:val="005F17F9"/>
    <w:rsid w:val="00601466"/>
    <w:rsid w:val="006023DF"/>
    <w:rsid w:val="00615426"/>
    <w:rsid w:val="00616219"/>
    <w:rsid w:val="00645B7D"/>
    <w:rsid w:val="00657DE0"/>
    <w:rsid w:val="00672D9E"/>
    <w:rsid w:val="00677FB0"/>
    <w:rsid w:val="00685313"/>
    <w:rsid w:val="00692833"/>
    <w:rsid w:val="006A6E9B"/>
    <w:rsid w:val="006B7C2A"/>
    <w:rsid w:val="006C23DA"/>
    <w:rsid w:val="006E3D45"/>
    <w:rsid w:val="0070607A"/>
    <w:rsid w:val="007149F9"/>
    <w:rsid w:val="00733A30"/>
    <w:rsid w:val="00745AEE"/>
    <w:rsid w:val="00750F10"/>
    <w:rsid w:val="007742CA"/>
    <w:rsid w:val="00786FBE"/>
    <w:rsid w:val="00790D70"/>
    <w:rsid w:val="00793A01"/>
    <w:rsid w:val="007A6F1F"/>
    <w:rsid w:val="007D5320"/>
    <w:rsid w:val="007E4645"/>
    <w:rsid w:val="00800972"/>
    <w:rsid w:val="00802DD2"/>
    <w:rsid w:val="00804475"/>
    <w:rsid w:val="00811633"/>
    <w:rsid w:val="00814037"/>
    <w:rsid w:val="00841216"/>
    <w:rsid w:val="00842AF0"/>
    <w:rsid w:val="0086171E"/>
    <w:rsid w:val="00867C80"/>
    <w:rsid w:val="00872FC8"/>
    <w:rsid w:val="008845D0"/>
    <w:rsid w:val="00884D60"/>
    <w:rsid w:val="008A76C3"/>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2CE3"/>
    <w:rsid w:val="00A4600A"/>
    <w:rsid w:val="00A538A6"/>
    <w:rsid w:val="00A54C25"/>
    <w:rsid w:val="00A710E7"/>
    <w:rsid w:val="00A7372E"/>
    <w:rsid w:val="00A75223"/>
    <w:rsid w:val="00A93B85"/>
    <w:rsid w:val="00AA0B18"/>
    <w:rsid w:val="00AA3C65"/>
    <w:rsid w:val="00AA666F"/>
    <w:rsid w:val="00AD7914"/>
    <w:rsid w:val="00AE514B"/>
    <w:rsid w:val="00B12DBA"/>
    <w:rsid w:val="00B40888"/>
    <w:rsid w:val="00B639E9"/>
    <w:rsid w:val="00B817CD"/>
    <w:rsid w:val="00B81A7D"/>
    <w:rsid w:val="00B94AD0"/>
    <w:rsid w:val="00BB3A95"/>
    <w:rsid w:val="00BD6CCE"/>
    <w:rsid w:val="00C0018F"/>
    <w:rsid w:val="00C16A5A"/>
    <w:rsid w:val="00C20466"/>
    <w:rsid w:val="00C214ED"/>
    <w:rsid w:val="00C234E6"/>
    <w:rsid w:val="00C27DCB"/>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192E"/>
    <w:rsid w:val="00E55816"/>
    <w:rsid w:val="00E55AEF"/>
    <w:rsid w:val="00E976C1"/>
    <w:rsid w:val="00EA12E5"/>
    <w:rsid w:val="00EB55C6"/>
    <w:rsid w:val="00EF1932"/>
    <w:rsid w:val="00EF71B6"/>
    <w:rsid w:val="00F02766"/>
    <w:rsid w:val="00F05BD4"/>
    <w:rsid w:val="00F06473"/>
    <w:rsid w:val="00F554C4"/>
    <w:rsid w:val="00F612AE"/>
    <w:rsid w:val="00F6155B"/>
    <w:rsid w:val="00F65C19"/>
    <w:rsid w:val="00F84BC0"/>
    <w:rsid w:val="00FD08E2"/>
    <w:rsid w:val="00FD18DA"/>
    <w:rsid w:val="00FD2546"/>
    <w:rsid w:val="00FD772E"/>
    <w:rsid w:val="00FE5C50"/>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66924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styleId="ListParagraph">
    <w:name w:val="List Paragraph"/>
    <w:basedOn w:val="Normal"/>
    <w:link w:val="ListParagraphChar"/>
    <w:uiPriority w:val="34"/>
    <w:qFormat/>
    <w:rsid w:val="00601466"/>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ListParagraphChar">
    <w:name w:val="List Paragraph Char"/>
    <w:link w:val="ListParagraph"/>
    <w:uiPriority w:val="34"/>
    <w:locked/>
    <w:rsid w:val="00601466"/>
    <w:rPr>
      <w:rFonts w:ascii="Times New Roman" w:eastAsia="BatangChe"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R16-WRC19-C-0075!A8!MSW-E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83967-82CA-45AF-A4E4-1556C8C1C77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4DBB65CC-05ED-4A51-B2E7-527F304A10B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CF74C2C4-6F4A-418A-BC9C-4599900F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1716</Words>
  <Characters>9623</Characters>
  <Application>Microsoft Office Word</Application>
  <DocSecurity>0</DocSecurity>
  <Lines>176</Lines>
  <Paragraphs>55</Paragraphs>
  <ScaleCrop>false</ScaleCrop>
  <HeadingPairs>
    <vt:vector size="2" baseType="variant">
      <vt:variant>
        <vt:lpstr>Title</vt:lpstr>
      </vt:variant>
      <vt:variant>
        <vt:i4>1</vt:i4>
      </vt:variant>
    </vt:vector>
  </HeadingPairs>
  <TitlesOfParts>
    <vt:vector size="1" baseType="lpstr">
      <vt:lpstr>R16-WRC19-C-0075!A8!MSW-E</vt:lpstr>
    </vt:vector>
  </TitlesOfParts>
  <Manager>General Secretariat - Pool</Manager>
  <Company>International Telecommunication Union (ITU)</Company>
  <LinksUpToDate>false</LinksUpToDate>
  <CharactersWithSpaces>11302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R16-WRC19-C-0075!A8!MSW-E</dc:title>
  <dc:subject>World Radiocommunication Conference - 2019</dc:subject>
  <dc:creator>Documents Proposals Manager (DPM)</dc:creator>
  <cp:keywords>DPM_v2019.10.15.2_prod</cp:keywords>
  <dc:description>Uploaded on 2015.07.06</dc:description>
  <cp:lastModifiedBy>English</cp:lastModifiedBy>
  <cp:revision>8</cp:revision>
  <cp:lastPrinted>2019-10-21T07:41:00Z</cp:lastPrinted>
  <dcterms:created xsi:type="dcterms:W3CDTF">2019-10-20T12:45:00Z</dcterms:created>
  <dcterms:modified xsi:type="dcterms:W3CDTF">2019-10-21T07:41:00Z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