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475274B8" w14:textId="77777777" w:rsidTr="00F55E63">
        <w:trPr>
          <w:cantSplit/>
          <w:trHeight w:val="20"/>
        </w:trPr>
        <w:tc>
          <w:tcPr>
            <w:tcW w:w="6619" w:type="dxa"/>
          </w:tcPr>
          <w:p w14:paraId="1AACAA35"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6D0A830D" w14:textId="77777777" w:rsidR="00280E04" w:rsidRDefault="00A375BD" w:rsidP="00D44350">
            <w:pPr>
              <w:rPr>
                <w:rtl/>
                <w:lang w:bidi="ar-EG"/>
              </w:rPr>
            </w:pPr>
            <w:bookmarkStart w:id="0" w:name="ditulogo"/>
            <w:bookmarkEnd w:id="0"/>
            <w:r>
              <w:rPr>
                <w:noProof/>
                <w:lang w:eastAsia="zh-CN"/>
              </w:rPr>
              <w:drawing>
                <wp:inline distT="0" distB="0" distL="0" distR="0" wp14:anchorId="72635ABA" wp14:editId="689C84CF">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5B856BD8" w14:textId="77777777" w:rsidTr="00F55E63">
        <w:trPr>
          <w:cantSplit/>
          <w:trHeight w:val="20"/>
        </w:trPr>
        <w:tc>
          <w:tcPr>
            <w:tcW w:w="6619" w:type="dxa"/>
            <w:tcBorders>
              <w:bottom w:val="single" w:sz="12" w:space="0" w:color="auto"/>
            </w:tcBorders>
          </w:tcPr>
          <w:p w14:paraId="41549F5E" w14:textId="77777777" w:rsidR="00280E04" w:rsidRPr="00960962" w:rsidRDefault="00280E04" w:rsidP="00D44350">
            <w:pPr>
              <w:rPr>
                <w:rtl/>
                <w:lang w:bidi="ar-EG"/>
              </w:rPr>
            </w:pPr>
          </w:p>
        </w:tc>
        <w:tc>
          <w:tcPr>
            <w:tcW w:w="3053" w:type="dxa"/>
            <w:tcBorders>
              <w:bottom w:val="single" w:sz="12" w:space="0" w:color="auto"/>
            </w:tcBorders>
          </w:tcPr>
          <w:p w14:paraId="6672C1E5" w14:textId="77777777" w:rsidR="00280E04" w:rsidRPr="00A9645C" w:rsidRDefault="00280E04" w:rsidP="00D44350">
            <w:pPr>
              <w:rPr>
                <w:lang w:bidi="ar-EG"/>
              </w:rPr>
            </w:pPr>
          </w:p>
        </w:tc>
      </w:tr>
      <w:tr w:rsidR="00280E04" w14:paraId="2723A4AE" w14:textId="77777777" w:rsidTr="00F55E63">
        <w:trPr>
          <w:cantSplit/>
          <w:trHeight w:val="20"/>
        </w:trPr>
        <w:tc>
          <w:tcPr>
            <w:tcW w:w="6619" w:type="dxa"/>
            <w:tcBorders>
              <w:top w:val="single" w:sz="12" w:space="0" w:color="auto"/>
            </w:tcBorders>
          </w:tcPr>
          <w:p w14:paraId="28872EC3"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6519BAE4" w14:textId="77777777" w:rsidR="00280E04" w:rsidRPr="00BD6EF3" w:rsidRDefault="00280E04" w:rsidP="00A42709">
            <w:pPr>
              <w:pStyle w:val="Adress"/>
              <w:framePr w:hSpace="0" w:wrap="auto" w:xAlign="left" w:yAlign="inline"/>
              <w:spacing w:before="0"/>
            </w:pPr>
          </w:p>
        </w:tc>
      </w:tr>
      <w:tr w:rsidR="00A809E8" w:rsidRPr="00F545E4" w14:paraId="03445ADD" w14:textId="77777777" w:rsidTr="00F55E63">
        <w:trPr>
          <w:cantSplit/>
        </w:trPr>
        <w:tc>
          <w:tcPr>
            <w:tcW w:w="6619" w:type="dxa"/>
          </w:tcPr>
          <w:p w14:paraId="1D71779D" w14:textId="77777777" w:rsidR="00A809E8" w:rsidRPr="00FC4858" w:rsidRDefault="00F55E63" w:rsidP="00A42709">
            <w:pPr>
              <w:pStyle w:val="Committee"/>
              <w:framePr w:hSpace="0" w:wrap="auto" w:hAnchor="text" w:yAlign="inline"/>
              <w:bidi/>
              <w:spacing w:before="0"/>
              <w:rPr>
                <w:rFonts w:ascii="Verdana" w:hAnsi="Verdana" w:hint="cs"/>
                <w:sz w:val="19"/>
                <w:szCs w:val="30"/>
                <w:rtl/>
              </w:rPr>
            </w:pPr>
            <w:r w:rsidRPr="00FC4858">
              <w:rPr>
                <w:rFonts w:ascii="Verdana" w:hAnsi="Verdana"/>
                <w:sz w:val="19"/>
                <w:szCs w:val="30"/>
                <w:rtl/>
                <w:lang w:val="en-US" w:bidi="ar-EG"/>
              </w:rPr>
              <w:t>الجلسة العامة</w:t>
            </w:r>
          </w:p>
        </w:tc>
        <w:tc>
          <w:tcPr>
            <w:tcW w:w="3053" w:type="dxa"/>
            <w:vAlign w:val="center"/>
          </w:tcPr>
          <w:p w14:paraId="250671B1" w14:textId="77CA8274" w:rsidR="00FC4858" w:rsidRPr="00FC4858" w:rsidRDefault="00FC4858" w:rsidP="00A42709">
            <w:pPr>
              <w:pStyle w:val="Adress"/>
              <w:framePr w:hSpace="0" w:wrap="auto" w:xAlign="left" w:yAlign="inline"/>
              <w:spacing w:before="0"/>
              <w:rPr>
                <w:rFonts w:ascii="Verdana" w:hAnsi="Verdana"/>
              </w:rPr>
            </w:pPr>
            <w:r>
              <w:rPr>
                <w:rFonts w:ascii="Verdana" w:eastAsia="SimSun" w:hAnsi="Verdana" w:hint="cs"/>
                <w:rtl/>
              </w:rPr>
              <w:t xml:space="preserve">الإضافة </w:t>
            </w:r>
            <w:r>
              <w:rPr>
                <w:rFonts w:ascii="Verdana" w:eastAsia="SimSun" w:hAnsi="Verdana"/>
              </w:rPr>
              <w:t>8</w:t>
            </w:r>
            <w:r>
              <w:rPr>
                <w:rFonts w:ascii="Verdana" w:eastAsia="SimSun" w:hAnsi="Verdana"/>
                <w:rtl/>
              </w:rPr>
              <w:br/>
            </w:r>
            <w:r>
              <w:rPr>
                <w:rFonts w:ascii="Verdana" w:eastAsia="SimSun" w:hAnsi="Verdana" w:hint="cs"/>
                <w:rtl/>
              </w:rPr>
              <w:t xml:space="preserve">للوثيقة </w:t>
            </w:r>
            <w:r>
              <w:rPr>
                <w:rFonts w:ascii="Verdana" w:eastAsia="SimSun" w:hAnsi="Verdana"/>
              </w:rPr>
              <w:t>75-A</w:t>
            </w:r>
          </w:p>
        </w:tc>
      </w:tr>
      <w:tr w:rsidR="00A809E8" w:rsidRPr="00F545E4" w14:paraId="5BB722D4" w14:textId="77777777" w:rsidTr="00F55E63">
        <w:trPr>
          <w:cantSplit/>
        </w:trPr>
        <w:tc>
          <w:tcPr>
            <w:tcW w:w="6619" w:type="dxa"/>
          </w:tcPr>
          <w:p w14:paraId="705E6F4E" w14:textId="77777777" w:rsidR="00A809E8" w:rsidRPr="00FC4858" w:rsidRDefault="00A809E8" w:rsidP="00A42709">
            <w:pPr>
              <w:pStyle w:val="Adress"/>
              <w:framePr w:hSpace="0" w:wrap="auto" w:xAlign="left" w:yAlign="inline"/>
              <w:spacing w:before="0"/>
              <w:rPr>
                <w:rFonts w:ascii="Verdana" w:hAnsi="Verdana"/>
                <w:rtl/>
              </w:rPr>
            </w:pPr>
          </w:p>
        </w:tc>
        <w:tc>
          <w:tcPr>
            <w:tcW w:w="3053" w:type="dxa"/>
            <w:vAlign w:val="center"/>
          </w:tcPr>
          <w:p w14:paraId="71E0E4D1" w14:textId="77777777" w:rsidR="00A809E8" w:rsidRPr="00FC4858" w:rsidRDefault="00F55E63" w:rsidP="00A42709">
            <w:pPr>
              <w:pStyle w:val="Adress"/>
              <w:framePr w:hSpace="0" w:wrap="auto" w:xAlign="left" w:yAlign="inline"/>
              <w:spacing w:before="0"/>
              <w:rPr>
                <w:rFonts w:ascii="Verdana" w:hAnsi="Verdana"/>
                <w:rtl/>
              </w:rPr>
            </w:pPr>
            <w:r w:rsidRPr="00FC4858">
              <w:rPr>
                <w:rFonts w:ascii="Verdana" w:eastAsia="SimSun" w:hAnsi="Verdana"/>
              </w:rPr>
              <w:t>18</w:t>
            </w:r>
            <w:r w:rsidRPr="00FC4858">
              <w:rPr>
                <w:rFonts w:ascii="Verdana" w:eastAsia="SimSun" w:hAnsi="Verdana"/>
                <w:rtl/>
              </w:rPr>
              <w:t xml:space="preserve"> أكتوبر </w:t>
            </w:r>
            <w:r w:rsidRPr="00FC4858">
              <w:rPr>
                <w:rFonts w:ascii="Verdana" w:eastAsia="SimSun" w:hAnsi="Verdana"/>
              </w:rPr>
              <w:t>2019</w:t>
            </w:r>
          </w:p>
        </w:tc>
      </w:tr>
      <w:tr w:rsidR="00A809E8" w:rsidRPr="00F545E4" w14:paraId="0CE66338" w14:textId="77777777" w:rsidTr="00F55E63">
        <w:trPr>
          <w:cantSplit/>
        </w:trPr>
        <w:tc>
          <w:tcPr>
            <w:tcW w:w="6619" w:type="dxa"/>
          </w:tcPr>
          <w:p w14:paraId="1BC0176E" w14:textId="77777777" w:rsidR="00A809E8" w:rsidRPr="00FC4858" w:rsidRDefault="00A809E8" w:rsidP="00A42709">
            <w:pPr>
              <w:pStyle w:val="Adress"/>
              <w:framePr w:hSpace="0" w:wrap="auto" w:xAlign="left" w:yAlign="inline"/>
              <w:spacing w:before="0"/>
              <w:rPr>
                <w:rFonts w:ascii="Verdana" w:eastAsia="SimSun" w:hAnsi="Verdana"/>
              </w:rPr>
            </w:pPr>
          </w:p>
        </w:tc>
        <w:tc>
          <w:tcPr>
            <w:tcW w:w="3053" w:type="dxa"/>
            <w:vAlign w:val="center"/>
          </w:tcPr>
          <w:p w14:paraId="334F8677" w14:textId="77777777" w:rsidR="00A809E8" w:rsidRPr="00FC4858" w:rsidRDefault="00F55E63" w:rsidP="00A42709">
            <w:pPr>
              <w:pStyle w:val="Adress"/>
              <w:framePr w:hSpace="0" w:wrap="auto" w:xAlign="left" w:yAlign="inline"/>
              <w:spacing w:before="0"/>
              <w:rPr>
                <w:rFonts w:ascii="Verdana" w:eastAsia="SimSun" w:hAnsi="Verdana"/>
              </w:rPr>
            </w:pPr>
            <w:r w:rsidRPr="00FC4858">
              <w:rPr>
                <w:rFonts w:ascii="Verdana" w:hAnsi="Verdana"/>
                <w:rtl/>
              </w:rPr>
              <w:t>الأصل: بالإنكليزية</w:t>
            </w:r>
          </w:p>
        </w:tc>
      </w:tr>
      <w:tr w:rsidR="00764079" w14:paraId="2665D50B" w14:textId="77777777" w:rsidTr="00F55E63">
        <w:trPr>
          <w:cantSplit/>
        </w:trPr>
        <w:tc>
          <w:tcPr>
            <w:tcW w:w="9672" w:type="dxa"/>
            <w:gridSpan w:val="2"/>
          </w:tcPr>
          <w:p w14:paraId="7D79029A" w14:textId="77777777" w:rsidR="00764079" w:rsidRPr="00FC4858" w:rsidRDefault="00764079" w:rsidP="00A42709">
            <w:pPr>
              <w:pStyle w:val="Adress"/>
              <w:framePr w:hSpace="0" w:wrap="auto" w:xAlign="left" w:yAlign="inline"/>
              <w:spacing w:before="0"/>
              <w:rPr>
                <w:rFonts w:ascii="Verdana" w:eastAsia="SimSun" w:hAnsi="Verdana"/>
              </w:rPr>
            </w:pPr>
          </w:p>
        </w:tc>
      </w:tr>
      <w:tr w:rsidR="00764079" w14:paraId="52A06485" w14:textId="77777777" w:rsidTr="00F55E63">
        <w:trPr>
          <w:cantSplit/>
        </w:trPr>
        <w:tc>
          <w:tcPr>
            <w:tcW w:w="9672" w:type="dxa"/>
            <w:gridSpan w:val="2"/>
          </w:tcPr>
          <w:p w14:paraId="2BAACDA8" w14:textId="77777777" w:rsidR="00764079" w:rsidRPr="00E621A3" w:rsidRDefault="00F55E63" w:rsidP="00F55E63">
            <w:pPr>
              <w:pStyle w:val="Source"/>
              <w:rPr>
                <w:rtl/>
              </w:rPr>
            </w:pPr>
            <w:r w:rsidRPr="00F55E63">
              <w:rPr>
                <w:rtl/>
              </w:rPr>
              <w:t>دولة ساموا المستقلة</w:t>
            </w:r>
          </w:p>
        </w:tc>
      </w:tr>
      <w:tr w:rsidR="00764079" w14:paraId="3C3C9BDF" w14:textId="77777777" w:rsidTr="00F55E63">
        <w:trPr>
          <w:cantSplit/>
        </w:trPr>
        <w:tc>
          <w:tcPr>
            <w:tcW w:w="9672" w:type="dxa"/>
            <w:gridSpan w:val="2"/>
          </w:tcPr>
          <w:p w14:paraId="6E3D2EE3" w14:textId="7818F2D3" w:rsidR="00764079" w:rsidRPr="00BD3934" w:rsidRDefault="00BD3934" w:rsidP="00F55E63">
            <w:pPr>
              <w:pStyle w:val="Title1"/>
              <w:spacing w:before="240"/>
              <w:rPr>
                <w:highlight w:val="green"/>
                <w:rtl/>
              </w:rPr>
            </w:pPr>
            <w:r w:rsidRPr="00914F14">
              <w:rPr>
                <w:rtl/>
              </w:rPr>
              <w:t xml:space="preserve">البند </w:t>
            </w:r>
            <w:r w:rsidRPr="00914F14">
              <w:t>8.1</w:t>
            </w:r>
            <w:r w:rsidRPr="00914F14">
              <w:rPr>
                <w:rtl/>
              </w:rPr>
              <w:t xml:space="preserve"> من جدول أعمال المؤتمر العالمي للاتصالات الراديوية لعام </w:t>
            </w:r>
            <w:r w:rsidRPr="00914F14">
              <w:t>2019</w:t>
            </w:r>
            <w:r w:rsidRPr="00914F14">
              <w:rPr>
                <w:rtl/>
              </w:rPr>
              <w:t xml:space="preserve">، المسألة </w:t>
            </w:r>
            <w:r w:rsidRPr="00914F14">
              <w:t>B</w:t>
            </w:r>
          </w:p>
        </w:tc>
      </w:tr>
      <w:tr w:rsidR="00764079" w14:paraId="08DC5B14" w14:textId="77777777" w:rsidTr="00F55E63">
        <w:trPr>
          <w:cantSplit/>
        </w:trPr>
        <w:tc>
          <w:tcPr>
            <w:tcW w:w="9672" w:type="dxa"/>
            <w:gridSpan w:val="2"/>
          </w:tcPr>
          <w:p w14:paraId="7C3498F1" w14:textId="77777777" w:rsidR="00764079" w:rsidRPr="00BD6EF3" w:rsidRDefault="00764079" w:rsidP="00F55E63">
            <w:pPr>
              <w:pStyle w:val="Title2"/>
              <w:rPr>
                <w:rtl/>
              </w:rPr>
            </w:pPr>
          </w:p>
        </w:tc>
      </w:tr>
      <w:tr w:rsidR="00764079" w14:paraId="4BAF7C63" w14:textId="77777777" w:rsidTr="00F55E63">
        <w:trPr>
          <w:cantSplit/>
        </w:trPr>
        <w:tc>
          <w:tcPr>
            <w:tcW w:w="9672" w:type="dxa"/>
            <w:gridSpan w:val="2"/>
          </w:tcPr>
          <w:p w14:paraId="089EB5C2" w14:textId="17AA4AC3" w:rsidR="00764079" w:rsidRPr="0012545F" w:rsidRDefault="00DB4CC9" w:rsidP="00F55E63">
            <w:pPr>
              <w:pStyle w:val="Agendaitem"/>
              <w:rPr>
                <w:lang w:val="en-US"/>
              </w:rPr>
            </w:pPr>
            <w:r>
              <w:rPr>
                <w:rtl/>
                <w:lang w:val="en-US"/>
              </w:rPr>
              <w:t>بند جدول الأعمال</w:t>
            </w:r>
            <w:r w:rsidR="00FC4858">
              <w:rPr>
                <w:rFonts w:hint="cs"/>
                <w:rtl/>
                <w:lang w:val="en-US"/>
              </w:rPr>
              <w:t xml:space="preserve"> </w:t>
            </w:r>
            <w:r w:rsidR="00FC4858">
              <w:rPr>
                <w:lang w:val="en-US"/>
              </w:rPr>
              <w:t>8.1</w:t>
            </w:r>
          </w:p>
        </w:tc>
      </w:tr>
    </w:tbl>
    <w:p w14:paraId="2643C28D" w14:textId="77777777" w:rsidR="001D597A" w:rsidRPr="00431196" w:rsidRDefault="00BD3934" w:rsidP="001D597A">
      <w:pPr>
        <w:rPr>
          <w:rFonts w:eastAsia="SimSun"/>
          <w:rtl/>
        </w:rPr>
      </w:pPr>
      <w:r w:rsidRPr="00723691">
        <w:rPr>
          <w:rFonts w:eastAsia="SimSun"/>
          <w:lang w:eastAsia="zh-CN" w:bidi="ar-SY"/>
        </w:rPr>
        <w:t>8.1</w:t>
      </w:r>
      <w:r w:rsidRPr="00723691">
        <w:rPr>
          <w:rFonts w:eastAsia="SimSun"/>
          <w:lang w:eastAsia="zh-CN" w:bidi="ar-SY"/>
        </w:rPr>
        <w:tab/>
      </w:r>
      <w:r w:rsidRPr="00723691">
        <w:rPr>
          <w:rFonts w:eastAsia="SimSun"/>
          <w:rtl/>
          <w:lang w:eastAsia="zh-CN"/>
        </w:rPr>
        <w:t xml:space="preserve">النظر في الإجراءات التنظيمية </w:t>
      </w:r>
      <w:r w:rsidRPr="00723691">
        <w:rPr>
          <w:rFonts w:eastAsia="SimSun" w:hint="cs"/>
          <w:rtl/>
          <w:lang w:eastAsia="zh-CN"/>
        </w:rPr>
        <w:t>الممكنة</w:t>
      </w:r>
      <w:r w:rsidRPr="00723691">
        <w:rPr>
          <w:rFonts w:eastAsia="SimSun"/>
          <w:rtl/>
          <w:lang w:eastAsia="zh-CN"/>
        </w:rPr>
        <w:t xml:space="preserve"> لدعم تحديث النظام العالمي للاستغاثة والسلامة في البحر</w:t>
      </w:r>
      <w:r w:rsidRPr="00723691">
        <w:rPr>
          <w:rFonts w:eastAsia="SimSun" w:hint="cs"/>
          <w:rtl/>
          <w:lang w:eastAsia="zh-CN"/>
        </w:rPr>
        <w:t> </w:t>
      </w:r>
      <w:r w:rsidRPr="00723691">
        <w:rPr>
          <w:rFonts w:eastAsia="SimSun"/>
          <w:lang w:eastAsia="zh-CN" w:bidi="ar-SY"/>
        </w:rPr>
        <w:t>(GMDSS)</w:t>
      </w:r>
      <w:r w:rsidRPr="00723691">
        <w:rPr>
          <w:rFonts w:eastAsia="SimSun"/>
          <w:rtl/>
          <w:lang w:eastAsia="zh-CN"/>
        </w:rPr>
        <w:t xml:space="preserve"> </w:t>
      </w:r>
      <w:r w:rsidRPr="00723691">
        <w:rPr>
          <w:rFonts w:eastAsia="SimSun" w:hint="cs"/>
          <w:rtl/>
          <w:lang w:eastAsia="zh-CN"/>
        </w:rPr>
        <w:t xml:space="preserve">ودعم إدخال أنظمة </w:t>
      </w:r>
      <w:proofErr w:type="spellStart"/>
      <w:r w:rsidRPr="00723691">
        <w:rPr>
          <w:rFonts w:eastAsia="SimSun" w:hint="cs"/>
          <w:rtl/>
          <w:lang w:eastAsia="zh-CN"/>
        </w:rPr>
        <w:t>ساتلية</w:t>
      </w:r>
      <w:proofErr w:type="spellEnd"/>
      <w:r w:rsidRPr="00723691">
        <w:rPr>
          <w:rFonts w:eastAsia="SimSun" w:hint="cs"/>
          <w:rtl/>
          <w:lang w:eastAsia="zh-CN"/>
        </w:rPr>
        <w:t xml:space="preserve"> إضافية في </w:t>
      </w:r>
      <w:r w:rsidRPr="00723691">
        <w:rPr>
          <w:rFonts w:eastAsia="SimSun"/>
          <w:rtl/>
          <w:lang w:eastAsia="zh-CN"/>
        </w:rPr>
        <w:t xml:space="preserve">النظام العالمي للاستغاثة والسلامة في البحر، وفقاً </w:t>
      </w:r>
      <w:r w:rsidRPr="00D827E8">
        <w:rPr>
          <w:rFonts w:eastAsia="SimSun"/>
          <w:rtl/>
          <w:lang w:eastAsia="zh-CN"/>
        </w:rPr>
        <w:t>للقرار</w:t>
      </w:r>
      <w:r w:rsidRPr="00D827E8">
        <w:rPr>
          <w:rFonts w:eastAsia="SimSun" w:hint="cs"/>
          <w:rtl/>
          <w:lang w:eastAsia="zh-CN"/>
        </w:rPr>
        <w:t> </w:t>
      </w:r>
      <w:r w:rsidRPr="00D827E8">
        <w:rPr>
          <w:rFonts w:eastAsia="SimSun"/>
          <w:b/>
          <w:bCs/>
          <w:lang w:eastAsia="zh-CN" w:bidi="ar-SY"/>
        </w:rPr>
        <w:t>359 (Rev.WRC-</w:t>
      </w:r>
      <w:proofErr w:type="gramStart"/>
      <w:r w:rsidRPr="00D827E8">
        <w:rPr>
          <w:rFonts w:eastAsia="SimSun"/>
          <w:b/>
          <w:bCs/>
          <w:lang w:eastAsia="zh-CN" w:bidi="ar-SY"/>
        </w:rPr>
        <w:t>15)</w:t>
      </w:r>
      <w:r w:rsidRPr="00723691">
        <w:rPr>
          <w:rFonts w:eastAsia="SimSun" w:hint="cs"/>
          <w:rtl/>
          <w:lang w:eastAsia="zh-CN"/>
        </w:rPr>
        <w:t>؛</w:t>
      </w:r>
      <w:proofErr w:type="gramEnd"/>
    </w:p>
    <w:p w14:paraId="108B53DF" w14:textId="33BFA6A3" w:rsidR="002F3E46" w:rsidRDefault="00F25261" w:rsidP="00F25261">
      <w:pPr>
        <w:pStyle w:val="Heading1"/>
        <w:rPr>
          <w:rtl/>
        </w:rPr>
      </w:pPr>
      <w:r>
        <w:t>1</w:t>
      </w:r>
      <w:r>
        <w:tab/>
      </w:r>
      <w:r>
        <w:rPr>
          <w:rFonts w:hint="cs"/>
          <w:rtl/>
        </w:rPr>
        <w:t>خلفية</w:t>
      </w:r>
    </w:p>
    <w:p w14:paraId="2494F06C" w14:textId="1FFAFA81" w:rsidR="00F25261" w:rsidRPr="006F0A71" w:rsidRDefault="00F25261" w:rsidP="006F0A71">
      <w:pPr>
        <w:rPr>
          <w:rtl/>
          <w:lang w:val="es-ES" w:bidi="ar-EG"/>
        </w:rPr>
      </w:pPr>
      <w:r w:rsidRPr="006F0A71">
        <w:rPr>
          <w:rFonts w:hint="cs"/>
          <w:rtl/>
          <w:lang w:bidi="ar"/>
        </w:rPr>
        <w:t xml:space="preserve">اعتُمد النظام العالمي للاستغاثة والسلامة في البحر </w:t>
      </w:r>
      <w:r w:rsidRPr="006F0A71">
        <w:t>(</w:t>
      </w:r>
      <w:r w:rsidRPr="006F0A71">
        <w:rPr>
          <w:rFonts w:hint="cs"/>
        </w:rPr>
        <w:t>GMDSS</w:t>
      </w:r>
      <w:r w:rsidRPr="006F0A71">
        <w:t>)</w:t>
      </w:r>
      <w:r w:rsidRPr="006F0A71">
        <w:rPr>
          <w:rFonts w:hint="cs"/>
          <w:rtl/>
          <w:lang w:bidi="ar"/>
        </w:rPr>
        <w:t xml:space="preserve"> كجزء من التعديلات التي أُدخلت</w:t>
      </w:r>
      <w:r w:rsidR="00370CB2" w:rsidRPr="006F0A71">
        <w:rPr>
          <w:rFonts w:hint="cs"/>
          <w:rtl/>
          <w:lang w:bidi="ar"/>
        </w:rPr>
        <w:t xml:space="preserve"> في</w:t>
      </w:r>
      <w:r w:rsidRPr="006F0A71">
        <w:rPr>
          <w:rFonts w:hint="cs"/>
          <w:rtl/>
          <w:lang w:bidi="ar"/>
        </w:rPr>
        <w:t xml:space="preserve"> عام </w:t>
      </w:r>
      <w:r w:rsidRPr="006F0A71">
        <w:t>1988</w:t>
      </w:r>
      <w:r w:rsidRPr="006F0A71">
        <w:rPr>
          <w:rFonts w:hint="cs"/>
          <w:rtl/>
          <w:lang w:bidi="ar"/>
        </w:rPr>
        <w:t xml:space="preserve"> على الاتفاقية الدولية لسلامة الأرواح في</w:t>
      </w:r>
      <w:r w:rsidRPr="006F0A71">
        <w:rPr>
          <w:rFonts w:hint="eastAsia"/>
          <w:rtl/>
          <w:lang w:bidi="ar"/>
        </w:rPr>
        <w:t> </w:t>
      </w:r>
      <w:r w:rsidRPr="006F0A71">
        <w:rPr>
          <w:rFonts w:hint="cs"/>
          <w:rtl/>
          <w:lang w:bidi="ar"/>
        </w:rPr>
        <w:t xml:space="preserve">البحار </w:t>
      </w:r>
      <w:r w:rsidRPr="006F0A71">
        <w:t>(</w:t>
      </w:r>
      <w:r w:rsidRPr="006F0A71">
        <w:rPr>
          <w:rFonts w:hint="cs"/>
        </w:rPr>
        <w:t>SOLAS</w:t>
      </w:r>
      <w:r w:rsidRPr="006F0A71">
        <w:t>)</w:t>
      </w:r>
      <w:r w:rsidRPr="006F0A71">
        <w:rPr>
          <w:rFonts w:hint="cs"/>
          <w:rtl/>
          <w:lang w:bidi="ar"/>
        </w:rPr>
        <w:t xml:space="preserve"> لعام </w:t>
      </w:r>
      <w:r w:rsidRPr="006F0A71">
        <w:t>1974</w:t>
      </w:r>
      <w:r w:rsidRPr="006F0A71">
        <w:rPr>
          <w:rFonts w:hint="cs"/>
          <w:rtl/>
          <w:lang w:bidi="ar"/>
        </w:rPr>
        <w:t>. ونُفذ</w:t>
      </w:r>
      <w:r w:rsidR="00370CB2" w:rsidRPr="006F0A71">
        <w:rPr>
          <w:rFonts w:hint="cs"/>
          <w:rtl/>
          <w:lang w:bidi="ar"/>
        </w:rPr>
        <w:t xml:space="preserve"> </w:t>
      </w:r>
      <w:r w:rsidRPr="006F0A71">
        <w:rPr>
          <w:rFonts w:hint="cs"/>
          <w:rtl/>
          <w:lang w:bidi="ar"/>
        </w:rPr>
        <w:t>بالكامل</w:t>
      </w:r>
      <w:r w:rsidRPr="00F25261">
        <w:rPr>
          <w:rFonts w:hint="cs"/>
          <w:rtl/>
          <w:lang w:bidi="ar"/>
        </w:rPr>
        <w:t xml:space="preserve"> في عام </w:t>
      </w:r>
      <w:r w:rsidRPr="00F25261">
        <w:t>1999</w:t>
      </w:r>
      <w:r w:rsidRPr="00F25261">
        <w:rPr>
          <w:rFonts w:hint="cs"/>
          <w:rtl/>
          <w:lang w:bidi="ar"/>
        </w:rPr>
        <w:t xml:space="preserve">. وقد أحسن </w:t>
      </w:r>
      <w:r w:rsidR="00370CB2">
        <w:rPr>
          <w:rFonts w:hint="cs"/>
          <w:rtl/>
          <w:lang w:bidi="ar"/>
        </w:rPr>
        <w:t xml:space="preserve">هذا النظام </w:t>
      </w:r>
      <w:r w:rsidRPr="00F25261">
        <w:rPr>
          <w:rFonts w:hint="cs"/>
          <w:rtl/>
          <w:lang w:bidi="ar"/>
        </w:rPr>
        <w:t xml:space="preserve">خدمة البحارة والصناعات البحرية منذ إنشائه، </w:t>
      </w:r>
      <w:r w:rsidR="00370CB2">
        <w:rPr>
          <w:rFonts w:hint="cs"/>
          <w:rtl/>
          <w:lang w:bidi="ar"/>
        </w:rPr>
        <w:t>لكنّ</w:t>
      </w:r>
      <w:r w:rsidRPr="00F25261">
        <w:rPr>
          <w:rFonts w:hint="eastAsia"/>
          <w:rtl/>
          <w:lang w:bidi="ar"/>
        </w:rPr>
        <w:t> </w:t>
      </w:r>
      <w:r w:rsidRPr="00F25261">
        <w:rPr>
          <w:rFonts w:hint="cs"/>
          <w:rtl/>
          <w:lang w:bidi="ar"/>
        </w:rPr>
        <w:t xml:space="preserve">بعض </w:t>
      </w:r>
      <w:r w:rsidR="00370CB2">
        <w:rPr>
          <w:rFonts w:hint="cs"/>
          <w:rtl/>
          <w:lang w:bidi="ar"/>
        </w:rPr>
        <w:t>تكنولوجياته لم يبلغ كامل إمكاناته</w:t>
      </w:r>
      <w:r w:rsidRPr="00F25261">
        <w:rPr>
          <w:rFonts w:hint="cs"/>
          <w:rtl/>
          <w:lang w:bidi="ar"/>
        </w:rPr>
        <w:t xml:space="preserve"> ويمكن تنفيذ بعض وظائفه بتكنولوجيات أحدث.</w:t>
      </w:r>
      <w:r w:rsidR="00370CB2">
        <w:rPr>
          <w:rFonts w:hint="cs"/>
          <w:rtl/>
          <w:lang w:bidi="ar"/>
        </w:rPr>
        <w:t xml:space="preserve"> </w:t>
      </w:r>
      <w:r w:rsidR="00370CB2">
        <w:rPr>
          <w:rFonts w:hint="cs"/>
          <w:rtl/>
          <w:lang w:bidi="ar-EG"/>
        </w:rPr>
        <w:t xml:space="preserve">فاعتمدت لجنة السلامة البحرية التابعة للمنظمة البحرية الدولية </w:t>
      </w:r>
      <w:r w:rsidR="00370CB2">
        <w:rPr>
          <w:lang w:val="en-GB" w:bidi="ar-EG"/>
        </w:rPr>
        <w:t>(IMO)</w:t>
      </w:r>
      <w:r w:rsidR="00370CB2">
        <w:rPr>
          <w:rFonts w:hint="cs"/>
          <w:rtl/>
          <w:lang w:val="es-ES" w:bidi="ar-EG"/>
        </w:rPr>
        <w:t xml:space="preserve"> في يونيو </w:t>
      </w:r>
      <w:r w:rsidR="00370CB2">
        <w:rPr>
          <w:lang w:val="en-GB" w:bidi="ar-EG"/>
        </w:rPr>
        <w:t>2017</w:t>
      </w:r>
      <w:r w:rsidR="00370CB2">
        <w:rPr>
          <w:rFonts w:hint="cs"/>
          <w:rtl/>
          <w:lang w:val="es-ES" w:bidi="ar-EG"/>
        </w:rPr>
        <w:t xml:space="preserve"> خطة تحديث</w:t>
      </w:r>
      <w:r w:rsidR="00370CB2">
        <w:rPr>
          <w:rFonts w:hint="cs"/>
          <w:rtl/>
          <w:lang w:bidi="ar"/>
        </w:rPr>
        <w:t xml:space="preserve">ه. وتتألف خطة تحديث نظام </w:t>
      </w:r>
      <w:r w:rsidR="00370CB2" w:rsidRPr="00FF113D">
        <w:rPr>
          <w:rFonts w:hint="cs"/>
          <w:lang w:bidi="ar-EG"/>
        </w:rPr>
        <w:t>GMDSS</w:t>
      </w:r>
      <w:r w:rsidR="00370CB2">
        <w:rPr>
          <w:rFonts w:hint="cs"/>
          <w:rtl/>
          <w:lang w:val="es-ES" w:bidi="ar-EG"/>
        </w:rPr>
        <w:t xml:space="preserve"> من مكونات عديدة يمكنها أن تكون جزءاً منه، من بينها بعض البنود المحددة بوصفها متصلة بالدراسات المتعلقة بالبند </w:t>
      </w:r>
      <w:r w:rsidR="00370CB2">
        <w:rPr>
          <w:lang w:val="en-GB" w:bidi="ar-EG"/>
        </w:rPr>
        <w:t>8.1</w:t>
      </w:r>
      <w:r w:rsidR="00370CB2">
        <w:rPr>
          <w:rFonts w:hint="cs"/>
          <w:rtl/>
          <w:lang w:val="es-ES" w:bidi="ar-EG"/>
        </w:rPr>
        <w:t xml:space="preserve"> من جدول أعمال المؤتمر العالمي للاتصالات الراديوية لعام </w:t>
      </w:r>
      <w:r w:rsidR="00370CB2">
        <w:rPr>
          <w:lang w:val="en-GB" w:bidi="ar-EG"/>
        </w:rPr>
        <w:t>2019</w:t>
      </w:r>
      <w:r w:rsidR="00370CB2">
        <w:rPr>
          <w:rFonts w:hint="cs"/>
          <w:rtl/>
          <w:lang w:val="es-ES" w:bidi="ar-EG"/>
        </w:rPr>
        <w:t xml:space="preserve"> </w:t>
      </w:r>
      <w:r w:rsidR="00370CB2">
        <w:rPr>
          <w:lang w:val="en-GB" w:bidi="ar-EG"/>
        </w:rPr>
        <w:t>(WRC-19)</w:t>
      </w:r>
      <w:r w:rsidR="00370CB2">
        <w:rPr>
          <w:rFonts w:hint="cs"/>
          <w:rtl/>
          <w:lang w:val="es-ES" w:bidi="ar-EG"/>
        </w:rPr>
        <w:t xml:space="preserve">، كالخدمات </w:t>
      </w:r>
      <w:proofErr w:type="spellStart"/>
      <w:r w:rsidR="00370CB2">
        <w:rPr>
          <w:rFonts w:hint="cs"/>
          <w:rtl/>
          <w:lang w:val="es-ES" w:bidi="ar-EG"/>
        </w:rPr>
        <w:t>الساتلية</w:t>
      </w:r>
      <w:proofErr w:type="spellEnd"/>
      <w:r w:rsidR="00370CB2">
        <w:rPr>
          <w:rFonts w:hint="cs"/>
          <w:rtl/>
          <w:lang w:val="es-ES" w:bidi="ar-EG"/>
        </w:rPr>
        <w:t xml:space="preserve"> الإضافية المُدرجة في خدمات اتصالات نظام </w:t>
      </w:r>
      <w:r w:rsidR="00370CB2" w:rsidRPr="00FF113D">
        <w:rPr>
          <w:rFonts w:hint="cs"/>
          <w:lang w:bidi="ar-EG"/>
        </w:rPr>
        <w:t>GMDSS</w:t>
      </w:r>
      <w:r w:rsidR="00370CB2">
        <w:rPr>
          <w:rFonts w:hint="cs"/>
          <w:rtl/>
          <w:lang w:bidi="ar-EG"/>
        </w:rPr>
        <w:t xml:space="preserve"> و</w:t>
      </w:r>
      <w:r w:rsidR="00370CB2" w:rsidRPr="00101CCE">
        <w:rPr>
          <w:rtl/>
        </w:rPr>
        <w:t>نظام تبادل البيانات في نطاق الموجات المترية</w:t>
      </w:r>
      <w:r w:rsidR="00370CB2">
        <w:rPr>
          <w:rFonts w:hint="cs"/>
          <w:rtl/>
        </w:rPr>
        <w:t xml:space="preserve"> </w:t>
      </w:r>
      <w:r w:rsidR="00370CB2">
        <w:rPr>
          <w:lang w:val="en-GB"/>
        </w:rPr>
        <w:t>(VDES)</w:t>
      </w:r>
      <w:r w:rsidR="00370CB2">
        <w:rPr>
          <w:rFonts w:hint="cs"/>
          <w:rtl/>
          <w:lang w:val="es-ES" w:bidi="ar-EG"/>
        </w:rPr>
        <w:t xml:space="preserve"> ونظام بيانات الملاحة </w:t>
      </w:r>
      <w:r w:rsidR="00370CB2">
        <w:rPr>
          <w:lang w:val="en-GB" w:bidi="ar-EG"/>
        </w:rPr>
        <w:t>(NAVDAT)</w:t>
      </w:r>
      <w:r w:rsidR="00370CB2">
        <w:rPr>
          <w:rFonts w:hint="cs"/>
          <w:rtl/>
          <w:lang w:val="es-ES" w:bidi="ar-EG"/>
        </w:rPr>
        <w:t xml:space="preserve"> وخدمات الاتصالات على الموجات </w:t>
      </w:r>
      <w:proofErr w:type="spellStart"/>
      <w:r w:rsidR="00370CB2">
        <w:rPr>
          <w:rFonts w:hint="cs"/>
          <w:rtl/>
          <w:lang w:val="es-ES" w:bidi="ar-EG"/>
        </w:rPr>
        <w:t>الديكامترية</w:t>
      </w:r>
      <w:proofErr w:type="spellEnd"/>
      <w:r w:rsidR="00370CB2">
        <w:rPr>
          <w:rFonts w:hint="cs"/>
          <w:rtl/>
          <w:lang w:val="es-ES" w:bidi="ar-EG"/>
        </w:rPr>
        <w:t xml:space="preserve"> </w:t>
      </w:r>
      <w:r w:rsidR="00370CB2">
        <w:rPr>
          <w:lang w:val="es-ES" w:bidi="ar-EG"/>
        </w:rPr>
        <w:t>(HF)</w:t>
      </w:r>
      <w:r w:rsidR="00370CB2">
        <w:rPr>
          <w:rFonts w:hint="cs"/>
          <w:rtl/>
          <w:lang w:val="es-ES" w:bidi="ar-EG"/>
        </w:rPr>
        <w:t>.</w:t>
      </w:r>
    </w:p>
    <w:p w14:paraId="67F027E8" w14:textId="5449402C" w:rsidR="00F25261" w:rsidRPr="0053585F" w:rsidRDefault="006F0A71" w:rsidP="00F25261">
      <w:pPr>
        <w:rPr>
          <w:rtl/>
          <w:lang w:bidi="ar-SY"/>
        </w:rPr>
      </w:pPr>
      <w:r>
        <w:rPr>
          <w:rFonts w:hint="cs"/>
          <w:rtl/>
          <w:lang w:bidi="ar"/>
        </w:rPr>
        <w:t>و</w:t>
      </w:r>
      <w:r w:rsidR="00F25261" w:rsidRPr="0053585F">
        <w:rPr>
          <w:rFonts w:hint="cs"/>
          <w:rtl/>
          <w:lang w:bidi="ar"/>
        </w:rPr>
        <w:t xml:space="preserve">يدعو </w:t>
      </w:r>
      <w:r w:rsidR="00F25261" w:rsidRPr="0053585F">
        <w:rPr>
          <w:rFonts w:hint="cs"/>
          <w:rtl/>
          <w:lang w:bidi="ar-EG"/>
        </w:rPr>
        <w:t xml:space="preserve">القرار </w:t>
      </w:r>
      <w:r w:rsidR="00F25261" w:rsidRPr="0053585F">
        <w:rPr>
          <w:b/>
          <w:bCs/>
        </w:rPr>
        <w:t>359 (Rev.WRC-15)</w:t>
      </w:r>
      <w:r w:rsidR="00F25261" w:rsidRPr="0053585F">
        <w:rPr>
          <w:rFonts w:hint="cs"/>
          <w:rtl/>
          <w:lang w:bidi="ar"/>
        </w:rPr>
        <w:t xml:space="preserve"> المؤتمر</w:t>
      </w:r>
      <w:r>
        <w:rPr>
          <w:rFonts w:hint="cs"/>
          <w:rtl/>
          <w:lang w:bidi="ar"/>
        </w:rPr>
        <w:t xml:space="preserve"> </w:t>
      </w:r>
      <w:r>
        <w:rPr>
          <w:lang w:val="en-GB" w:bidi="ar-EG"/>
        </w:rPr>
        <w:t>WRC-19</w:t>
      </w:r>
      <w:r>
        <w:rPr>
          <w:rFonts w:hint="cs"/>
          <w:rtl/>
          <w:lang w:val="en-GB" w:bidi="ar-EG"/>
        </w:rPr>
        <w:t xml:space="preserve"> </w:t>
      </w:r>
      <w:r w:rsidR="00F25261" w:rsidRPr="0053585F">
        <w:rPr>
          <w:rFonts w:hint="cs"/>
          <w:rtl/>
          <w:lang w:bidi="ar"/>
        </w:rPr>
        <w:t>إلى اتخاذ الإجراءات اللازمة لدعم تحديث</w:t>
      </w:r>
      <w:r>
        <w:rPr>
          <w:rFonts w:hint="cs"/>
          <w:rtl/>
          <w:lang w:bidi="ar"/>
        </w:rPr>
        <w:t xml:space="preserve"> نظام</w:t>
      </w:r>
      <w:r w:rsidR="00F25261" w:rsidRPr="0053585F">
        <w:rPr>
          <w:rFonts w:hint="cs"/>
          <w:rtl/>
          <w:lang w:bidi="ar"/>
        </w:rPr>
        <w:t xml:space="preserve"> </w:t>
      </w:r>
      <w:r w:rsidR="0053585F" w:rsidRPr="0053585F">
        <w:rPr>
          <w:lang w:val="en-GB"/>
        </w:rPr>
        <w:t>GMDSS</w:t>
      </w:r>
      <w:r w:rsidR="00F25261" w:rsidRPr="0053585F">
        <w:rPr>
          <w:rFonts w:hint="cs"/>
          <w:rtl/>
          <w:lang w:bidi="ar"/>
        </w:rPr>
        <w:t xml:space="preserve"> (</w:t>
      </w:r>
      <w:r w:rsidR="00F25261" w:rsidRPr="006F0A71">
        <w:rPr>
          <w:rtl/>
        </w:rPr>
        <w:t>الفقرة</w:t>
      </w:r>
      <w:r w:rsidR="00F25261" w:rsidRPr="0053585F">
        <w:rPr>
          <w:b/>
          <w:bCs/>
          <w:rtl/>
        </w:rPr>
        <w:t xml:space="preserve"> </w:t>
      </w:r>
      <w:r w:rsidR="00F25261" w:rsidRPr="0053585F">
        <w:rPr>
          <w:b/>
          <w:bCs/>
          <w:lang w:val="fr-FR"/>
        </w:rPr>
        <w:t>1</w:t>
      </w:r>
      <w:r w:rsidR="00F25261" w:rsidRPr="0053585F">
        <w:rPr>
          <w:rFonts w:hint="cs"/>
          <w:b/>
          <w:bCs/>
          <w:rtl/>
        </w:rPr>
        <w:t xml:space="preserve"> </w:t>
      </w:r>
      <w:r w:rsidR="00F25261" w:rsidRPr="0053585F">
        <w:rPr>
          <w:b/>
          <w:bCs/>
          <w:rtl/>
        </w:rPr>
        <w:t xml:space="preserve">من </w:t>
      </w:r>
      <w:r w:rsidR="00F25261" w:rsidRPr="0053585F">
        <w:rPr>
          <w:b/>
          <w:bCs/>
          <w:i/>
          <w:iCs/>
          <w:rtl/>
        </w:rPr>
        <w:t>"يقرر"</w:t>
      </w:r>
      <w:r w:rsidR="00F25261" w:rsidRPr="0053585F">
        <w:rPr>
          <w:rFonts w:hint="cs"/>
          <w:rtl/>
          <w:lang w:bidi="ar"/>
        </w:rPr>
        <w:t xml:space="preserve">) والنظر في الأحكام التنظيمية المتعلقة بإدخال نظام </w:t>
      </w:r>
      <w:proofErr w:type="spellStart"/>
      <w:r w:rsidR="00F25261" w:rsidRPr="0053585F">
        <w:rPr>
          <w:rFonts w:hint="cs"/>
          <w:rtl/>
          <w:lang w:bidi="ar"/>
        </w:rPr>
        <w:t>ساتلي</w:t>
      </w:r>
      <w:proofErr w:type="spellEnd"/>
      <w:r w:rsidR="00F25261" w:rsidRPr="0053585F">
        <w:rPr>
          <w:rFonts w:hint="cs"/>
          <w:rtl/>
          <w:lang w:bidi="ar"/>
        </w:rPr>
        <w:t xml:space="preserve"> إضافي في</w:t>
      </w:r>
      <w:r w:rsidR="00370CB2" w:rsidRPr="0053585F">
        <w:rPr>
          <w:rFonts w:hint="cs"/>
          <w:rtl/>
          <w:lang w:bidi="ar"/>
        </w:rPr>
        <w:t xml:space="preserve">ه </w:t>
      </w:r>
      <w:r w:rsidR="00F25261" w:rsidRPr="0053585F">
        <w:rPr>
          <w:rFonts w:hint="cs"/>
          <w:rtl/>
          <w:lang w:bidi="ar"/>
        </w:rPr>
        <w:t xml:space="preserve">مع </w:t>
      </w:r>
      <w:r w:rsidR="00F25261" w:rsidRPr="0053585F">
        <w:rPr>
          <w:rtl/>
        </w:rPr>
        <w:t>ضمان حماية جميع الخدمات القائمة من التداخل الضار</w:t>
      </w:r>
      <w:r w:rsidR="00F25261" w:rsidRPr="0053585F">
        <w:rPr>
          <w:rFonts w:hint="cs"/>
          <w:rtl/>
          <w:lang w:bidi="ar"/>
        </w:rPr>
        <w:t xml:space="preserve"> (</w:t>
      </w:r>
      <w:r w:rsidR="00F25261" w:rsidRPr="006F0A71">
        <w:rPr>
          <w:rtl/>
        </w:rPr>
        <w:t>الفقرة</w:t>
      </w:r>
      <w:r w:rsidR="00F25261" w:rsidRPr="0053585F">
        <w:rPr>
          <w:b/>
          <w:bCs/>
          <w:rtl/>
        </w:rPr>
        <w:t xml:space="preserve"> </w:t>
      </w:r>
      <w:r w:rsidR="00F25261" w:rsidRPr="0053585F">
        <w:rPr>
          <w:b/>
          <w:bCs/>
          <w:lang w:val="fr-FR"/>
        </w:rPr>
        <w:t>2</w:t>
      </w:r>
      <w:r w:rsidR="00F25261" w:rsidRPr="0053585F">
        <w:rPr>
          <w:rFonts w:hint="cs"/>
          <w:b/>
          <w:bCs/>
          <w:rtl/>
        </w:rPr>
        <w:t xml:space="preserve"> </w:t>
      </w:r>
      <w:r w:rsidR="00F25261" w:rsidRPr="0053585F">
        <w:rPr>
          <w:b/>
          <w:bCs/>
          <w:rtl/>
        </w:rPr>
        <w:t xml:space="preserve">من </w:t>
      </w:r>
      <w:r w:rsidR="00F25261" w:rsidRPr="0053585F">
        <w:rPr>
          <w:b/>
          <w:bCs/>
          <w:i/>
          <w:iCs/>
          <w:rtl/>
        </w:rPr>
        <w:t>"يقرر"</w:t>
      </w:r>
      <w:r w:rsidR="00F25261" w:rsidRPr="0053585F">
        <w:rPr>
          <w:rFonts w:hint="cs"/>
          <w:rtl/>
          <w:lang w:bidi="ar"/>
        </w:rPr>
        <w:t>).</w:t>
      </w:r>
    </w:p>
    <w:p w14:paraId="4FADF247" w14:textId="7A5B8E6A" w:rsidR="00F25261" w:rsidRPr="0053585F" w:rsidRDefault="00370CB2" w:rsidP="00F25261">
      <w:pPr>
        <w:rPr>
          <w:rtl/>
          <w:lang w:val="es-ES" w:bidi="ar-EG"/>
        </w:rPr>
      </w:pPr>
      <w:r w:rsidRPr="0053585F">
        <w:rPr>
          <w:rFonts w:hint="cs"/>
          <w:rtl/>
          <w:lang w:val="es-ES" w:bidi="ar-EG"/>
        </w:rPr>
        <w:lastRenderedPageBreak/>
        <w:t xml:space="preserve">وتركز هذه الوثيقة على المساهمة المقدمة من إدارات </w:t>
      </w:r>
      <w:r w:rsidR="0053585F" w:rsidRPr="0053585F">
        <w:rPr>
          <w:rFonts w:hint="cs"/>
          <w:rtl/>
          <w:lang w:val="es-ES" w:bidi="ar-EG"/>
        </w:rPr>
        <w:t>متعددة</w:t>
      </w:r>
      <w:r w:rsidRPr="0053585F">
        <w:rPr>
          <w:rFonts w:hint="cs"/>
          <w:rtl/>
          <w:lang w:val="es-ES" w:bidi="ar-EG"/>
        </w:rPr>
        <w:t xml:space="preserve"> بشأن </w:t>
      </w:r>
      <w:r w:rsidRPr="006F0A71">
        <w:rPr>
          <w:rtl/>
        </w:rPr>
        <w:t>الفقرة</w:t>
      </w:r>
      <w:r w:rsidRPr="0053585F">
        <w:rPr>
          <w:b/>
          <w:bCs/>
          <w:rtl/>
        </w:rPr>
        <w:t xml:space="preserve"> </w:t>
      </w:r>
      <w:r w:rsidRPr="0053585F">
        <w:rPr>
          <w:b/>
          <w:bCs/>
          <w:lang w:val="fr-FR"/>
        </w:rPr>
        <w:t>2</w:t>
      </w:r>
      <w:r w:rsidRPr="0053585F">
        <w:rPr>
          <w:rFonts w:hint="cs"/>
          <w:b/>
          <w:bCs/>
          <w:rtl/>
        </w:rPr>
        <w:t xml:space="preserve"> </w:t>
      </w:r>
      <w:r w:rsidRPr="0053585F">
        <w:rPr>
          <w:b/>
          <w:bCs/>
          <w:rtl/>
        </w:rPr>
        <w:t xml:space="preserve">من </w:t>
      </w:r>
      <w:r w:rsidRPr="0053585F">
        <w:rPr>
          <w:b/>
          <w:bCs/>
          <w:i/>
          <w:iCs/>
          <w:rtl/>
        </w:rPr>
        <w:t>"يقرر"</w:t>
      </w:r>
      <w:r w:rsidRPr="0053585F">
        <w:rPr>
          <w:rFonts w:hint="cs"/>
          <w:rtl/>
          <w:lang w:bidi="ar"/>
        </w:rPr>
        <w:t xml:space="preserve">. </w:t>
      </w:r>
      <w:r w:rsidR="0053585F">
        <w:rPr>
          <w:rFonts w:hint="cs"/>
          <w:rtl/>
          <w:lang w:bidi="ar"/>
        </w:rPr>
        <w:t>ف</w:t>
      </w:r>
      <w:r w:rsidR="0053585F" w:rsidRPr="0053585F">
        <w:rPr>
          <w:rFonts w:hint="cs"/>
          <w:rtl/>
          <w:lang w:bidi="ar"/>
        </w:rPr>
        <w:t xml:space="preserve">قد قامت </w:t>
      </w:r>
      <w:r w:rsidR="0053585F" w:rsidRPr="0053585F">
        <w:rPr>
          <w:rFonts w:hint="cs"/>
          <w:rtl/>
          <w:lang w:bidi="ar-EG"/>
        </w:rPr>
        <w:t xml:space="preserve">لجنة السلامة البحرية </w:t>
      </w:r>
      <w:r w:rsidR="0053585F" w:rsidRPr="0053585F">
        <w:rPr>
          <w:lang w:val="en-GB" w:bidi="ar-EG"/>
        </w:rPr>
        <w:t>(MSC)</w:t>
      </w:r>
      <w:r w:rsidR="0053585F" w:rsidRPr="0053585F">
        <w:rPr>
          <w:rFonts w:hint="cs"/>
          <w:rtl/>
          <w:lang w:bidi="ar-EG"/>
        </w:rPr>
        <w:t xml:space="preserve"> التابعة للمنظمة البحرية الدولية </w:t>
      </w:r>
      <w:r w:rsidR="0053585F" w:rsidRPr="0053585F">
        <w:rPr>
          <w:lang w:val="en-GB" w:bidi="ar-EG"/>
        </w:rPr>
        <w:t>(IMO)</w:t>
      </w:r>
      <w:r w:rsidR="006F0A71">
        <w:rPr>
          <w:rFonts w:hint="cs"/>
          <w:rtl/>
          <w:lang w:val="es-ES" w:bidi="ar-EG"/>
        </w:rPr>
        <w:t xml:space="preserve"> </w:t>
      </w:r>
      <w:r w:rsidR="0053585F" w:rsidRPr="0053585F">
        <w:rPr>
          <w:rFonts w:hint="cs"/>
          <w:rtl/>
          <w:lang w:val="es-ES" w:bidi="ar-EG"/>
        </w:rPr>
        <w:t xml:space="preserve">في اجتماعها الذي عُقد في مايو </w:t>
      </w:r>
      <w:r w:rsidR="0053585F" w:rsidRPr="0053585F">
        <w:rPr>
          <w:lang w:val="en-GB" w:bidi="ar-EG"/>
        </w:rPr>
        <w:t>2018</w:t>
      </w:r>
      <w:r w:rsidR="0053585F" w:rsidRPr="0053585F">
        <w:rPr>
          <w:rFonts w:hint="cs"/>
          <w:rtl/>
          <w:lang w:val="es-ES" w:bidi="ar-EG"/>
        </w:rPr>
        <w:t xml:space="preserve"> بالاعتراف رسميًا بنظام </w:t>
      </w:r>
      <w:proofErr w:type="spellStart"/>
      <w:r w:rsidR="0053585F" w:rsidRPr="0053585F">
        <w:rPr>
          <w:rFonts w:hint="cs"/>
          <w:rtl/>
          <w:lang w:val="es-ES" w:bidi="ar-EG"/>
        </w:rPr>
        <w:t>ساتلي</w:t>
      </w:r>
      <w:proofErr w:type="spellEnd"/>
      <w:r w:rsidR="0053585F" w:rsidRPr="0053585F">
        <w:rPr>
          <w:rFonts w:hint="cs"/>
          <w:rtl/>
          <w:lang w:val="es-ES" w:bidi="ar-EG"/>
        </w:rPr>
        <w:t xml:space="preserve"> إضافي باعتباره المقدِّم الجديد للخدم</w:t>
      </w:r>
      <w:r w:rsidR="005F0510">
        <w:rPr>
          <w:rFonts w:hint="cs"/>
          <w:rtl/>
          <w:lang w:val="es-ES" w:bidi="ar-EG"/>
        </w:rPr>
        <w:t>ة</w:t>
      </w:r>
      <w:r w:rsidR="0053585F" w:rsidRPr="0053585F">
        <w:rPr>
          <w:rFonts w:hint="cs"/>
          <w:rtl/>
          <w:lang w:val="es-ES" w:bidi="ar-EG"/>
        </w:rPr>
        <w:t xml:space="preserve"> </w:t>
      </w:r>
      <w:proofErr w:type="spellStart"/>
      <w:r w:rsidR="0053585F" w:rsidRPr="0053585F">
        <w:rPr>
          <w:rFonts w:hint="cs"/>
          <w:rtl/>
          <w:lang w:val="es-ES" w:bidi="ar-EG"/>
        </w:rPr>
        <w:t>الساتلية</w:t>
      </w:r>
      <w:proofErr w:type="spellEnd"/>
      <w:r w:rsidR="0053585F">
        <w:rPr>
          <w:rFonts w:hint="cs"/>
          <w:rtl/>
          <w:lang w:val="es-ES" w:bidi="ar-EG"/>
        </w:rPr>
        <w:t xml:space="preserve"> في </w:t>
      </w:r>
      <w:r w:rsidR="004D3A8E" w:rsidRPr="006F0A71">
        <w:rPr>
          <w:rFonts w:hint="cs"/>
          <w:rtl/>
          <w:lang w:bidi="ar"/>
        </w:rPr>
        <w:t>النظام العالمي للاستغاثة والسلامة في البحر</w:t>
      </w:r>
      <w:r w:rsidR="0053585F" w:rsidRPr="0053585F">
        <w:rPr>
          <w:rFonts w:hint="cs"/>
          <w:rtl/>
          <w:lang w:val="es-ES" w:bidi="ar-EG"/>
        </w:rPr>
        <w:t xml:space="preserve"> </w:t>
      </w:r>
      <w:r w:rsidR="004D3A8E">
        <w:rPr>
          <w:lang w:val="en-GB" w:bidi="ar-EG"/>
        </w:rPr>
        <w:t>(</w:t>
      </w:r>
      <w:r w:rsidR="0053585F" w:rsidRPr="0053585F">
        <w:rPr>
          <w:lang w:val="en-GB"/>
        </w:rPr>
        <w:t>GMDSS</w:t>
      </w:r>
      <w:r w:rsidR="004D3A8E">
        <w:rPr>
          <w:lang w:val="en-GB"/>
        </w:rPr>
        <w:t>)</w:t>
      </w:r>
      <w:r w:rsidR="0053585F" w:rsidRPr="0053585F">
        <w:rPr>
          <w:rFonts w:hint="cs"/>
          <w:rtl/>
          <w:lang w:val="en-GB"/>
        </w:rPr>
        <w:t>.</w:t>
      </w:r>
    </w:p>
    <w:p w14:paraId="0B22178F" w14:textId="79E3611A" w:rsidR="00F25261" w:rsidRDefault="006F0A71" w:rsidP="006F0A71">
      <w:pPr>
        <w:rPr>
          <w:rtl/>
          <w:lang w:val="es-ES" w:bidi="ar-EG"/>
        </w:rPr>
      </w:pPr>
      <w:r>
        <w:rPr>
          <w:rFonts w:hint="cs"/>
          <w:rtl/>
        </w:rPr>
        <w:t>و</w:t>
      </w:r>
      <w:r>
        <w:rPr>
          <w:rFonts w:hint="cs"/>
          <w:rtl/>
          <w:lang w:val="es-ES"/>
        </w:rPr>
        <w:t>تحقيقاً لذلك،</w:t>
      </w:r>
      <w:r w:rsidR="0053585F">
        <w:rPr>
          <w:rFonts w:hint="cs"/>
          <w:rtl/>
        </w:rPr>
        <w:t xml:space="preserve"> ينبغي معالجة المسائل والشواغل المعلَّقة</w:t>
      </w:r>
      <w:r>
        <w:rPr>
          <w:rFonts w:hint="cs"/>
          <w:rtl/>
          <w:lang w:val="es-ES" w:bidi="ar-EG"/>
        </w:rPr>
        <w:t xml:space="preserve"> </w:t>
      </w:r>
      <w:r w:rsidR="004D3A8E">
        <w:rPr>
          <w:rFonts w:hint="cs"/>
          <w:rtl/>
          <w:lang w:val="es-ES" w:bidi="ar-EG"/>
        </w:rPr>
        <w:t xml:space="preserve">بشأن عملية </w:t>
      </w:r>
      <w:r>
        <w:rPr>
          <w:rFonts w:hint="cs"/>
          <w:rtl/>
          <w:lang w:val="es-ES" w:bidi="ar-EG"/>
        </w:rPr>
        <w:t xml:space="preserve">التنفيذ التشغيلي (انظر في هذا الصدد القسم </w:t>
      </w:r>
      <w:r w:rsidR="004D3A8E">
        <w:rPr>
          <w:lang w:val="en-GB" w:bidi="ar-EG"/>
        </w:rPr>
        <w:t>1.1.2.3./8.1/5</w:t>
      </w:r>
      <w:r w:rsidR="004D3A8E">
        <w:rPr>
          <w:rFonts w:hint="cs"/>
          <w:rtl/>
          <w:lang w:val="en-GB" w:bidi="ar-EG"/>
        </w:rPr>
        <w:t xml:space="preserve"> </w:t>
      </w:r>
      <w:r>
        <w:rPr>
          <w:rFonts w:hint="cs"/>
          <w:rtl/>
          <w:lang w:val="en-GB" w:bidi="ar-EG"/>
        </w:rPr>
        <w:t xml:space="preserve">من تقرير الاجتماع التحضيري للمؤتمر </w:t>
      </w:r>
      <w:r>
        <w:rPr>
          <w:lang w:val="en-GB" w:bidi="ar-EG"/>
        </w:rPr>
        <w:t>(CPM)</w:t>
      </w:r>
      <w:r>
        <w:rPr>
          <w:rFonts w:hint="cs"/>
          <w:rtl/>
          <w:lang w:val="es-ES" w:bidi="ar-EG"/>
        </w:rPr>
        <w:t>).</w:t>
      </w:r>
    </w:p>
    <w:p w14:paraId="7F38406B" w14:textId="74EC1553" w:rsidR="00F25261" w:rsidRDefault="00F25261" w:rsidP="00F25261">
      <w:pPr>
        <w:pStyle w:val="Heading2"/>
        <w:rPr>
          <w:rtl/>
        </w:rPr>
      </w:pPr>
      <w:r>
        <w:rPr>
          <w:lang w:bidi="ar-SY"/>
        </w:rPr>
        <w:t>1.1</w:t>
      </w:r>
      <w:r>
        <w:rPr>
          <w:lang w:bidi="ar-SY"/>
        </w:rPr>
        <w:tab/>
      </w:r>
      <w:r w:rsidR="006F0A71">
        <w:rPr>
          <w:rFonts w:hint="cs"/>
          <w:rtl/>
        </w:rPr>
        <w:t>العناصر الرئيسية</w:t>
      </w:r>
    </w:p>
    <w:p w14:paraId="3652B3DF" w14:textId="0B454D8E" w:rsidR="00F25261" w:rsidRPr="005E77A8" w:rsidRDefault="004D3A8E" w:rsidP="008614B8">
      <w:pPr>
        <w:rPr>
          <w:rtl/>
          <w:lang w:val="es-ES" w:bidi="ar-EG"/>
        </w:rPr>
      </w:pPr>
      <w:r>
        <w:rPr>
          <w:rFonts w:hint="cs"/>
          <w:rtl/>
          <w:lang w:bidi="ar-EG"/>
        </w:rPr>
        <w:t xml:space="preserve">ينبغي النظر في ثلاث مسائل من أجل إضافة مقدِّم </w:t>
      </w:r>
      <w:r w:rsidR="00C03994">
        <w:rPr>
          <w:rFonts w:hint="cs"/>
          <w:rtl/>
          <w:lang w:bidi="ar-EG"/>
        </w:rPr>
        <w:t xml:space="preserve">خدمة جديد </w:t>
      </w:r>
      <w:r>
        <w:rPr>
          <w:rFonts w:hint="cs"/>
          <w:rtl/>
          <w:lang w:bidi="ar-EG"/>
        </w:rPr>
        <w:t xml:space="preserve">في نظام </w:t>
      </w:r>
      <w:r>
        <w:rPr>
          <w:lang w:val="en-GB" w:bidi="ar-EG"/>
        </w:rPr>
        <w:t>GMDSS</w:t>
      </w:r>
      <w:r w:rsidR="005E77A8">
        <w:rPr>
          <w:rFonts w:hint="cs"/>
          <w:rtl/>
          <w:lang w:val="es-ES" w:bidi="ar-EG"/>
        </w:rPr>
        <w:t xml:space="preserve"> على النحو التالي:</w:t>
      </w:r>
    </w:p>
    <w:p w14:paraId="14D44599" w14:textId="630F411D" w:rsidR="00F25261" w:rsidRPr="005E77A8" w:rsidRDefault="00F25261" w:rsidP="00F25261">
      <w:pPr>
        <w:pStyle w:val="enumlev1"/>
        <w:rPr>
          <w:rtl/>
          <w:lang w:val="es-ES" w:bidi="ar-EG"/>
        </w:rPr>
      </w:pPr>
      <w:r>
        <w:rPr>
          <w:lang w:bidi="ar-EG"/>
        </w:rPr>
        <w:t>1</w:t>
      </w:r>
      <w:r>
        <w:rPr>
          <w:lang w:bidi="ar-EG"/>
        </w:rPr>
        <w:tab/>
      </w:r>
      <w:r w:rsidR="005E77A8">
        <w:rPr>
          <w:rFonts w:hint="cs"/>
          <w:rtl/>
          <w:lang w:bidi="ar-EG"/>
        </w:rPr>
        <w:t>تتعلق المسألة الأولى بالنهج التنظيمي لتحديد الترددات التي يُعتزم أن تستعملها خدمة</w:t>
      </w:r>
      <w:r w:rsidR="005E4EA2">
        <w:rPr>
          <w:rFonts w:hint="cs"/>
          <w:rtl/>
          <w:lang w:bidi="ar-EG"/>
        </w:rPr>
        <w:t xml:space="preserve"> نظام</w:t>
      </w:r>
      <w:r w:rsidR="005F0510">
        <w:rPr>
          <w:rFonts w:hint="cs"/>
          <w:rtl/>
          <w:lang w:bidi="ar-EG"/>
        </w:rPr>
        <w:t xml:space="preserve"> </w:t>
      </w:r>
      <w:r w:rsidR="005E77A8">
        <w:rPr>
          <w:lang w:val="en-GB" w:bidi="ar-EG"/>
        </w:rPr>
        <w:t>Iridium</w:t>
      </w:r>
      <w:r w:rsidR="005E77A8">
        <w:rPr>
          <w:rFonts w:hint="cs"/>
          <w:rtl/>
          <w:lang w:val="es-ES" w:bidi="ar-EG"/>
        </w:rPr>
        <w:t xml:space="preserve"> في نظام </w:t>
      </w:r>
      <w:r w:rsidR="005E77A8">
        <w:rPr>
          <w:lang w:val="en-GB" w:bidi="ar-EG"/>
        </w:rPr>
        <w:t>GMDSS</w:t>
      </w:r>
      <w:r w:rsidR="005E77A8">
        <w:rPr>
          <w:rFonts w:hint="cs"/>
          <w:rtl/>
          <w:lang w:val="es-ES" w:bidi="ar-EG"/>
        </w:rPr>
        <w:t xml:space="preserve"> في لوائح الراديو. وعلى وجه الخصوص، يدور جدل حول ما إذا كان</w:t>
      </w:r>
      <w:r w:rsidR="005F0510">
        <w:rPr>
          <w:rFonts w:hint="cs"/>
          <w:rtl/>
          <w:lang w:val="es-ES" w:bidi="ar-EG"/>
        </w:rPr>
        <w:t xml:space="preserve"> من الممكن أن تستمر</w:t>
      </w:r>
      <w:r w:rsidR="005E77A8">
        <w:rPr>
          <w:rFonts w:hint="cs"/>
          <w:rtl/>
          <w:lang w:val="es-ES" w:bidi="ar-EG"/>
        </w:rPr>
        <w:t xml:space="preserve"> الوصلات الهابطة ل</w:t>
      </w:r>
      <w:r w:rsidR="005E4EA2">
        <w:rPr>
          <w:rFonts w:hint="cs"/>
          <w:rtl/>
          <w:lang w:val="es-ES" w:bidi="ar-EG"/>
        </w:rPr>
        <w:t xml:space="preserve">خدمة نظام </w:t>
      </w:r>
      <w:proofErr w:type="spellStart"/>
      <w:r w:rsidR="005E4EA2">
        <w:rPr>
          <w:rFonts w:hint="cs"/>
          <w:lang w:val="es-ES" w:bidi="ar-EG"/>
        </w:rPr>
        <w:t>Iridium</w:t>
      </w:r>
      <w:proofErr w:type="spellEnd"/>
      <w:r w:rsidR="005E77A8">
        <w:rPr>
          <w:rFonts w:hint="cs"/>
          <w:rtl/>
          <w:lang w:val="en-GB" w:bidi="ar-EG"/>
        </w:rPr>
        <w:t xml:space="preserve"> في النطاق </w:t>
      </w:r>
      <w:r w:rsidR="005E77A8">
        <w:rPr>
          <w:lang w:val="en-GB" w:bidi="ar-EG"/>
        </w:rPr>
        <w:t>1 626.5-1 616</w:t>
      </w:r>
      <w:r w:rsidR="005E77A8">
        <w:rPr>
          <w:rFonts w:hint="cs"/>
          <w:rtl/>
          <w:lang w:val="es-ES" w:bidi="ar-EG"/>
        </w:rPr>
        <w:t xml:space="preserve"> </w:t>
      </w:r>
      <w:r w:rsidR="005E77A8">
        <w:rPr>
          <w:lang w:val="en-GB" w:bidi="ar-EG"/>
        </w:rPr>
        <w:t>GHz</w:t>
      </w:r>
      <w:r w:rsidR="005E77A8">
        <w:rPr>
          <w:rFonts w:hint="cs"/>
          <w:rtl/>
          <w:lang w:val="es-ES" w:bidi="ar-EG"/>
        </w:rPr>
        <w:t xml:space="preserve"> </w:t>
      </w:r>
      <w:r w:rsidR="005F0510">
        <w:rPr>
          <w:rFonts w:hint="cs"/>
          <w:rtl/>
          <w:lang w:val="es-ES" w:bidi="ar-EG"/>
        </w:rPr>
        <w:t xml:space="preserve">في العمل كجزء من التوزيع الثانوي للخدمة المتنقلة </w:t>
      </w:r>
      <w:proofErr w:type="spellStart"/>
      <w:r w:rsidR="005F0510">
        <w:rPr>
          <w:rFonts w:hint="cs"/>
          <w:rtl/>
          <w:lang w:val="es-ES" w:bidi="ar-EG"/>
        </w:rPr>
        <w:t>الساتلية</w:t>
      </w:r>
      <w:proofErr w:type="spellEnd"/>
      <w:r w:rsidR="005F0510">
        <w:rPr>
          <w:rFonts w:hint="cs"/>
          <w:rtl/>
          <w:lang w:val="es-ES" w:bidi="ar-EG"/>
        </w:rPr>
        <w:t xml:space="preserve"> </w:t>
      </w:r>
      <w:r w:rsidR="005F0510">
        <w:rPr>
          <w:lang w:val="en-GB" w:bidi="ar-EG"/>
        </w:rPr>
        <w:t>(MSS)</w:t>
      </w:r>
      <w:r w:rsidR="005F0510">
        <w:rPr>
          <w:rFonts w:hint="cs"/>
          <w:rtl/>
          <w:lang w:val="es-ES" w:bidi="ar-EG"/>
        </w:rPr>
        <w:t xml:space="preserve"> في اتجاه فضاء-أرض أو </w:t>
      </w:r>
      <w:r w:rsidR="00043631">
        <w:rPr>
          <w:rFonts w:hint="cs"/>
          <w:rtl/>
          <w:lang w:val="es-ES" w:bidi="ar-EG"/>
        </w:rPr>
        <w:t>من اللازم</w:t>
      </w:r>
      <w:r w:rsidR="005F0510">
        <w:rPr>
          <w:rFonts w:hint="cs"/>
          <w:rtl/>
          <w:lang w:val="es-ES" w:bidi="ar-EG"/>
        </w:rPr>
        <w:t xml:space="preserve"> منحها وضع التوزيع الأولي، على اعتبار أننا نتعامل مع خدمات سلامة الأرواح في السفن المبحرة في المحيطات؛</w:t>
      </w:r>
      <w:r w:rsidR="005E77A8">
        <w:rPr>
          <w:rFonts w:hint="cs"/>
          <w:rtl/>
          <w:lang w:val="es-ES" w:bidi="ar-EG"/>
        </w:rPr>
        <w:t xml:space="preserve">  </w:t>
      </w:r>
    </w:p>
    <w:p w14:paraId="7864D653" w14:textId="3B6DA098" w:rsidR="00BD3934" w:rsidRPr="00076931" w:rsidRDefault="00F25261" w:rsidP="00076931">
      <w:pPr>
        <w:pStyle w:val="enumlev1"/>
        <w:rPr>
          <w:rtl/>
          <w:lang w:val="es-ES" w:bidi="ar-EG"/>
        </w:rPr>
      </w:pPr>
      <w:r>
        <w:rPr>
          <w:lang w:bidi="ar-EG"/>
        </w:rPr>
        <w:t>2</w:t>
      </w:r>
      <w:r>
        <w:rPr>
          <w:lang w:bidi="ar-EG"/>
        </w:rPr>
        <w:tab/>
      </w:r>
      <w:r w:rsidR="000A5977">
        <w:rPr>
          <w:rFonts w:hint="cs"/>
          <w:rtl/>
          <w:lang w:bidi="ar-EG"/>
        </w:rPr>
        <w:t xml:space="preserve">تتعلق المسألة الثانية باحتمال صدور تداخل من </w:t>
      </w:r>
      <w:proofErr w:type="spellStart"/>
      <w:r w:rsidR="000A5977">
        <w:rPr>
          <w:rFonts w:hint="cs"/>
          <w:rtl/>
          <w:lang w:bidi="ar-EG"/>
        </w:rPr>
        <w:t>مطاريف</w:t>
      </w:r>
      <w:proofErr w:type="spellEnd"/>
      <w:r w:rsidR="000A5977">
        <w:rPr>
          <w:rFonts w:hint="cs"/>
          <w:rtl/>
          <w:lang w:bidi="ar-EG"/>
        </w:rPr>
        <w:t xml:space="preserve"> الخدمة المتنقلة </w:t>
      </w:r>
      <w:proofErr w:type="spellStart"/>
      <w:r w:rsidR="000A5977">
        <w:rPr>
          <w:rFonts w:hint="cs"/>
          <w:rtl/>
          <w:lang w:bidi="ar-EG"/>
        </w:rPr>
        <w:t>الساتلية</w:t>
      </w:r>
      <w:proofErr w:type="spellEnd"/>
      <w:r w:rsidR="002856AB">
        <w:rPr>
          <w:rFonts w:hint="cs"/>
          <w:rtl/>
          <w:lang w:bidi="ar-EG"/>
        </w:rPr>
        <w:t>،</w:t>
      </w:r>
      <w:r w:rsidR="000A5977">
        <w:rPr>
          <w:rFonts w:hint="cs"/>
          <w:rtl/>
          <w:lang w:bidi="ar-EG"/>
        </w:rPr>
        <w:t xml:space="preserve"> العاملة في </w:t>
      </w:r>
      <w:r w:rsidR="000A5977">
        <w:rPr>
          <w:rFonts w:hint="cs"/>
          <w:rtl/>
          <w:lang w:val="en-GB" w:bidi="ar-EG"/>
        </w:rPr>
        <w:t xml:space="preserve">النطاق </w:t>
      </w:r>
      <w:r w:rsidR="000A5977">
        <w:rPr>
          <w:lang w:val="en-GB" w:bidi="ar-EG"/>
        </w:rPr>
        <w:t>1 66</w:t>
      </w:r>
      <w:r w:rsidR="002856AB">
        <w:rPr>
          <w:lang w:val="en-GB" w:bidi="ar-EG"/>
        </w:rPr>
        <w:t>0</w:t>
      </w:r>
      <w:r w:rsidR="000A5977">
        <w:rPr>
          <w:lang w:val="en-GB" w:bidi="ar-EG"/>
        </w:rPr>
        <w:t>.5-1 6</w:t>
      </w:r>
      <w:r w:rsidR="002856AB">
        <w:rPr>
          <w:lang w:val="en-GB" w:bidi="ar-EG"/>
        </w:rPr>
        <w:t>26,5</w:t>
      </w:r>
      <w:r w:rsidR="000A5977">
        <w:rPr>
          <w:rFonts w:hint="cs"/>
          <w:rtl/>
          <w:lang w:val="es-ES" w:bidi="ar-EG"/>
        </w:rPr>
        <w:t xml:space="preserve"> </w:t>
      </w:r>
      <w:r w:rsidR="009C5368">
        <w:rPr>
          <w:lang w:val="en-GB" w:bidi="ar-EG"/>
        </w:rPr>
        <w:t>M</w:t>
      </w:r>
      <w:r w:rsidR="000A5977">
        <w:rPr>
          <w:lang w:val="en-GB" w:bidi="ar-EG"/>
        </w:rPr>
        <w:t>Hz</w:t>
      </w:r>
      <w:r w:rsidR="002856AB">
        <w:rPr>
          <w:rFonts w:hint="cs"/>
          <w:rtl/>
          <w:lang w:val="en-GB" w:bidi="ar-EG"/>
        </w:rPr>
        <w:t xml:space="preserve">، </w:t>
      </w:r>
      <w:r w:rsidR="002856AB">
        <w:rPr>
          <w:rFonts w:hint="cs"/>
          <w:rtl/>
          <w:lang w:val="es-ES" w:bidi="ar-EG"/>
        </w:rPr>
        <w:t xml:space="preserve">إلى </w:t>
      </w:r>
      <w:proofErr w:type="spellStart"/>
      <w:r w:rsidR="002856AB">
        <w:rPr>
          <w:rFonts w:hint="cs"/>
          <w:rtl/>
          <w:lang w:val="es-ES" w:bidi="ar-EG"/>
        </w:rPr>
        <w:t>مطاريف</w:t>
      </w:r>
      <w:proofErr w:type="spellEnd"/>
      <w:r w:rsidR="002856AB">
        <w:rPr>
          <w:rFonts w:hint="cs"/>
          <w:rtl/>
          <w:lang w:val="es-ES" w:bidi="ar-EG"/>
        </w:rPr>
        <w:t xml:space="preserve"> الخدمة المتنقلة </w:t>
      </w:r>
      <w:proofErr w:type="spellStart"/>
      <w:r w:rsidR="002856AB">
        <w:rPr>
          <w:rFonts w:hint="cs"/>
          <w:rtl/>
          <w:lang w:val="es-ES" w:bidi="ar-EG"/>
        </w:rPr>
        <w:t>الساتلية</w:t>
      </w:r>
      <w:proofErr w:type="spellEnd"/>
      <w:r w:rsidR="002856AB">
        <w:rPr>
          <w:rFonts w:hint="cs"/>
          <w:rtl/>
          <w:lang w:val="es-ES" w:bidi="ar-EG"/>
        </w:rPr>
        <w:t xml:space="preserve"> المستخدمة على متن السفن والعاملة في </w:t>
      </w:r>
      <w:r w:rsidR="002856AB">
        <w:rPr>
          <w:rFonts w:hint="cs"/>
          <w:rtl/>
          <w:lang w:val="en-GB" w:bidi="ar-EG"/>
        </w:rPr>
        <w:t xml:space="preserve">النطاق </w:t>
      </w:r>
      <w:r w:rsidR="002856AB">
        <w:rPr>
          <w:lang w:val="en-GB" w:bidi="ar-EG"/>
        </w:rPr>
        <w:t>1 626.5-1 616</w:t>
      </w:r>
      <w:r w:rsidR="002856AB">
        <w:rPr>
          <w:rFonts w:hint="cs"/>
          <w:rtl/>
          <w:lang w:val="es-ES" w:bidi="ar-EG"/>
        </w:rPr>
        <w:t xml:space="preserve"> </w:t>
      </w:r>
      <w:r w:rsidR="002856AB">
        <w:rPr>
          <w:lang w:val="en-GB" w:bidi="ar-EG"/>
        </w:rPr>
        <w:t>GHz</w:t>
      </w:r>
      <w:r w:rsidR="002856AB">
        <w:rPr>
          <w:rFonts w:hint="cs"/>
          <w:rtl/>
          <w:lang w:val="en-GB" w:bidi="ar-EG"/>
        </w:rPr>
        <w:t xml:space="preserve">. إذ يمكن أن تُستخدم </w:t>
      </w:r>
      <w:proofErr w:type="spellStart"/>
      <w:r w:rsidR="002856AB">
        <w:rPr>
          <w:rFonts w:hint="cs"/>
          <w:rtl/>
          <w:lang w:val="en-GB" w:bidi="ar-EG"/>
        </w:rPr>
        <w:t>مطاريف</w:t>
      </w:r>
      <w:proofErr w:type="spellEnd"/>
      <w:r w:rsidR="002856AB">
        <w:rPr>
          <w:rFonts w:hint="cs"/>
          <w:rtl/>
          <w:lang w:val="en-GB" w:bidi="ar-EG"/>
        </w:rPr>
        <w:t xml:space="preserve"> </w:t>
      </w:r>
      <w:r w:rsidR="002856AB">
        <w:rPr>
          <w:lang w:val="en-GB" w:bidi="ar-EG"/>
        </w:rPr>
        <w:t>Iridium</w:t>
      </w:r>
      <w:r w:rsidR="002856AB">
        <w:rPr>
          <w:rFonts w:hint="cs"/>
          <w:rtl/>
          <w:lang w:val="es-ES" w:bidi="ar-EG"/>
        </w:rPr>
        <w:t xml:space="preserve"> و</w:t>
      </w:r>
      <w:r w:rsidR="002856AB">
        <w:rPr>
          <w:lang w:val="en-GB" w:bidi="ar-EG"/>
        </w:rPr>
        <w:t>Inmarsat</w:t>
      </w:r>
      <w:r w:rsidR="002856AB">
        <w:rPr>
          <w:rFonts w:hint="cs"/>
          <w:rtl/>
          <w:lang w:val="es-ES" w:bidi="ar-EG"/>
        </w:rPr>
        <w:t xml:space="preserve"> متجاورةً، إما على متن السفينة نفسها أو على متن سفن مختلفة. وتُرسل </w:t>
      </w:r>
      <w:proofErr w:type="spellStart"/>
      <w:r w:rsidR="002856AB">
        <w:rPr>
          <w:rFonts w:hint="cs"/>
          <w:rtl/>
          <w:lang w:val="es-ES" w:bidi="ar-EG"/>
        </w:rPr>
        <w:t>مطاريف</w:t>
      </w:r>
      <w:proofErr w:type="spellEnd"/>
      <w:r w:rsidR="002856AB">
        <w:rPr>
          <w:rFonts w:hint="cs"/>
          <w:rtl/>
          <w:lang w:val="es-ES" w:bidi="ar-EG"/>
        </w:rPr>
        <w:t xml:space="preserve"> </w:t>
      </w:r>
      <w:r w:rsidR="002856AB">
        <w:rPr>
          <w:lang w:val="en-GB" w:bidi="ar-EG"/>
        </w:rPr>
        <w:t>Inmarsat</w:t>
      </w:r>
      <w:r w:rsidR="002856AB">
        <w:rPr>
          <w:rFonts w:hint="cs"/>
          <w:rtl/>
          <w:lang w:val="en-GB" w:bidi="ar-EG"/>
        </w:rPr>
        <w:t xml:space="preserve"> إلى </w:t>
      </w:r>
      <w:proofErr w:type="spellStart"/>
      <w:r w:rsidR="002856AB">
        <w:rPr>
          <w:rFonts w:hint="cs"/>
          <w:rtl/>
          <w:lang w:val="en-GB" w:bidi="ar-EG"/>
        </w:rPr>
        <w:t>السواتل</w:t>
      </w:r>
      <w:proofErr w:type="spellEnd"/>
      <w:r w:rsidR="002856AB">
        <w:rPr>
          <w:rFonts w:hint="cs"/>
          <w:rtl/>
          <w:lang w:val="en-GB" w:bidi="ar-EG"/>
        </w:rPr>
        <w:t xml:space="preserve"> المستقرة بالنسبة إلى الأرض</w:t>
      </w:r>
      <w:r w:rsidR="00043631">
        <w:rPr>
          <w:rFonts w:hint="cs"/>
          <w:rtl/>
          <w:lang w:val="en-GB" w:bidi="ar-EG"/>
        </w:rPr>
        <w:t>،</w:t>
      </w:r>
      <w:r w:rsidR="002856AB">
        <w:rPr>
          <w:rFonts w:hint="cs"/>
          <w:rtl/>
          <w:lang w:val="en-GB" w:bidi="ar-EG"/>
        </w:rPr>
        <w:t xml:space="preserve"> وتبلغ قدرتها</w:t>
      </w:r>
      <w:r w:rsidR="001C56E9">
        <w:rPr>
          <w:rFonts w:hint="cs"/>
          <w:rtl/>
          <w:lang w:val="en-GB" w:bidi="ar-EG"/>
        </w:rPr>
        <w:t xml:space="preserve"> المشعة</w:t>
      </w:r>
      <w:r w:rsidR="002856AB">
        <w:rPr>
          <w:rFonts w:hint="cs"/>
          <w:rtl/>
          <w:lang w:val="en-GB" w:bidi="ar-EG"/>
        </w:rPr>
        <w:t xml:space="preserve"> المكافئة </w:t>
      </w:r>
      <w:proofErr w:type="spellStart"/>
      <w:r w:rsidR="002856AB">
        <w:rPr>
          <w:rFonts w:hint="cs"/>
          <w:rtl/>
          <w:lang w:val="en-GB" w:bidi="ar-EG"/>
        </w:rPr>
        <w:t>المتناحية</w:t>
      </w:r>
      <w:proofErr w:type="spellEnd"/>
      <w:r w:rsidR="001C56E9">
        <w:rPr>
          <w:rFonts w:hint="cs"/>
          <w:rtl/>
          <w:lang w:val="en-GB" w:bidi="ar-EG"/>
        </w:rPr>
        <w:t xml:space="preserve"> </w:t>
      </w:r>
      <w:r w:rsidR="001C56E9">
        <w:rPr>
          <w:lang w:val="en-GB" w:bidi="ar-EG"/>
        </w:rPr>
        <w:t>(</w:t>
      </w:r>
      <w:proofErr w:type="spellStart"/>
      <w:r w:rsidR="001C56E9">
        <w:rPr>
          <w:lang w:val="en-GB" w:bidi="ar-EG"/>
        </w:rPr>
        <w:t>e.i.r.p</w:t>
      </w:r>
      <w:proofErr w:type="spellEnd"/>
      <w:r w:rsidR="001C56E9">
        <w:rPr>
          <w:lang w:val="en-GB" w:bidi="ar-EG"/>
        </w:rPr>
        <w:t>)</w:t>
      </w:r>
      <w:r w:rsidR="002856AB">
        <w:rPr>
          <w:rFonts w:hint="cs"/>
          <w:rtl/>
          <w:lang w:val="en-GB" w:bidi="ar-EG"/>
        </w:rPr>
        <w:t xml:space="preserve"> الاعتيادية نحو </w:t>
      </w:r>
      <w:r w:rsidR="002856AB">
        <w:rPr>
          <w:lang w:val="en-GB" w:bidi="ar-EG"/>
        </w:rPr>
        <w:t>20</w:t>
      </w:r>
      <w:r w:rsidR="002856AB">
        <w:rPr>
          <w:rFonts w:hint="cs"/>
          <w:rtl/>
          <w:lang w:val="es-ES" w:bidi="ar-EG"/>
        </w:rPr>
        <w:t xml:space="preserve"> </w:t>
      </w:r>
      <w:proofErr w:type="spellStart"/>
      <w:r w:rsidR="002856AB">
        <w:rPr>
          <w:lang w:val="en-GB" w:bidi="ar-EG"/>
        </w:rPr>
        <w:t>dBW</w:t>
      </w:r>
      <w:proofErr w:type="spellEnd"/>
      <w:r w:rsidR="002856AB">
        <w:rPr>
          <w:rFonts w:hint="cs"/>
          <w:rtl/>
          <w:lang w:val="es-ES" w:bidi="ar-EG"/>
        </w:rPr>
        <w:t xml:space="preserve">. </w:t>
      </w:r>
      <w:r w:rsidR="001C56E9">
        <w:rPr>
          <w:rFonts w:hint="cs"/>
          <w:rtl/>
          <w:lang w:val="es-ES" w:bidi="ar-EG"/>
        </w:rPr>
        <w:t xml:space="preserve">وبالتالي، يُحتمل أن تستقبل </w:t>
      </w:r>
      <w:proofErr w:type="spellStart"/>
      <w:r w:rsidR="001C56E9">
        <w:rPr>
          <w:rFonts w:hint="cs"/>
          <w:rtl/>
          <w:lang w:val="es-ES" w:bidi="ar-EG"/>
        </w:rPr>
        <w:t>مطاريف</w:t>
      </w:r>
      <w:proofErr w:type="spellEnd"/>
      <w:r w:rsidR="001C56E9">
        <w:rPr>
          <w:rFonts w:hint="cs"/>
          <w:rtl/>
          <w:lang w:val="es-ES" w:bidi="ar-EG"/>
        </w:rPr>
        <w:t xml:space="preserve"> </w:t>
      </w:r>
      <w:r w:rsidR="001C56E9">
        <w:rPr>
          <w:lang w:val="en-GB" w:bidi="ar-EG"/>
        </w:rPr>
        <w:t>Iridium</w:t>
      </w:r>
      <w:r w:rsidR="001C56E9">
        <w:rPr>
          <w:rFonts w:hint="cs"/>
          <w:rtl/>
          <w:lang w:val="en-GB" w:bidi="ar-EG"/>
        </w:rPr>
        <w:t xml:space="preserve"> تدخلًا من </w:t>
      </w:r>
      <w:proofErr w:type="spellStart"/>
      <w:r w:rsidR="001C56E9">
        <w:rPr>
          <w:rFonts w:hint="cs"/>
          <w:rtl/>
          <w:lang w:val="en-GB" w:bidi="ar-EG"/>
        </w:rPr>
        <w:t>مطاريف</w:t>
      </w:r>
      <w:proofErr w:type="spellEnd"/>
      <w:r w:rsidR="001C56E9">
        <w:rPr>
          <w:rFonts w:hint="cs"/>
          <w:rtl/>
          <w:lang w:val="en-GB" w:bidi="ar-EG"/>
        </w:rPr>
        <w:t xml:space="preserve"> </w:t>
      </w:r>
      <w:r w:rsidR="001C56E9">
        <w:rPr>
          <w:lang w:val="en-GB" w:bidi="ar-EG"/>
        </w:rPr>
        <w:t>Inmarsat</w:t>
      </w:r>
      <w:r w:rsidR="001C56E9">
        <w:rPr>
          <w:rFonts w:hint="cs"/>
          <w:rtl/>
          <w:lang w:val="en-GB" w:bidi="ar-EG"/>
        </w:rPr>
        <w:t xml:space="preserve">، </w:t>
      </w:r>
      <w:r w:rsidR="00043631">
        <w:rPr>
          <w:rFonts w:hint="cs"/>
          <w:rtl/>
          <w:lang w:val="en-GB" w:bidi="ar-EG"/>
        </w:rPr>
        <w:t xml:space="preserve">قد ينجم عن </w:t>
      </w:r>
      <w:r w:rsidR="001340F7">
        <w:rPr>
          <w:rFonts w:hint="cs"/>
          <w:rtl/>
          <w:lang w:val="es-ES" w:bidi="ar-EG"/>
        </w:rPr>
        <w:t xml:space="preserve">حجب مستقبِل </w:t>
      </w:r>
      <w:r w:rsidR="001340F7">
        <w:rPr>
          <w:lang w:val="en-GB" w:bidi="ar-EG"/>
        </w:rPr>
        <w:t>Inmarsat</w:t>
      </w:r>
      <w:r w:rsidR="001340F7">
        <w:rPr>
          <w:rFonts w:hint="cs"/>
          <w:rtl/>
          <w:lang w:val="en-GB" w:bidi="ar-EG"/>
        </w:rPr>
        <w:t xml:space="preserve"> أو صدور إرسالات غير مطلوبة، من </w:t>
      </w:r>
      <w:proofErr w:type="spellStart"/>
      <w:r w:rsidR="001340F7">
        <w:rPr>
          <w:rFonts w:hint="cs"/>
          <w:rtl/>
          <w:lang w:val="en-GB" w:bidi="ar-EG"/>
        </w:rPr>
        <w:t>مطاريف</w:t>
      </w:r>
      <w:proofErr w:type="spellEnd"/>
      <w:r w:rsidR="001340F7">
        <w:rPr>
          <w:rFonts w:hint="cs"/>
          <w:rtl/>
          <w:lang w:val="en-GB" w:bidi="ar-EG"/>
        </w:rPr>
        <w:t xml:space="preserve"> </w:t>
      </w:r>
      <w:r w:rsidR="001340F7">
        <w:rPr>
          <w:lang w:val="en-GB" w:bidi="ar-EG"/>
        </w:rPr>
        <w:t>Inmarsat</w:t>
      </w:r>
      <w:r w:rsidR="001340F7">
        <w:rPr>
          <w:rFonts w:hint="cs"/>
          <w:rtl/>
          <w:lang w:val="en-GB" w:bidi="ar-EG"/>
        </w:rPr>
        <w:t xml:space="preserve">. </w:t>
      </w:r>
      <w:r w:rsidR="00EC26CD">
        <w:rPr>
          <w:rFonts w:hint="cs"/>
          <w:rtl/>
          <w:lang w:val="en-GB" w:bidi="ar-EG"/>
        </w:rPr>
        <w:t xml:space="preserve">إلا أنه بموجب القرار </w:t>
      </w:r>
      <w:r w:rsidR="00EC26CD" w:rsidRPr="003A3559">
        <w:rPr>
          <w:b/>
          <w:bCs/>
          <w:lang w:val="en-GB" w:bidi="ar-EG"/>
        </w:rPr>
        <w:t>(Rev.WRC-15)</w:t>
      </w:r>
      <w:r w:rsidR="00EC26CD" w:rsidRPr="003A3559">
        <w:rPr>
          <w:rFonts w:hint="cs"/>
          <w:b/>
          <w:bCs/>
          <w:rtl/>
          <w:lang w:val="es-ES" w:bidi="ar-EG"/>
        </w:rPr>
        <w:t xml:space="preserve"> </w:t>
      </w:r>
      <w:r w:rsidR="00EC26CD" w:rsidRPr="003A3559">
        <w:rPr>
          <w:b/>
          <w:bCs/>
          <w:lang w:val="en-GB" w:bidi="ar-EG"/>
        </w:rPr>
        <w:t>359</w:t>
      </w:r>
      <w:r w:rsidR="00EC26CD">
        <w:rPr>
          <w:rFonts w:hint="cs"/>
          <w:rtl/>
          <w:lang w:val="es-ES" w:bidi="ar-EG"/>
        </w:rPr>
        <w:t>، يمكن أن ت</w:t>
      </w:r>
      <w:r w:rsidR="003A3559">
        <w:rPr>
          <w:rFonts w:hint="cs"/>
          <w:rtl/>
          <w:lang w:val="es-ES" w:bidi="ar-EG"/>
        </w:rPr>
        <w:t>َ</w:t>
      </w:r>
      <w:r w:rsidR="00EC26CD">
        <w:rPr>
          <w:rFonts w:hint="cs"/>
          <w:rtl/>
          <w:lang w:val="es-ES" w:bidi="ar-EG"/>
        </w:rPr>
        <w:t xml:space="preserve">تخذ </w:t>
      </w:r>
      <w:r w:rsidR="005E4EA2">
        <w:rPr>
          <w:rFonts w:hint="cs"/>
          <w:rtl/>
          <w:lang w:val="es-ES" w:bidi="ar-EG"/>
        </w:rPr>
        <w:t xml:space="preserve">خدمة نظام </w:t>
      </w:r>
      <w:proofErr w:type="spellStart"/>
      <w:r w:rsidR="005E4EA2">
        <w:rPr>
          <w:rFonts w:hint="cs"/>
          <w:lang w:val="es-ES" w:bidi="ar-EG"/>
        </w:rPr>
        <w:t>Iridium</w:t>
      </w:r>
      <w:proofErr w:type="spellEnd"/>
      <w:r w:rsidR="00EC26CD">
        <w:rPr>
          <w:rFonts w:hint="cs"/>
          <w:rtl/>
          <w:lang w:val="en-GB" w:bidi="ar-EG"/>
        </w:rPr>
        <w:t xml:space="preserve"> عدداً من التدابير لتخفيف </w:t>
      </w:r>
      <w:r w:rsidR="003A3559">
        <w:rPr>
          <w:rFonts w:hint="cs"/>
          <w:rtl/>
          <w:lang w:val="en-GB" w:bidi="ar-EG"/>
        </w:rPr>
        <w:t>هذا التداخل</w:t>
      </w:r>
      <w:r w:rsidR="003A3559">
        <w:rPr>
          <w:rFonts w:hint="cs"/>
          <w:rtl/>
          <w:lang w:val="es-ES" w:bidi="ar-EG"/>
        </w:rPr>
        <w:t>، منها توخ</w:t>
      </w:r>
      <w:r w:rsidR="00043631">
        <w:rPr>
          <w:rFonts w:hint="cs"/>
          <w:rtl/>
          <w:lang w:val="es-ES" w:bidi="ar-EG"/>
        </w:rPr>
        <w:t>ّ</w:t>
      </w:r>
      <w:r w:rsidR="003A3559">
        <w:rPr>
          <w:rFonts w:hint="cs"/>
          <w:rtl/>
          <w:lang w:val="es-ES" w:bidi="ar-EG"/>
        </w:rPr>
        <w:t xml:space="preserve">ي الحرص في تحديد مواقع </w:t>
      </w:r>
      <w:proofErr w:type="spellStart"/>
      <w:r w:rsidR="003A3559">
        <w:rPr>
          <w:rFonts w:hint="cs"/>
          <w:rtl/>
          <w:lang w:val="es-ES" w:bidi="ar-EG"/>
        </w:rPr>
        <w:t>المطاريف</w:t>
      </w:r>
      <w:proofErr w:type="spellEnd"/>
      <w:r w:rsidR="003A3559">
        <w:rPr>
          <w:rFonts w:hint="cs"/>
          <w:rtl/>
          <w:lang w:val="es-ES" w:bidi="ar-EG"/>
        </w:rPr>
        <w:t xml:space="preserve"> على متن السفينة نفسها وإدماج </w:t>
      </w:r>
      <w:proofErr w:type="spellStart"/>
      <w:r w:rsidR="003A3559">
        <w:rPr>
          <w:rFonts w:hint="cs"/>
          <w:rtl/>
          <w:lang w:val="es-ES" w:bidi="ar-EG"/>
        </w:rPr>
        <w:t>مراشيح</w:t>
      </w:r>
      <w:proofErr w:type="spellEnd"/>
      <w:r w:rsidR="003A3559">
        <w:rPr>
          <w:rFonts w:hint="cs"/>
          <w:rtl/>
          <w:lang w:val="es-ES" w:bidi="ar-EG"/>
        </w:rPr>
        <w:t xml:space="preserve"> في مُستقبلات </w:t>
      </w:r>
      <w:proofErr w:type="spellStart"/>
      <w:r w:rsidR="003A3559">
        <w:rPr>
          <w:rFonts w:hint="cs"/>
          <w:rtl/>
          <w:lang w:val="es-ES" w:bidi="ar-EG"/>
        </w:rPr>
        <w:t>مطاريف</w:t>
      </w:r>
      <w:proofErr w:type="spellEnd"/>
      <w:r w:rsidR="003A3559">
        <w:rPr>
          <w:rFonts w:hint="cs"/>
          <w:rtl/>
          <w:lang w:val="es-ES" w:bidi="ar-EG"/>
        </w:rPr>
        <w:t xml:space="preserve"> </w:t>
      </w:r>
      <w:r w:rsidR="003A3559">
        <w:rPr>
          <w:lang w:val="en-GB" w:bidi="ar-EG"/>
        </w:rPr>
        <w:t>Iridium</w:t>
      </w:r>
      <w:r w:rsidR="003A3559">
        <w:rPr>
          <w:rFonts w:hint="cs"/>
          <w:rtl/>
          <w:lang w:val="en-GB" w:bidi="ar-EG"/>
        </w:rPr>
        <w:t>.</w:t>
      </w:r>
    </w:p>
    <w:p w14:paraId="624C8F84" w14:textId="775B37FC" w:rsidR="00F25261" w:rsidRDefault="00F25261" w:rsidP="005F0510">
      <w:pPr>
        <w:pStyle w:val="enumlev1"/>
        <w:rPr>
          <w:rtl/>
          <w:lang w:bidi="ar-EG"/>
        </w:rPr>
      </w:pPr>
      <w:r>
        <w:rPr>
          <w:lang w:bidi="ar-EG"/>
        </w:rPr>
        <w:t>3</w:t>
      </w:r>
      <w:r>
        <w:rPr>
          <w:lang w:bidi="ar-EG"/>
        </w:rPr>
        <w:tab/>
      </w:r>
      <w:r w:rsidR="005F0510">
        <w:rPr>
          <w:rFonts w:hint="cs"/>
          <w:rtl/>
          <w:lang w:bidi="ar-EG"/>
        </w:rPr>
        <w:t xml:space="preserve">تتعلق المسألة الثالثة بحماية خدمة الفلك الراديو من الإرسالات غير المطلوبة الصادرة من </w:t>
      </w:r>
      <w:proofErr w:type="spellStart"/>
      <w:r w:rsidR="005F0510">
        <w:rPr>
          <w:rFonts w:hint="cs"/>
          <w:rtl/>
          <w:lang w:bidi="ar-EG"/>
        </w:rPr>
        <w:t>سواتل</w:t>
      </w:r>
      <w:proofErr w:type="spellEnd"/>
      <w:r w:rsidR="005F0510">
        <w:rPr>
          <w:rFonts w:hint="cs"/>
          <w:rtl/>
          <w:lang w:bidi="ar-EG"/>
        </w:rPr>
        <w:t xml:space="preserve"> </w:t>
      </w:r>
      <w:r w:rsidR="005F0510">
        <w:rPr>
          <w:lang w:val="en-GB" w:bidi="ar-EG"/>
        </w:rPr>
        <w:t>Iridium</w:t>
      </w:r>
      <w:r w:rsidR="005F0510">
        <w:rPr>
          <w:rFonts w:hint="cs"/>
          <w:rtl/>
          <w:lang w:val="en-GB" w:bidi="ar-EG"/>
        </w:rPr>
        <w:t>.</w:t>
      </w:r>
    </w:p>
    <w:p w14:paraId="7FC5C08E" w14:textId="046CB2A2" w:rsidR="00F25261" w:rsidRPr="00F25261" w:rsidRDefault="005158F0" w:rsidP="00F25261">
      <w:pPr>
        <w:rPr>
          <w:rtl/>
        </w:rPr>
      </w:pPr>
      <w:r w:rsidRPr="005158F0">
        <w:rPr>
          <w:rFonts w:hint="cs"/>
          <w:rtl/>
          <w:lang w:val="es-ES" w:bidi="ar-EG"/>
        </w:rPr>
        <w:t xml:space="preserve">وفي سياق تحديد نطاق هذا البند من جدول الأعمال والشروط المتصلة به، </w:t>
      </w:r>
      <w:r w:rsidRPr="005158F0">
        <w:rPr>
          <w:rFonts w:hint="cs"/>
          <w:rtl/>
        </w:rPr>
        <w:t xml:space="preserve">قرر المؤتمر العالمي للاتصالات الراديوية لعام </w:t>
      </w:r>
      <w:r w:rsidRPr="005158F0">
        <w:rPr>
          <w:lang w:val="en-GB"/>
        </w:rPr>
        <w:t>2015</w:t>
      </w:r>
      <w:r w:rsidRPr="005158F0">
        <w:rPr>
          <w:rFonts w:hint="cs"/>
          <w:rtl/>
          <w:lang w:val="es-ES" w:bidi="ar-EG"/>
        </w:rPr>
        <w:t xml:space="preserve"> </w:t>
      </w:r>
      <w:r w:rsidRPr="005158F0">
        <w:rPr>
          <w:lang w:val="es-ES" w:bidi="ar-EG"/>
        </w:rPr>
        <w:t>(WRC-15</w:t>
      </w:r>
      <w:proofErr w:type="gramStart"/>
      <w:r w:rsidRPr="005158F0">
        <w:rPr>
          <w:lang w:val="es-ES" w:bidi="ar-EG"/>
        </w:rPr>
        <w:t>)</w:t>
      </w:r>
      <w:r w:rsidRPr="005158F0">
        <w:rPr>
          <w:rFonts w:hint="cs"/>
          <w:rtl/>
          <w:lang w:val="es-ES" w:bidi="ar-EG"/>
        </w:rPr>
        <w:t xml:space="preserve"> </w:t>
      </w:r>
      <w:r w:rsidRPr="005158F0">
        <w:rPr>
          <w:lang w:val="es-ES" w:bidi="ar-EG"/>
        </w:rPr>
        <w:t xml:space="preserve"> </w:t>
      </w:r>
      <w:r w:rsidRPr="005158F0">
        <w:rPr>
          <w:rFonts w:hint="cs"/>
          <w:rtl/>
          <w:lang w:val="en-GB"/>
        </w:rPr>
        <w:t>في</w:t>
      </w:r>
      <w:proofErr w:type="gramEnd"/>
      <w:r w:rsidRPr="005158F0">
        <w:rPr>
          <w:rFonts w:hint="cs"/>
          <w:rtl/>
          <w:lang w:val="en-GB"/>
        </w:rPr>
        <w:t xml:space="preserve"> الفقرة </w:t>
      </w:r>
      <w:r w:rsidRPr="005158F0">
        <w:rPr>
          <w:rFonts w:hint="cs"/>
          <w:i/>
          <w:iCs/>
          <w:rtl/>
          <w:lang w:val="en-GB"/>
        </w:rPr>
        <w:t>هـ)</w:t>
      </w:r>
      <w:r w:rsidRPr="005158F0">
        <w:rPr>
          <w:rFonts w:hint="cs"/>
          <w:rtl/>
          <w:lang w:val="en-GB"/>
        </w:rPr>
        <w:t xml:space="preserve"> من </w:t>
      </w:r>
      <w:r w:rsidRPr="005158F0">
        <w:rPr>
          <w:rFonts w:hint="cs"/>
          <w:i/>
          <w:iCs/>
          <w:rtl/>
          <w:lang w:val="en-GB"/>
        </w:rPr>
        <w:t>"وإذ يضع في اعتباره"</w:t>
      </w:r>
      <w:r w:rsidRPr="005158F0">
        <w:rPr>
          <w:rFonts w:hint="cs"/>
          <w:rtl/>
          <w:lang w:val="en-GB"/>
        </w:rPr>
        <w:t xml:space="preserve"> من القرار </w:t>
      </w:r>
      <w:r w:rsidRPr="005158F0">
        <w:rPr>
          <w:b/>
          <w:bCs/>
          <w:lang w:val="en-GB" w:bidi="ar-EG"/>
        </w:rPr>
        <w:t>(Rev.WRC-15)</w:t>
      </w:r>
      <w:r w:rsidRPr="005158F0">
        <w:rPr>
          <w:rFonts w:hint="cs"/>
          <w:b/>
          <w:bCs/>
          <w:rtl/>
          <w:lang w:val="es-ES" w:bidi="ar-EG"/>
        </w:rPr>
        <w:t xml:space="preserve"> </w:t>
      </w:r>
      <w:r w:rsidRPr="005158F0">
        <w:rPr>
          <w:b/>
          <w:bCs/>
          <w:lang w:val="en-GB" w:bidi="ar-EG"/>
        </w:rPr>
        <w:t>359</w:t>
      </w:r>
      <w:r w:rsidRPr="005158F0">
        <w:rPr>
          <w:rFonts w:hint="cs"/>
          <w:rtl/>
          <w:lang w:val="en-GB" w:bidi="ar-EG"/>
        </w:rPr>
        <w:t xml:space="preserve"> "</w:t>
      </w:r>
      <w:r w:rsidRPr="005158F0">
        <w:rPr>
          <w:rFonts w:hint="cs"/>
          <w:b/>
          <w:bCs/>
          <w:i/>
          <w:iCs/>
          <w:rtl/>
          <w:lang w:val="en-GB" w:bidi="ar-EG"/>
        </w:rPr>
        <w:t xml:space="preserve">أن </w:t>
      </w:r>
      <w:r w:rsidR="00F25261" w:rsidRPr="005158F0">
        <w:rPr>
          <w:rFonts w:hint="cs"/>
          <w:b/>
          <w:bCs/>
          <w:i/>
          <w:iCs/>
          <w:rtl/>
        </w:rPr>
        <w:t xml:space="preserve">على الأنظمة </w:t>
      </w:r>
      <w:r w:rsidR="00F25261" w:rsidRPr="005158F0">
        <w:rPr>
          <w:b/>
          <w:bCs/>
          <w:i/>
          <w:iCs/>
          <w:rtl/>
        </w:rPr>
        <w:t>العالمي</w:t>
      </w:r>
      <w:r w:rsidR="00F25261" w:rsidRPr="005158F0">
        <w:rPr>
          <w:rFonts w:hint="cs"/>
          <w:b/>
          <w:bCs/>
          <w:i/>
          <w:iCs/>
          <w:rtl/>
        </w:rPr>
        <w:t>ة</w:t>
      </w:r>
      <w:r w:rsidR="00F25261" w:rsidRPr="005158F0">
        <w:rPr>
          <w:b/>
          <w:bCs/>
          <w:i/>
          <w:iCs/>
          <w:rtl/>
        </w:rPr>
        <w:t xml:space="preserve"> </w:t>
      </w:r>
      <w:r w:rsidR="00F25261" w:rsidRPr="005158F0">
        <w:rPr>
          <w:rFonts w:hint="cs"/>
          <w:b/>
          <w:bCs/>
          <w:i/>
          <w:iCs/>
          <w:rtl/>
        </w:rPr>
        <w:t>للاستغاثة</w:t>
      </w:r>
      <w:r w:rsidR="00F25261" w:rsidRPr="005158F0">
        <w:rPr>
          <w:b/>
          <w:bCs/>
          <w:i/>
          <w:iCs/>
          <w:rtl/>
        </w:rPr>
        <w:t xml:space="preserve"> والسلامة في البحر</w:t>
      </w:r>
      <w:r w:rsidR="00F25261" w:rsidRPr="005158F0">
        <w:rPr>
          <w:rFonts w:hint="cs"/>
          <w:b/>
          <w:bCs/>
          <w:i/>
          <w:iCs/>
          <w:rtl/>
        </w:rPr>
        <w:t xml:space="preserve"> </w:t>
      </w:r>
      <w:proofErr w:type="spellStart"/>
      <w:r w:rsidR="00F25261" w:rsidRPr="005158F0">
        <w:rPr>
          <w:rFonts w:hint="cs"/>
          <w:b/>
          <w:bCs/>
          <w:i/>
          <w:iCs/>
          <w:rtl/>
        </w:rPr>
        <w:t>الساتلية</w:t>
      </w:r>
      <w:proofErr w:type="spellEnd"/>
      <w:r w:rsidR="00F25261" w:rsidRPr="005158F0">
        <w:rPr>
          <w:rFonts w:hint="cs"/>
          <w:b/>
          <w:bCs/>
          <w:i/>
          <w:iCs/>
          <w:rtl/>
        </w:rPr>
        <w:t xml:space="preserve"> توفير الحماية من التداخل الضار وفق لوائح الراديو للخدمات القائمة، بما</w:t>
      </w:r>
      <w:r w:rsidR="00F25261" w:rsidRPr="005158F0">
        <w:rPr>
          <w:rFonts w:hint="eastAsia"/>
          <w:b/>
          <w:bCs/>
          <w:i/>
          <w:iCs/>
        </w:rPr>
        <w:t> </w:t>
      </w:r>
      <w:r w:rsidR="00F25261" w:rsidRPr="005158F0">
        <w:rPr>
          <w:rFonts w:hint="cs"/>
          <w:b/>
          <w:bCs/>
          <w:i/>
          <w:iCs/>
          <w:rtl/>
        </w:rPr>
        <w:t>فيها تلك العاملة في النطاقات الترددية المجاورة، وأن الأنظمة</w:t>
      </w:r>
      <w:r w:rsidR="00F25261" w:rsidRPr="005158F0">
        <w:rPr>
          <w:b/>
          <w:bCs/>
          <w:i/>
          <w:iCs/>
          <w:rtl/>
        </w:rPr>
        <w:t xml:space="preserve"> العالمي</w:t>
      </w:r>
      <w:r w:rsidR="00F25261" w:rsidRPr="005158F0">
        <w:rPr>
          <w:rFonts w:hint="cs"/>
          <w:b/>
          <w:bCs/>
          <w:i/>
          <w:iCs/>
          <w:rtl/>
        </w:rPr>
        <w:t>ة</w:t>
      </w:r>
      <w:r w:rsidR="00F25261" w:rsidRPr="005158F0">
        <w:rPr>
          <w:b/>
          <w:bCs/>
          <w:i/>
          <w:iCs/>
          <w:rtl/>
        </w:rPr>
        <w:t xml:space="preserve"> </w:t>
      </w:r>
      <w:r w:rsidR="00F25261" w:rsidRPr="005158F0">
        <w:rPr>
          <w:rFonts w:hint="cs"/>
          <w:b/>
          <w:bCs/>
          <w:i/>
          <w:iCs/>
          <w:rtl/>
        </w:rPr>
        <w:t>للاستغاثة</w:t>
      </w:r>
      <w:r w:rsidR="00F25261" w:rsidRPr="005158F0">
        <w:rPr>
          <w:b/>
          <w:bCs/>
          <w:i/>
          <w:iCs/>
          <w:rtl/>
        </w:rPr>
        <w:t xml:space="preserve"> والسلامة في البحر</w:t>
      </w:r>
      <w:r w:rsidR="00F25261" w:rsidRPr="005158F0">
        <w:rPr>
          <w:rFonts w:hint="cs"/>
          <w:b/>
          <w:bCs/>
          <w:i/>
          <w:iCs/>
          <w:rtl/>
        </w:rPr>
        <w:t xml:space="preserve"> </w:t>
      </w:r>
      <w:proofErr w:type="spellStart"/>
      <w:r w:rsidR="00F25261" w:rsidRPr="005158F0">
        <w:rPr>
          <w:rFonts w:hint="cs"/>
          <w:b/>
          <w:bCs/>
          <w:i/>
          <w:iCs/>
          <w:rtl/>
        </w:rPr>
        <w:t>الساتلية</w:t>
      </w:r>
      <w:proofErr w:type="spellEnd"/>
      <w:r w:rsidR="00F25261" w:rsidRPr="005158F0">
        <w:rPr>
          <w:rFonts w:hint="cs"/>
          <w:b/>
          <w:bCs/>
          <w:i/>
          <w:iCs/>
          <w:rtl/>
        </w:rPr>
        <w:t xml:space="preserve"> ينبغي أن تعمل ضمن بيئة التداخل للأنظمة القائمة،</w:t>
      </w:r>
      <w:r w:rsidRPr="005158F0">
        <w:rPr>
          <w:rFonts w:hint="cs"/>
          <w:b/>
          <w:bCs/>
          <w:i/>
          <w:iCs/>
          <w:rtl/>
        </w:rPr>
        <w:t>".</w:t>
      </w:r>
    </w:p>
    <w:p w14:paraId="57ADFC11" w14:textId="1096D3FD" w:rsidR="00FC4858" w:rsidRPr="00AF6023" w:rsidRDefault="005158F0" w:rsidP="008614B8">
      <w:pPr>
        <w:rPr>
          <w:rtl/>
          <w:lang w:val="es-ES"/>
        </w:rPr>
      </w:pPr>
      <w:r>
        <w:rPr>
          <w:rFonts w:hint="cs"/>
          <w:rtl/>
        </w:rPr>
        <w:t xml:space="preserve">فمن المهم أن تواصل </w:t>
      </w:r>
      <w:r w:rsidR="005E4EA2">
        <w:rPr>
          <w:rFonts w:hint="cs"/>
          <w:rtl/>
        </w:rPr>
        <w:t xml:space="preserve">خدمة نظام </w:t>
      </w:r>
      <w:r w:rsidR="005E4EA2">
        <w:rPr>
          <w:rFonts w:hint="cs"/>
        </w:rPr>
        <w:t>Iridium</w:t>
      </w:r>
      <w:r>
        <w:rPr>
          <w:rFonts w:hint="cs"/>
          <w:rtl/>
          <w:lang w:val="en-GB" w:bidi="ar-EG"/>
        </w:rPr>
        <w:t xml:space="preserve"> العمل في بيئة التداخل القائمة، وينبغي ألا ت</w:t>
      </w:r>
      <w:r w:rsidR="00043631">
        <w:rPr>
          <w:rFonts w:hint="cs"/>
          <w:rtl/>
          <w:lang w:val="en-GB" w:bidi="ar-EG"/>
        </w:rPr>
        <w:t>َ</w:t>
      </w:r>
      <w:r>
        <w:rPr>
          <w:rFonts w:hint="cs"/>
          <w:rtl/>
          <w:lang w:val="en-GB" w:bidi="ar-EG"/>
        </w:rPr>
        <w:t xml:space="preserve">فرض أي قيود إضافية على العمليات المستقرة بالنسبة إلى الأرض في </w:t>
      </w:r>
      <w:r w:rsidR="00AF6023">
        <w:rPr>
          <w:rFonts w:hint="cs"/>
          <w:rtl/>
          <w:lang w:val="en-GB" w:bidi="ar-EG"/>
        </w:rPr>
        <w:t xml:space="preserve">الخدمة المتنقلة </w:t>
      </w:r>
      <w:proofErr w:type="spellStart"/>
      <w:r w:rsidR="00AF6023">
        <w:rPr>
          <w:rFonts w:hint="cs"/>
          <w:rtl/>
          <w:lang w:val="en-GB" w:bidi="ar-EG"/>
        </w:rPr>
        <w:t>الساتلية</w:t>
      </w:r>
      <w:proofErr w:type="spellEnd"/>
      <w:r w:rsidR="00AF6023">
        <w:rPr>
          <w:rFonts w:hint="cs"/>
          <w:rtl/>
          <w:lang w:val="en-GB" w:bidi="ar-EG"/>
        </w:rPr>
        <w:t xml:space="preserve">، المستعملة أيضًا في خدمة </w:t>
      </w:r>
      <w:r w:rsidR="00AF6023">
        <w:rPr>
          <w:lang w:val="en-GB" w:bidi="ar-EG"/>
        </w:rPr>
        <w:t>GMDSS</w:t>
      </w:r>
      <w:r w:rsidR="00AF6023">
        <w:rPr>
          <w:rFonts w:hint="cs"/>
          <w:rtl/>
          <w:lang w:val="es-ES" w:bidi="ar-EG"/>
        </w:rPr>
        <w:t xml:space="preserve"> على متن السفن.</w:t>
      </w:r>
    </w:p>
    <w:p w14:paraId="0F4801D3" w14:textId="18D0F435" w:rsidR="00F25261" w:rsidRDefault="00F25261" w:rsidP="00F25261">
      <w:pPr>
        <w:pStyle w:val="Heading2"/>
        <w:rPr>
          <w:rtl/>
        </w:rPr>
      </w:pPr>
      <w:r>
        <w:t>2.1</w:t>
      </w:r>
      <w:r>
        <w:tab/>
      </w:r>
      <w:r w:rsidR="00AF6023">
        <w:rPr>
          <w:rFonts w:hint="cs"/>
          <w:rtl/>
        </w:rPr>
        <w:t>تقدم سير دراسات قطاع الاتصالات الراديوية</w:t>
      </w:r>
    </w:p>
    <w:p w14:paraId="7DCF3B1E" w14:textId="542B66F3" w:rsidR="00FC4858" w:rsidRPr="00AF6023" w:rsidRDefault="00AF6023" w:rsidP="008614B8">
      <w:pPr>
        <w:rPr>
          <w:rtl/>
          <w:lang w:val="es-ES" w:bidi="ar-EG"/>
        </w:rPr>
      </w:pPr>
      <w:r>
        <w:rPr>
          <w:rFonts w:hint="cs"/>
          <w:rtl/>
        </w:rPr>
        <w:t xml:space="preserve">كانت فرقة العمل </w:t>
      </w:r>
      <w:r>
        <w:rPr>
          <w:lang w:val="en-GB"/>
        </w:rPr>
        <w:t>(WP)</w:t>
      </w:r>
      <w:r>
        <w:rPr>
          <w:rFonts w:hint="cs"/>
          <w:rtl/>
          <w:lang w:val="es-ES" w:bidi="ar-EG"/>
        </w:rPr>
        <w:t xml:space="preserve"> </w:t>
      </w:r>
      <w:r>
        <w:rPr>
          <w:lang w:val="en-GB" w:bidi="ar-EG"/>
        </w:rPr>
        <w:t>5B</w:t>
      </w:r>
      <w:r>
        <w:rPr>
          <w:rFonts w:hint="cs"/>
          <w:rtl/>
          <w:lang w:val="es-ES" w:bidi="ar-EG"/>
        </w:rPr>
        <w:t xml:space="preserve"> الفرقة المسؤولة عن البند </w:t>
      </w:r>
      <w:r>
        <w:rPr>
          <w:lang w:val="en-GB" w:bidi="ar-EG"/>
        </w:rPr>
        <w:t>8.1</w:t>
      </w:r>
      <w:r>
        <w:rPr>
          <w:rFonts w:hint="cs"/>
          <w:rtl/>
          <w:lang w:bidi="ar-EG"/>
        </w:rPr>
        <w:t xml:space="preserve"> من جدول الأعمال، بينما كانت فرقتا العمل </w:t>
      </w:r>
      <w:r>
        <w:rPr>
          <w:lang w:val="en-GB" w:bidi="ar-EG"/>
        </w:rPr>
        <w:t>4C</w:t>
      </w:r>
      <w:r>
        <w:rPr>
          <w:rFonts w:hint="cs"/>
          <w:rtl/>
          <w:lang w:val="es-ES" w:bidi="ar-EG"/>
        </w:rPr>
        <w:t xml:space="preserve"> و</w:t>
      </w:r>
      <w:r>
        <w:rPr>
          <w:lang w:val="en-GB" w:bidi="ar-EG"/>
        </w:rPr>
        <w:t>7D</w:t>
      </w:r>
      <w:r>
        <w:rPr>
          <w:rFonts w:hint="cs"/>
          <w:rtl/>
          <w:lang w:val="es-ES" w:bidi="ar-EG"/>
        </w:rPr>
        <w:t xml:space="preserve"> الفرقتين المعنيتين به. وكانت أحكام الفقرة </w:t>
      </w:r>
      <w:r w:rsidRPr="00AF6023">
        <w:rPr>
          <w:b/>
          <w:bCs/>
          <w:i/>
          <w:iCs/>
          <w:lang w:val="en-GB" w:bidi="ar-EG"/>
        </w:rPr>
        <w:t>2</w:t>
      </w:r>
      <w:r w:rsidRPr="00AF6023">
        <w:rPr>
          <w:rFonts w:hint="cs"/>
          <w:b/>
          <w:bCs/>
          <w:i/>
          <w:iCs/>
          <w:rtl/>
          <w:lang w:val="es-ES" w:bidi="ar-EG"/>
        </w:rPr>
        <w:t xml:space="preserve"> </w:t>
      </w:r>
      <w:r>
        <w:rPr>
          <w:rFonts w:hint="cs"/>
          <w:rtl/>
          <w:lang w:val="es-ES" w:bidi="ar-EG"/>
        </w:rPr>
        <w:t>من</w:t>
      </w:r>
      <w:r w:rsidRPr="00AF6023">
        <w:rPr>
          <w:rFonts w:hint="cs"/>
          <w:b/>
          <w:bCs/>
          <w:i/>
          <w:iCs/>
          <w:rtl/>
          <w:lang w:val="es-ES" w:bidi="ar-EG"/>
        </w:rPr>
        <w:t xml:space="preserve"> "يقرر</w:t>
      </w:r>
      <w:r w:rsidRPr="00AF6023">
        <w:rPr>
          <w:rFonts w:hint="cs"/>
          <w:i/>
          <w:iCs/>
          <w:rtl/>
          <w:lang w:val="es-ES" w:bidi="ar-EG"/>
        </w:rPr>
        <w:t xml:space="preserve">" </w:t>
      </w:r>
      <w:r>
        <w:rPr>
          <w:rFonts w:hint="cs"/>
          <w:rtl/>
          <w:lang w:val="es-ES" w:bidi="ar-EG"/>
        </w:rPr>
        <w:t xml:space="preserve">قيد الاستعراض في فرقة العمل </w:t>
      </w:r>
      <w:r>
        <w:rPr>
          <w:lang w:val="en-GB" w:bidi="ar-EG"/>
        </w:rPr>
        <w:t>4C</w:t>
      </w:r>
      <w:r>
        <w:rPr>
          <w:rFonts w:hint="cs"/>
          <w:rtl/>
          <w:lang w:val="es-ES" w:bidi="ar-EG"/>
        </w:rPr>
        <w:t xml:space="preserve">. ولتنفيذ أحكام تلك الفقرة، يبين القسم </w:t>
      </w:r>
      <w:r>
        <w:rPr>
          <w:lang w:val="en-GB" w:bidi="ar-EG"/>
        </w:rPr>
        <w:t>2.4/8.1/5</w:t>
      </w:r>
      <w:r>
        <w:rPr>
          <w:rFonts w:hint="cs"/>
          <w:rtl/>
          <w:lang w:val="es-ES" w:bidi="ar-EG"/>
        </w:rPr>
        <w:t xml:space="preserve"> من تقرير الاجتماع التحضيري للمؤتمر أربعة أساليب.</w:t>
      </w:r>
    </w:p>
    <w:p w14:paraId="522308DE" w14:textId="20195E1B" w:rsidR="00FC4858" w:rsidRPr="00F25261" w:rsidRDefault="00F25261" w:rsidP="009E156D">
      <w:pPr>
        <w:pStyle w:val="enumlev1"/>
        <w:keepNext/>
        <w:keepLines/>
        <w:rPr>
          <w:b/>
          <w:bCs/>
        </w:rPr>
      </w:pPr>
      <w:r w:rsidRPr="00F25261">
        <w:rPr>
          <w:rFonts w:hint="cs"/>
          <w:b/>
          <w:bCs/>
          <w:rtl/>
        </w:rPr>
        <w:lastRenderedPageBreak/>
        <w:t> أ </w:t>
      </w:r>
      <w:r w:rsidRPr="00F25261">
        <w:rPr>
          <w:b/>
          <w:bCs/>
          <w:rtl/>
        </w:rPr>
        <w:tab/>
      </w:r>
      <w:r w:rsidRPr="00F25261">
        <w:rPr>
          <w:rFonts w:hint="cs"/>
          <w:b/>
          <w:bCs/>
          <w:rtl/>
        </w:rPr>
        <w:t xml:space="preserve">التأثير المحتمل للتعديلات الممكنة في أحكام لوائح الراديو بشأن التقاسم والتوافق مع الخدمات والأنظمة الأخرى </w:t>
      </w:r>
    </w:p>
    <w:p w14:paraId="26A6909C" w14:textId="300C7318" w:rsidR="00FC4858" w:rsidRPr="00583D0D" w:rsidRDefault="00F25261" w:rsidP="008614B8">
      <w:pPr>
        <w:rPr>
          <w:rtl/>
          <w:lang w:val="es-ES" w:bidi="ar-EG"/>
        </w:rPr>
      </w:pPr>
      <w:r>
        <w:rPr>
          <w:rFonts w:hint="cs"/>
          <w:rtl/>
          <w:lang w:bidi="ar-EG"/>
        </w:rPr>
        <w:t>’</w:t>
      </w:r>
      <w:r>
        <w:rPr>
          <w:lang w:bidi="ar-EG"/>
        </w:rPr>
        <w:t>1</w:t>
      </w:r>
      <w:r>
        <w:rPr>
          <w:rFonts w:hint="cs"/>
          <w:rtl/>
          <w:lang w:bidi="ar-EG"/>
        </w:rPr>
        <w:t>‘</w:t>
      </w:r>
      <w:r>
        <w:rPr>
          <w:lang w:bidi="ar-EG"/>
        </w:rPr>
        <w:tab/>
      </w:r>
      <w:r w:rsidR="00583D0D">
        <w:rPr>
          <w:rFonts w:hint="cs"/>
          <w:rtl/>
          <w:lang w:bidi="ar-EG"/>
        </w:rPr>
        <w:t>م</w:t>
      </w:r>
      <w:r w:rsidR="005454F6">
        <w:rPr>
          <w:rFonts w:hint="cs"/>
          <w:rtl/>
          <w:lang w:bidi="ar-EG"/>
        </w:rPr>
        <w:t>نذ</w:t>
      </w:r>
      <w:r w:rsidR="00583D0D">
        <w:rPr>
          <w:rFonts w:hint="cs"/>
          <w:rtl/>
          <w:lang w:bidi="ar-EG"/>
        </w:rPr>
        <w:t xml:space="preserve"> عام </w:t>
      </w:r>
      <w:r w:rsidR="00583D0D">
        <w:rPr>
          <w:lang w:val="en-GB" w:bidi="ar-EG"/>
        </w:rPr>
        <w:t>1998</w:t>
      </w:r>
      <w:r w:rsidR="00583D0D">
        <w:rPr>
          <w:rFonts w:hint="cs"/>
          <w:rtl/>
          <w:lang w:val="es-ES" w:bidi="ar-EG"/>
        </w:rPr>
        <w:t xml:space="preserve">، تعرّضت خدمة الفلك الراديوي </w:t>
      </w:r>
      <w:r w:rsidR="00583D0D">
        <w:rPr>
          <w:lang w:val="en-GB" w:bidi="ar-EG"/>
        </w:rPr>
        <w:t>(RAS)</w:t>
      </w:r>
      <w:r w:rsidR="00583D0D">
        <w:rPr>
          <w:rFonts w:hint="cs"/>
          <w:rtl/>
          <w:lang w:val="es-ES" w:bidi="ar-EG"/>
        </w:rPr>
        <w:t xml:space="preserve"> في نطاق التردد </w:t>
      </w:r>
      <w:r w:rsidR="00BD3934">
        <w:rPr>
          <w:lang w:bidi="ar-EG"/>
        </w:rPr>
        <w:t>MHz 1 613,8-1 610,6</w:t>
      </w:r>
      <w:r w:rsidR="00BD3934">
        <w:rPr>
          <w:rFonts w:hint="cs"/>
          <w:rtl/>
          <w:lang w:bidi="ar-EG"/>
        </w:rPr>
        <w:t xml:space="preserve"> </w:t>
      </w:r>
      <w:r w:rsidR="00583D0D">
        <w:rPr>
          <w:rFonts w:hint="cs"/>
          <w:rtl/>
          <w:lang w:bidi="ar-EG"/>
        </w:rPr>
        <w:t xml:space="preserve">لتداخل ضار من عمليات </w:t>
      </w:r>
      <w:r w:rsidR="00583D0D">
        <w:rPr>
          <w:lang w:val="en-GB" w:bidi="ar-EG"/>
        </w:rPr>
        <w:t>Iridium</w:t>
      </w:r>
      <w:r w:rsidR="00583D0D">
        <w:rPr>
          <w:rFonts w:hint="cs"/>
          <w:rtl/>
          <w:lang w:val="en-GB" w:bidi="ar-EG"/>
        </w:rPr>
        <w:t xml:space="preserve"> في الخدمة المتنقلة </w:t>
      </w:r>
      <w:proofErr w:type="spellStart"/>
      <w:r w:rsidR="00583D0D">
        <w:rPr>
          <w:rFonts w:hint="cs"/>
          <w:rtl/>
          <w:lang w:val="en-GB" w:bidi="ar-EG"/>
        </w:rPr>
        <w:t>الساتلية</w:t>
      </w:r>
      <w:proofErr w:type="spellEnd"/>
      <w:r w:rsidR="00583D0D">
        <w:rPr>
          <w:rFonts w:hint="cs"/>
          <w:rtl/>
          <w:lang w:val="en-GB" w:bidi="ar-EG"/>
        </w:rPr>
        <w:t xml:space="preserve"> في نطاق التردد</w:t>
      </w:r>
      <w:r w:rsidR="00583D0D">
        <w:rPr>
          <w:rFonts w:hint="cs"/>
          <w:rtl/>
          <w:lang w:bidi="ar-EG"/>
        </w:rPr>
        <w:t xml:space="preserve"> </w:t>
      </w:r>
      <w:r>
        <w:rPr>
          <w:lang w:bidi="ar-EG"/>
        </w:rPr>
        <w:t>MHz 1 626,5-1 613,8</w:t>
      </w:r>
      <w:r>
        <w:rPr>
          <w:rFonts w:hint="cs"/>
          <w:rtl/>
          <w:lang w:bidi="ar-EG"/>
        </w:rPr>
        <w:t xml:space="preserve"> </w:t>
      </w:r>
      <w:r w:rsidR="00583D0D">
        <w:rPr>
          <w:rFonts w:hint="cs"/>
          <w:rtl/>
          <w:lang w:bidi="ar-EG"/>
        </w:rPr>
        <w:t xml:space="preserve">المجاور، رغم تطبيق أحكام الرقم </w:t>
      </w:r>
      <w:r w:rsidR="00583D0D" w:rsidRPr="00583D0D">
        <w:rPr>
          <w:b/>
          <w:bCs/>
          <w:lang w:val="en-GB" w:bidi="ar-EG"/>
        </w:rPr>
        <w:t>372.5</w:t>
      </w:r>
      <w:r w:rsidR="00583D0D" w:rsidRPr="00583D0D">
        <w:rPr>
          <w:rFonts w:hint="cs"/>
          <w:b/>
          <w:bCs/>
          <w:rtl/>
          <w:lang w:val="es-ES" w:bidi="ar-EG"/>
        </w:rPr>
        <w:t xml:space="preserve"> </w:t>
      </w:r>
      <w:r w:rsidR="00583D0D">
        <w:rPr>
          <w:rFonts w:hint="cs"/>
          <w:rtl/>
          <w:lang w:val="es-ES" w:bidi="ar-EG"/>
        </w:rPr>
        <w:t>من لوائح الراديو.</w:t>
      </w:r>
    </w:p>
    <w:p w14:paraId="14E36478" w14:textId="1477D0E6" w:rsidR="00FC4858" w:rsidRPr="00583D0D" w:rsidRDefault="00F25261" w:rsidP="00583D0D">
      <w:pPr>
        <w:pStyle w:val="enumlev2"/>
        <w:rPr>
          <w:rtl/>
          <w:lang w:val="es-ES" w:bidi="ar-EG"/>
        </w:rPr>
      </w:pPr>
      <w:r>
        <w:rPr>
          <w:rFonts w:hint="cs"/>
          <w:rtl/>
        </w:rPr>
        <w:t> </w:t>
      </w:r>
      <w:proofErr w:type="gramStart"/>
      <w:r>
        <w:rPr>
          <w:rFonts w:hint="cs"/>
          <w:rtl/>
        </w:rPr>
        <w:t>أ )</w:t>
      </w:r>
      <w:proofErr w:type="gramEnd"/>
      <w:r>
        <w:rPr>
          <w:rtl/>
        </w:rPr>
        <w:tab/>
      </w:r>
      <w:r w:rsidR="00583D0D">
        <w:rPr>
          <w:rFonts w:hint="cs"/>
          <w:rtl/>
          <w:lang w:bidi="ar-EG"/>
        </w:rPr>
        <w:t xml:space="preserve">وقد أُبلغ الاتحاد الدولي للاتصالات بهذا التداخل، ووُثِّق التداخل في تقارير لجنة الاتصالات الإلكترونية </w:t>
      </w:r>
      <w:r w:rsidR="00583D0D">
        <w:rPr>
          <w:lang w:val="en-GB" w:bidi="ar-EG"/>
        </w:rPr>
        <w:t>(ECC)</w:t>
      </w:r>
      <w:r w:rsidR="00583D0D">
        <w:rPr>
          <w:rFonts w:hint="cs"/>
          <w:rtl/>
          <w:lang w:val="es-ES" w:bidi="ar-EG"/>
        </w:rPr>
        <w:t xml:space="preserve"> (</w:t>
      </w:r>
      <w:r w:rsidR="00583D0D">
        <w:rPr>
          <w:lang w:val="en-GB" w:bidi="ar-EG"/>
        </w:rPr>
        <w:t>171</w:t>
      </w:r>
      <w:r w:rsidR="00583D0D">
        <w:rPr>
          <w:rFonts w:hint="cs"/>
          <w:rtl/>
          <w:lang w:val="es-ES" w:bidi="ar-EG"/>
        </w:rPr>
        <w:t xml:space="preserve"> و</w:t>
      </w:r>
      <w:r w:rsidR="00583D0D">
        <w:rPr>
          <w:lang w:val="en-GB" w:bidi="ar-EG"/>
        </w:rPr>
        <w:t>226</w:t>
      </w:r>
      <w:r w:rsidR="00583D0D">
        <w:rPr>
          <w:rFonts w:hint="cs"/>
          <w:rtl/>
          <w:lang w:val="es-ES" w:bidi="ar-EG"/>
        </w:rPr>
        <w:t>).</w:t>
      </w:r>
    </w:p>
    <w:p w14:paraId="23C11B78" w14:textId="539F03C0" w:rsidR="00F25261" w:rsidRPr="00DD6DCC" w:rsidRDefault="00F25261" w:rsidP="00F25261">
      <w:pPr>
        <w:pStyle w:val="enumlev2"/>
        <w:rPr>
          <w:i/>
          <w:iCs/>
          <w:rtl/>
          <w:lang w:bidi="ar-EG"/>
        </w:rPr>
      </w:pPr>
      <w:r>
        <w:rPr>
          <w:rFonts w:hint="cs"/>
          <w:rtl/>
        </w:rPr>
        <w:t>ب)</w:t>
      </w:r>
      <w:r>
        <w:rPr>
          <w:rtl/>
        </w:rPr>
        <w:tab/>
      </w:r>
      <w:r w:rsidR="00583D0D">
        <w:rPr>
          <w:rFonts w:hint="cs"/>
          <w:rtl/>
        </w:rPr>
        <w:t xml:space="preserve">وما دام هذا التداخل الضار مستمراً، يدعو القرار </w:t>
      </w:r>
      <w:r w:rsidR="00583D0D" w:rsidRPr="005158F0">
        <w:rPr>
          <w:b/>
          <w:bCs/>
          <w:lang w:val="en-GB" w:bidi="ar-EG"/>
        </w:rPr>
        <w:t>(Rev.WRC-15)</w:t>
      </w:r>
      <w:r w:rsidR="00583D0D" w:rsidRPr="005158F0">
        <w:rPr>
          <w:rFonts w:hint="cs"/>
          <w:b/>
          <w:bCs/>
          <w:rtl/>
          <w:lang w:val="es-ES" w:bidi="ar-EG"/>
        </w:rPr>
        <w:t xml:space="preserve"> </w:t>
      </w:r>
      <w:r w:rsidR="00583D0D" w:rsidRPr="005158F0">
        <w:rPr>
          <w:b/>
          <w:bCs/>
          <w:lang w:val="en-GB" w:bidi="ar-EG"/>
        </w:rPr>
        <w:t>359</w:t>
      </w:r>
      <w:r w:rsidR="00583D0D">
        <w:rPr>
          <w:rFonts w:hint="cs"/>
          <w:b/>
          <w:bCs/>
          <w:rtl/>
          <w:lang w:val="en-GB" w:bidi="ar-EG"/>
        </w:rPr>
        <w:t xml:space="preserve"> </w:t>
      </w:r>
      <w:r w:rsidR="00583D0D" w:rsidRPr="00DD6DCC">
        <w:rPr>
          <w:rFonts w:hint="cs"/>
          <w:rtl/>
          <w:lang w:val="en-GB" w:bidi="ar-EG"/>
        </w:rPr>
        <w:t xml:space="preserve">المؤتمر </w:t>
      </w:r>
      <w:r w:rsidR="00583D0D" w:rsidRPr="00DD6DCC">
        <w:rPr>
          <w:lang w:val="en-GB" w:bidi="ar-EG"/>
        </w:rPr>
        <w:t>WRC-19</w:t>
      </w:r>
      <w:r w:rsidR="00583D0D" w:rsidRPr="00DD6DCC">
        <w:rPr>
          <w:rFonts w:hint="cs"/>
          <w:rtl/>
          <w:lang w:val="es-ES" w:bidi="ar-EG"/>
        </w:rPr>
        <w:t xml:space="preserve"> إلى النظر</w:t>
      </w:r>
      <w:r w:rsidR="00583D0D">
        <w:rPr>
          <w:rFonts w:hint="cs"/>
          <w:b/>
          <w:bCs/>
          <w:rtl/>
          <w:lang w:val="es-ES" w:bidi="ar-EG"/>
        </w:rPr>
        <w:t xml:space="preserve"> </w:t>
      </w:r>
      <w:r w:rsidR="00583D0D" w:rsidRPr="00DD6DCC">
        <w:rPr>
          <w:rFonts w:hint="cs"/>
          <w:rtl/>
          <w:lang w:val="es-ES" w:bidi="ar-EG"/>
        </w:rPr>
        <w:t xml:space="preserve">في حماية </w:t>
      </w:r>
      <w:r w:rsidR="00583D0D" w:rsidRPr="00DD6DCC">
        <w:rPr>
          <w:rFonts w:hint="cs"/>
          <w:rtl/>
        </w:rPr>
        <w:t>خدمة الفلك الراديوي</w:t>
      </w:r>
      <w:r w:rsidR="00DD6DCC" w:rsidRPr="00DD6DCC">
        <w:rPr>
          <w:rFonts w:hint="cs"/>
          <w:rtl/>
        </w:rPr>
        <w:t xml:space="preserve"> وفقاً للرقم </w:t>
      </w:r>
      <w:r w:rsidR="00DD6DCC" w:rsidRPr="00583D0D">
        <w:rPr>
          <w:b/>
          <w:bCs/>
          <w:lang w:val="en-GB" w:bidi="ar-EG"/>
        </w:rPr>
        <w:t>372.5</w:t>
      </w:r>
      <w:r w:rsidR="00DD6DCC" w:rsidRPr="00583D0D">
        <w:rPr>
          <w:rFonts w:hint="cs"/>
          <w:b/>
          <w:bCs/>
          <w:rtl/>
          <w:lang w:val="es-ES" w:bidi="ar-EG"/>
        </w:rPr>
        <w:t xml:space="preserve"> </w:t>
      </w:r>
      <w:r w:rsidR="00DD6DCC">
        <w:rPr>
          <w:rFonts w:hint="cs"/>
          <w:rtl/>
          <w:lang w:val="es-ES" w:bidi="ar-EG"/>
        </w:rPr>
        <w:t xml:space="preserve">من لوائح الراديو، على النحو المنصوص عليه في الفقرة </w:t>
      </w:r>
      <w:r w:rsidR="00DD6DCC" w:rsidRPr="00DD6DCC">
        <w:rPr>
          <w:rFonts w:hint="cs"/>
          <w:i/>
          <w:iCs/>
          <w:rtl/>
          <w:lang w:val="es-ES" w:bidi="ar-EG"/>
        </w:rPr>
        <w:t>هـ)</w:t>
      </w:r>
      <w:r w:rsidR="00DD6DCC">
        <w:rPr>
          <w:rFonts w:hint="cs"/>
          <w:rtl/>
          <w:lang w:val="es-ES" w:bidi="ar-EG"/>
        </w:rPr>
        <w:t xml:space="preserve"> من </w:t>
      </w:r>
      <w:r w:rsidR="00DD6DCC" w:rsidRPr="00DD6DCC">
        <w:rPr>
          <w:rFonts w:hint="cs"/>
          <w:i/>
          <w:iCs/>
          <w:rtl/>
          <w:lang w:val="es-ES" w:bidi="ar-EG"/>
        </w:rPr>
        <w:t>"وإذ يدرك"</w:t>
      </w:r>
      <w:r w:rsidR="00DD6DCC" w:rsidRPr="00DD6DCC">
        <w:rPr>
          <w:rFonts w:hint="cs"/>
          <w:rtl/>
          <w:lang w:val="es-ES" w:bidi="ar-EG"/>
        </w:rPr>
        <w:t>:</w:t>
      </w:r>
      <w:r w:rsidR="00583D0D" w:rsidRPr="00DD6DCC">
        <w:rPr>
          <w:rFonts w:hint="cs"/>
          <w:rtl/>
        </w:rPr>
        <w:t xml:space="preserve"> </w:t>
      </w:r>
      <w:r w:rsidR="00DD6DCC" w:rsidRPr="00203928">
        <w:rPr>
          <w:rFonts w:hint="cs"/>
          <w:u w:val="single"/>
          <w:rtl/>
        </w:rPr>
        <w:t>"</w:t>
      </w:r>
      <w:r w:rsidRPr="00203928">
        <w:rPr>
          <w:rFonts w:hint="cs"/>
          <w:i/>
          <w:iCs/>
          <w:u w:val="single"/>
          <w:rtl/>
        </w:rPr>
        <w:t xml:space="preserve">أن على الأنظمة </w:t>
      </w:r>
      <w:r w:rsidRPr="00203928">
        <w:rPr>
          <w:i/>
          <w:iCs/>
          <w:u w:val="single"/>
          <w:rtl/>
        </w:rPr>
        <w:t>العالمي</w:t>
      </w:r>
      <w:r w:rsidRPr="00203928">
        <w:rPr>
          <w:rFonts w:hint="cs"/>
          <w:i/>
          <w:iCs/>
          <w:u w:val="single"/>
          <w:rtl/>
        </w:rPr>
        <w:t>ة</w:t>
      </w:r>
      <w:r w:rsidRPr="00203928">
        <w:rPr>
          <w:i/>
          <w:iCs/>
          <w:u w:val="single"/>
          <w:rtl/>
        </w:rPr>
        <w:t xml:space="preserve"> </w:t>
      </w:r>
      <w:r w:rsidRPr="00203928">
        <w:rPr>
          <w:rFonts w:hint="cs"/>
          <w:i/>
          <w:iCs/>
          <w:u w:val="single"/>
          <w:rtl/>
        </w:rPr>
        <w:t>للاستغاثة</w:t>
      </w:r>
      <w:r w:rsidRPr="00203928">
        <w:rPr>
          <w:i/>
          <w:iCs/>
          <w:u w:val="single"/>
          <w:rtl/>
        </w:rPr>
        <w:t xml:space="preserve"> والسلامة في البحر</w:t>
      </w:r>
      <w:r w:rsidRPr="00203928">
        <w:rPr>
          <w:rFonts w:hint="cs"/>
          <w:i/>
          <w:iCs/>
          <w:u w:val="single"/>
          <w:rtl/>
        </w:rPr>
        <w:t xml:space="preserve"> </w:t>
      </w:r>
      <w:proofErr w:type="spellStart"/>
      <w:r w:rsidRPr="00203928">
        <w:rPr>
          <w:rFonts w:hint="cs"/>
          <w:i/>
          <w:iCs/>
          <w:u w:val="single"/>
          <w:rtl/>
        </w:rPr>
        <w:t>الساتلية</w:t>
      </w:r>
      <w:proofErr w:type="spellEnd"/>
      <w:r w:rsidRPr="00203928">
        <w:rPr>
          <w:rFonts w:hint="cs"/>
          <w:i/>
          <w:iCs/>
          <w:u w:val="single"/>
          <w:rtl/>
        </w:rPr>
        <w:t xml:space="preserve"> توفير الحماية من التداخل الضار وفق لوائح الراديو للخدمات القائمة، بما</w:t>
      </w:r>
      <w:r w:rsidRPr="00203928">
        <w:rPr>
          <w:rFonts w:hint="eastAsia"/>
          <w:i/>
          <w:iCs/>
          <w:u w:val="single"/>
          <w:lang w:bidi="ar-EG"/>
        </w:rPr>
        <w:t> </w:t>
      </w:r>
      <w:r w:rsidRPr="00203928">
        <w:rPr>
          <w:rFonts w:hint="cs"/>
          <w:i/>
          <w:iCs/>
          <w:u w:val="single"/>
          <w:rtl/>
        </w:rPr>
        <w:t xml:space="preserve">فيها تلك العاملة في النطاقات </w:t>
      </w:r>
      <w:r w:rsidRPr="009E156D">
        <w:rPr>
          <w:rFonts w:hint="cs"/>
          <w:i/>
          <w:iCs/>
          <w:u w:val="single"/>
          <w:rtl/>
        </w:rPr>
        <w:t>الترددية المجاورة، وأن الأنظمة</w:t>
      </w:r>
      <w:r w:rsidRPr="00203928">
        <w:rPr>
          <w:i/>
          <w:iCs/>
          <w:u w:val="single"/>
          <w:rtl/>
        </w:rPr>
        <w:t xml:space="preserve"> العالمي</w:t>
      </w:r>
      <w:r w:rsidRPr="00203928">
        <w:rPr>
          <w:rFonts w:hint="cs"/>
          <w:i/>
          <w:iCs/>
          <w:u w:val="single"/>
          <w:rtl/>
        </w:rPr>
        <w:t>ة</w:t>
      </w:r>
      <w:r w:rsidRPr="00203928">
        <w:rPr>
          <w:i/>
          <w:iCs/>
          <w:u w:val="single"/>
          <w:rtl/>
        </w:rPr>
        <w:t xml:space="preserve"> </w:t>
      </w:r>
      <w:r w:rsidRPr="00203928">
        <w:rPr>
          <w:rFonts w:hint="cs"/>
          <w:i/>
          <w:iCs/>
          <w:u w:val="single"/>
          <w:rtl/>
        </w:rPr>
        <w:t>للاستغاثة</w:t>
      </w:r>
      <w:r w:rsidRPr="00203928">
        <w:rPr>
          <w:i/>
          <w:iCs/>
          <w:u w:val="single"/>
          <w:rtl/>
        </w:rPr>
        <w:t xml:space="preserve"> والسلامة في البحر</w:t>
      </w:r>
      <w:r w:rsidRPr="00203928">
        <w:rPr>
          <w:rFonts w:hint="cs"/>
          <w:i/>
          <w:iCs/>
          <w:u w:val="single"/>
          <w:rtl/>
        </w:rPr>
        <w:t xml:space="preserve"> </w:t>
      </w:r>
      <w:proofErr w:type="spellStart"/>
      <w:r w:rsidRPr="00203928">
        <w:rPr>
          <w:rFonts w:hint="cs"/>
          <w:i/>
          <w:iCs/>
          <w:u w:val="single"/>
          <w:rtl/>
        </w:rPr>
        <w:t>الساتلية</w:t>
      </w:r>
      <w:proofErr w:type="spellEnd"/>
      <w:r w:rsidRPr="00203928">
        <w:rPr>
          <w:rFonts w:hint="cs"/>
          <w:i/>
          <w:iCs/>
          <w:u w:val="single"/>
          <w:rtl/>
        </w:rPr>
        <w:t xml:space="preserve"> ينبغي أن تعمل ضمن بيئة التداخل للأنظمة القائمة</w:t>
      </w:r>
      <w:r w:rsidR="00DD6DCC" w:rsidRPr="00203928">
        <w:rPr>
          <w:rFonts w:hint="cs"/>
          <w:i/>
          <w:iCs/>
          <w:u w:val="single"/>
          <w:rtl/>
        </w:rPr>
        <w:t>"</w:t>
      </w:r>
    </w:p>
    <w:p w14:paraId="64403F3C" w14:textId="6754C950" w:rsidR="00F25261" w:rsidRPr="00BE79FB" w:rsidRDefault="00F25261" w:rsidP="00BE79FB">
      <w:pPr>
        <w:rPr>
          <w:rtl/>
          <w:lang w:val="es-ES" w:bidi="ar-EG"/>
        </w:rPr>
      </w:pPr>
      <w:r>
        <w:rPr>
          <w:rFonts w:hint="cs"/>
          <w:rtl/>
          <w:lang w:bidi="ar-EG"/>
        </w:rPr>
        <w:t>’</w:t>
      </w:r>
      <w:r>
        <w:rPr>
          <w:lang w:bidi="ar-EG"/>
        </w:rPr>
        <w:t>2</w:t>
      </w:r>
      <w:r>
        <w:rPr>
          <w:rFonts w:hint="cs"/>
          <w:rtl/>
          <w:lang w:bidi="ar-EG"/>
        </w:rPr>
        <w:t>‘</w:t>
      </w:r>
      <w:r>
        <w:rPr>
          <w:lang w:bidi="ar-EG"/>
        </w:rPr>
        <w:tab/>
      </w:r>
      <w:r w:rsidR="00203928">
        <w:rPr>
          <w:rFonts w:hint="cs"/>
          <w:rtl/>
          <w:lang w:bidi="ar-EG"/>
        </w:rPr>
        <w:t>و</w:t>
      </w:r>
      <w:r w:rsidR="00043631">
        <w:rPr>
          <w:rFonts w:hint="cs"/>
          <w:rtl/>
          <w:lang w:val="es-ES" w:bidi="ar-EG"/>
        </w:rPr>
        <w:t xml:space="preserve">في التذييل </w:t>
      </w:r>
      <w:r w:rsidR="00043631" w:rsidRPr="00043631">
        <w:rPr>
          <w:b/>
          <w:bCs/>
          <w:lang w:val="en-GB" w:bidi="ar-EG"/>
        </w:rPr>
        <w:t>15</w:t>
      </w:r>
      <w:r w:rsidR="00043631">
        <w:rPr>
          <w:rFonts w:hint="cs"/>
          <w:rtl/>
          <w:lang w:val="es-ES" w:bidi="ar-EG"/>
        </w:rPr>
        <w:t xml:space="preserve"> للوائح الراديو </w:t>
      </w:r>
      <w:r w:rsidR="00043631" w:rsidRPr="0069773C">
        <w:rPr>
          <w:b/>
          <w:bCs/>
        </w:rPr>
        <w:t>(Rev.</w:t>
      </w:r>
      <w:r w:rsidR="00043631" w:rsidRPr="0069773C">
        <w:rPr>
          <w:b/>
        </w:rPr>
        <w:t>CMR-15</w:t>
      </w:r>
      <w:r w:rsidR="00043631" w:rsidRPr="0069773C">
        <w:rPr>
          <w:b/>
          <w:bCs/>
        </w:rPr>
        <w:t>)</w:t>
      </w:r>
      <w:r w:rsidR="00043631">
        <w:rPr>
          <w:rFonts w:hint="cs"/>
          <w:b/>
          <w:bCs/>
          <w:rtl/>
          <w:lang w:val="es-ES" w:bidi="ar-EG"/>
        </w:rPr>
        <w:t xml:space="preserve"> </w:t>
      </w:r>
      <w:r w:rsidR="00043631" w:rsidRPr="005454F6">
        <w:rPr>
          <w:rFonts w:hint="cs"/>
          <w:rtl/>
          <w:lang w:val="es-ES" w:bidi="ar-EG"/>
        </w:rPr>
        <w:t xml:space="preserve">(انظر الجدول </w:t>
      </w:r>
      <w:r w:rsidR="00043631" w:rsidRPr="005454F6">
        <w:rPr>
          <w:b/>
          <w:bCs/>
          <w:lang w:val="en-GB" w:bidi="ar-EG"/>
        </w:rPr>
        <w:t>2-15</w:t>
      </w:r>
      <w:r w:rsidR="00043631" w:rsidRPr="005454F6">
        <w:rPr>
          <w:rFonts w:hint="cs"/>
          <w:rtl/>
          <w:lang w:val="es-ES" w:bidi="ar-EG"/>
        </w:rPr>
        <w:t>)</w:t>
      </w:r>
      <w:r w:rsidR="00043631">
        <w:rPr>
          <w:rFonts w:hint="cs"/>
          <w:rtl/>
          <w:lang w:val="es-ES" w:bidi="ar-EG"/>
        </w:rPr>
        <w:t xml:space="preserve">، </w:t>
      </w:r>
      <w:r w:rsidR="005454F6">
        <w:rPr>
          <w:rFonts w:hint="cs"/>
          <w:rtl/>
          <w:lang w:bidi="ar-EG"/>
        </w:rPr>
        <w:t xml:space="preserve">تستعمل خدمة </w:t>
      </w:r>
      <w:r w:rsidR="005454F6">
        <w:rPr>
          <w:lang w:val="en-GB" w:bidi="ar-EG"/>
        </w:rPr>
        <w:t>Inmarsat</w:t>
      </w:r>
      <w:r w:rsidR="005454F6">
        <w:rPr>
          <w:rFonts w:hint="cs"/>
          <w:rtl/>
          <w:lang w:val="es-ES" w:bidi="ar-EG"/>
        </w:rPr>
        <w:t xml:space="preserve"> </w:t>
      </w:r>
      <w:r w:rsidR="005454F6">
        <w:rPr>
          <w:rFonts w:hint="cs"/>
          <w:rtl/>
          <w:lang w:bidi="ar-EG"/>
        </w:rPr>
        <w:t xml:space="preserve">النطاق </w:t>
      </w:r>
      <w:r w:rsidR="005454F6">
        <w:rPr>
          <w:lang w:val="en-GB" w:bidi="ar-EG"/>
        </w:rPr>
        <w:t>1</w:t>
      </w:r>
      <w:r w:rsidR="009E156D">
        <w:rPr>
          <w:lang w:val="en-GB" w:bidi="ar-EG"/>
        </w:rPr>
        <w:t> </w:t>
      </w:r>
      <w:r w:rsidR="005454F6">
        <w:rPr>
          <w:lang w:val="en-GB" w:bidi="ar-EG"/>
        </w:rPr>
        <w:t>645,5</w:t>
      </w:r>
      <w:r w:rsidR="009E156D">
        <w:rPr>
          <w:lang w:val="en-GB" w:bidi="ar-EG"/>
        </w:rPr>
        <w:noBreakHyphen/>
      </w:r>
      <w:r w:rsidR="005454F6">
        <w:rPr>
          <w:lang w:val="en-GB" w:bidi="ar-EG"/>
        </w:rPr>
        <w:t>1</w:t>
      </w:r>
      <w:r w:rsidR="009E156D">
        <w:rPr>
          <w:lang w:val="en-GB" w:bidi="ar-EG"/>
        </w:rPr>
        <w:t> </w:t>
      </w:r>
      <w:r w:rsidR="005454F6">
        <w:rPr>
          <w:lang w:val="en-GB" w:bidi="ar-EG"/>
        </w:rPr>
        <w:t>626</w:t>
      </w:r>
      <w:r w:rsidR="009E156D">
        <w:rPr>
          <w:lang w:val="en-GB" w:bidi="ar-EG"/>
        </w:rPr>
        <w:t>,</w:t>
      </w:r>
      <w:r w:rsidR="005454F6">
        <w:rPr>
          <w:lang w:val="en-GB" w:bidi="ar-EG"/>
        </w:rPr>
        <w:t>5</w:t>
      </w:r>
      <w:r w:rsidR="005454F6">
        <w:rPr>
          <w:rFonts w:hint="cs"/>
          <w:rtl/>
          <w:lang w:val="es-ES" w:bidi="ar-EG"/>
        </w:rPr>
        <w:t xml:space="preserve"> </w:t>
      </w:r>
      <w:r w:rsidR="005454F6">
        <w:rPr>
          <w:lang w:val="en-GB" w:bidi="ar-EG"/>
        </w:rPr>
        <w:t>MHz</w:t>
      </w:r>
      <w:r w:rsidR="005454F6">
        <w:rPr>
          <w:rFonts w:hint="cs"/>
          <w:rtl/>
          <w:lang w:val="es-ES" w:bidi="ar-EG"/>
        </w:rPr>
        <w:t xml:space="preserve"> </w:t>
      </w:r>
      <w:r w:rsidR="00C45675">
        <w:rPr>
          <w:rFonts w:hint="cs"/>
          <w:rtl/>
          <w:lang w:val="es-ES" w:bidi="ar-EG"/>
        </w:rPr>
        <w:t>داخل</w:t>
      </w:r>
      <w:r w:rsidR="005454F6">
        <w:rPr>
          <w:rFonts w:hint="cs"/>
          <w:rtl/>
          <w:lang w:val="es-ES" w:bidi="ar-EG"/>
        </w:rPr>
        <w:t xml:space="preserve"> نظام </w:t>
      </w:r>
      <w:r w:rsidR="005454F6">
        <w:rPr>
          <w:lang w:val="en-GB" w:bidi="ar-EG"/>
        </w:rPr>
        <w:t>GMDSS</w:t>
      </w:r>
      <w:r w:rsidR="005454F6">
        <w:rPr>
          <w:rFonts w:hint="cs"/>
          <w:rtl/>
          <w:lang w:val="es-ES" w:bidi="ar-EG"/>
        </w:rPr>
        <w:t xml:space="preserve">، </w:t>
      </w:r>
      <w:r w:rsidR="00043631">
        <w:rPr>
          <w:rFonts w:hint="cs"/>
          <w:rtl/>
          <w:lang w:val="es-ES" w:bidi="ar-EG"/>
        </w:rPr>
        <w:t xml:space="preserve">ويمنح الرقم </w:t>
      </w:r>
      <w:r w:rsidR="00043631" w:rsidRPr="00002523">
        <w:rPr>
          <w:rStyle w:val="Artdef"/>
          <w:szCs w:val="22"/>
        </w:rPr>
        <w:t>353A.5</w:t>
      </w:r>
      <w:r w:rsidR="00043631">
        <w:rPr>
          <w:rFonts w:hint="cs"/>
          <w:rtl/>
          <w:lang w:val="es-ES" w:bidi="ar-EG"/>
        </w:rPr>
        <w:t xml:space="preserve"> هذا النطاق الأولوية وفقاً لمقتضيات </w:t>
      </w:r>
      <w:r w:rsidR="00043631">
        <w:rPr>
          <w:rFonts w:hint="cs"/>
          <w:rtl/>
          <w:lang w:bidi="ar-EG"/>
        </w:rPr>
        <w:t>المنظمة البحرية الدولية.</w:t>
      </w:r>
    </w:p>
    <w:p w14:paraId="5F292578" w14:textId="3A26C202" w:rsidR="00F25261" w:rsidRPr="00BE79FB" w:rsidRDefault="00F25261" w:rsidP="00BE79FB">
      <w:pPr>
        <w:rPr>
          <w:rtl/>
          <w:lang w:val="es-ES"/>
        </w:rPr>
      </w:pPr>
      <w:r>
        <w:rPr>
          <w:rFonts w:hint="cs"/>
          <w:rtl/>
          <w:lang w:bidi="ar-EG"/>
        </w:rPr>
        <w:t>’</w:t>
      </w:r>
      <w:r>
        <w:rPr>
          <w:lang w:bidi="ar-EG"/>
        </w:rPr>
        <w:t>3</w:t>
      </w:r>
      <w:r>
        <w:rPr>
          <w:rFonts w:hint="cs"/>
          <w:rtl/>
          <w:lang w:bidi="ar-EG"/>
        </w:rPr>
        <w:t>‘</w:t>
      </w:r>
      <w:r>
        <w:rPr>
          <w:lang w:bidi="ar-EG"/>
        </w:rPr>
        <w:tab/>
      </w:r>
      <w:r w:rsidR="00203928">
        <w:rPr>
          <w:rFonts w:hint="cs"/>
          <w:rtl/>
          <w:lang w:val="es-ES" w:bidi="ar-EG"/>
        </w:rPr>
        <w:t>و</w:t>
      </w:r>
      <w:r w:rsidR="001F4117">
        <w:rPr>
          <w:rFonts w:hint="cs"/>
          <w:rtl/>
          <w:lang w:bidi="ar-EG"/>
        </w:rPr>
        <w:t xml:space="preserve">في المجتمع البحري، يُستخدم النطاق </w:t>
      </w:r>
      <w:r w:rsidR="001F4117">
        <w:rPr>
          <w:lang w:val="en-GB" w:bidi="ar-EG"/>
        </w:rPr>
        <w:t>1</w:t>
      </w:r>
      <w:r w:rsidR="009E156D">
        <w:rPr>
          <w:lang w:val="en-GB" w:bidi="ar-EG"/>
        </w:rPr>
        <w:t> </w:t>
      </w:r>
      <w:r w:rsidR="001F4117">
        <w:rPr>
          <w:lang w:val="en-GB" w:bidi="ar-EG"/>
        </w:rPr>
        <w:t>660</w:t>
      </w:r>
      <w:r w:rsidR="009E156D">
        <w:rPr>
          <w:lang w:val="en-GB" w:bidi="ar-EG"/>
        </w:rPr>
        <w:t>,</w:t>
      </w:r>
      <w:r w:rsidR="001F4117">
        <w:rPr>
          <w:lang w:val="en-GB" w:bidi="ar-EG"/>
        </w:rPr>
        <w:t>5</w:t>
      </w:r>
      <w:r w:rsidR="009E156D">
        <w:rPr>
          <w:lang w:val="en-GB" w:bidi="ar-EG"/>
        </w:rPr>
        <w:noBreakHyphen/>
      </w:r>
      <w:r w:rsidR="001F4117">
        <w:rPr>
          <w:lang w:val="en-GB" w:bidi="ar-EG"/>
        </w:rPr>
        <w:t>1</w:t>
      </w:r>
      <w:r w:rsidR="009E156D">
        <w:rPr>
          <w:lang w:val="en-GB" w:bidi="ar-EG"/>
        </w:rPr>
        <w:t> </w:t>
      </w:r>
      <w:r w:rsidR="001F4117">
        <w:rPr>
          <w:lang w:val="en-GB" w:bidi="ar-EG"/>
        </w:rPr>
        <w:t>626</w:t>
      </w:r>
      <w:r w:rsidR="009E156D">
        <w:rPr>
          <w:lang w:val="en-GB" w:bidi="ar-EG"/>
        </w:rPr>
        <w:t>,</w:t>
      </w:r>
      <w:r w:rsidR="001F4117">
        <w:rPr>
          <w:lang w:val="en-GB" w:bidi="ar-EG"/>
        </w:rPr>
        <w:t>5</w:t>
      </w:r>
      <w:r w:rsidR="001F4117">
        <w:rPr>
          <w:rFonts w:hint="cs"/>
          <w:rtl/>
          <w:lang w:val="es-ES" w:bidi="ar-EG"/>
        </w:rPr>
        <w:t xml:space="preserve"> </w:t>
      </w:r>
      <w:r w:rsidR="001F4117">
        <w:rPr>
          <w:lang w:val="es-ES" w:bidi="ar-EG"/>
        </w:rPr>
        <w:t>MHz</w:t>
      </w:r>
      <w:r w:rsidR="001F4117">
        <w:rPr>
          <w:rFonts w:hint="cs"/>
          <w:rtl/>
          <w:lang w:val="es-ES" w:bidi="ar-EG"/>
        </w:rPr>
        <w:t xml:space="preserve"> للخدمة المتنقلة </w:t>
      </w:r>
      <w:proofErr w:type="spellStart"/>
      <w:r w:rsidR="001F4117">
        <w:rPr>
          <w:rFonts w:hint="cs"/>
          <w:rtl/>
          <w:lang w:val="es-ES" w:bidi="ar-EG"/>
        </w:rPr>
        <w:t>الساتلية</w:t>
      </w:r>
      <w:proofErr w:type="spellEnd"/>
      <w:r w:rsidR="001F4117">
        <w:rPr>
          <w:rFonts w:hint="cs"/>
          <w:rtl/>
          <w:lang w:val="es-ES" w:bidi="ar-EG"/>
        </w:rPr>
        <w:t xml:space="preserve"> في المدار المستقر بالنسبة إلى الأرض</w:t>
      </w:r>
      <w:r w:rsidR="00F550FB">
        <w:rPr>
          <w:rFonts w:hint="cs"/>
          <w:rtl/>
          <w:lang w:val="es-ES" w:bidi="ar-EG"/>
        </w:rPr>
        <w:t>، وقد يكون ذلك مصدرا</w:t>
      </w:r>
      <w:r w:rsidR="009E156D">
        <w:rPr>
          <w:rFonts w:hint="cs"/>
          <w:rtl/>
          <w:lang w:val="es-ES" w:bidi="ar-EG"/>
        </w:rPr>
        <w:t>ً</w:t>
      </w:r>
      <w:r w:rsidR="00F550FB">
        <w:rPr>
          <w:rFonts w:hint="cs"/>
          <w:rtl/>
          <w:lang w:val="es-ES" w:bidi="ar-EG"/>
        </w:rPr>
        <w:t xml:space="preserve"> </w:t>
      </w:r>
      <w:r w:rsidR="005414F8">
        <w:rPr>
          <w:rFonts w:hint="cs"/>
          <w:rtl/>
          <w:lang w:val="es-ES" w:bidi="ar-EG"/>
        </w:rPr>
        <w:t xml:space="preserve">للتداخل على محطات الاستقبال الأرضية غير المستقرة بالنسبة إلى الأرض </w:t>
      </w:r>
      <w:r w:rsidR="00ED6475">
        <w:rPr>
          <w:rFonts w:hint="cs"/>
          <w:rtl/>
          <w:lang w:val="es-ES" w:bidi="ar-EG"/>
        </w:rPr>
        <w:t xml:space="preserve">العاملة </w:t>
      </w:r>
      <w:r w:rsidR="005414F8">
        <w:rPr>
          <w:rFonts w:hint="cs"/>
          <w:rtl/>
          <w:lang w:val="es-ES" w:bidi="ar-EG"/>
        </w:rPr>
        <w:t xml:space="preserve">على متن السفن </w:t>
      </w:r>
      <w:r w:rsidR="00ED6475">
        <w:rPr>
          <w:rFonts w:hint="cs"/>
          <w:rtl/>
          <w:lang w:val="es-ES" w:bidi="ar-EG"/>
        </w:rPr>
        <w:t xml:space="preserve">في النطاق </w:t>
      </w:r>
      <w:r w:rsidR="00ED6475">
        <w:rPr>
          <w:lang w:val="en-GB" w:bidi="ar-EG"/>
        </w:rPr>
        <w:t>1</w:t>
      </w:r>
      <w:r w:rsidR="009E156D">
        <w:rPr>
          <w:lang w:val="en-GB" w:bidi="ar-EG"/>
        </w:rPr>
        <w:t> </w:t>
      </w:r>
      <w:r w:rsidR="00ED6475">
        <w:rPr>
          <w:lang w:val="en-GB" w:bidi="ar-EG"/>
        </w:rPr>
        <w:t>626</w:t>
      </w:r>
      <w:r w:rsidR="009E156D">
        <w:rPr>
          <w:lang w:val="en-GB" w:bidi="ar-EG"/>
        </w:rPr>
        <w:t>,</w:t>
      </w:r>
      <w:r w:rsidR="00ED6475">
        <w:rPr>
          <w:lang w:val="en-GB" w:bidi="ar-EG"/>
        </w:rPr>
        <w:t>5-1</w:t>
      </w:r>
      <w:r w:rsidR="009E156D">
        <w:rPr>
          <w:lang w:val="en-GB" w:bidi="ar-EG"/>
        </w:rPr>
        <w:t> </w:t>
      </w:r>
      <w:r w:rsidR="00ED6475">
        <w:rPr>
          <w:lang w:val="en-GB" w:bidi="ar-EG"/>
        </w:rPr>
        <w:t>613</w:t>
      </w:r>
      <w:r w:rsidR="009E156D">
        <w:rPr>
          <w:lang w:val="en-GB" w:bidi="ar-EG"/>
        </w:rPr>
        <w:t>,</w:t>
      </w:r>
      <w:r w:rsidR="00ED6475">
        <w:rPr>
          <w:lang w:val="en-GB" w:bidi="ar-EG"/>
        </w:rPr>
        <w:t>8</w:t>
      </w:r>
      <w:r w:rsidR="00ED6475">
        <w:rPr>
          <w:rFonts w:hint="cs"/>
          <w:rtl/>
          <w:lang w:val="es-ES" w:bidi="ar-EG"/>
        </w:rPr>
        <w:t xml:space="preserve"> </w:t>
      </w:r>
      <w:r w:rsidR="00ED6475">
        <w:rPr>
          <w:lang w:val="es-ES" w:bidi="ar-EG"/>
        </w:rPr>
        <w:t>MHz</w:t>
      </w:r>
      <w:r w:rsidR="00ED6475">
        <w:rPr>
          <w:rFonts w:hint="cs"/>
          <w:rtl/>
          <w:lang w:val="es-ES" w:bidi="ar-EG"/>
        </w:rPr>
        <w:t xml:space="preserve"> المجاور. وقد ينجم </w:t>
      </w:r>
      <w:r w:rsidR="00297115">
        <w:rPr>
          <w:rFonts w:hint="cs"/>
          <w:rtl/>
          <w:lang w:val="es-ES" w:bidi="ar-EG"/>
        </w:rPr>
        <w:t xml:space="preserve">هذا </w:t>
      </w:r>
      <w:r w:rsidR="00ED6475">
        <w:rPr>
          <w:rFonts w:hint="cs"/>
          <w:rtl/>
          <w:lang w:val="es-ES" w:bidi="ar-EG"/>
        </w:rPr>
        <w:t>التداخل عن</w:t>
      </w:r>
      <w:r w:rsidR="00297115">
        <w:rPr>
          <w:rFonts w:hint="cs"/>
          <w:rtl/>
          <w:lang w:val="es-ES" w:bidi="ar-EG"/>
        </w:rPr>
        <w:t xml:space="preserve"> </w:t>
      </w:r>
      <w:r w:rsidR="00ED6475">
        <w:rPr>
          <w:rFonts w:hint="cs"/>
          <w:rtl/>
          <w:lang w:val="es-ES" w:bidi="ar-EG"/>
        </w:rPr>
        <w:t>الإرسالات غير المطلوبة الصادرة من محط</w:t>
      </w:r>
      <w:r w:rsidR="00297115">
        <w:rPr>
          <w:rFonts w:hint="cs"/>
          <w:rtl/>
          <w:lang w:val="es-ES" w:bidi="ar-EG"/>
        </w:rPr>
        <w:t>ة</w:t>
      </w:r>
      <w:r w:rsidR="00ED6475">
        <w:rPr>
          <w:rFonts w:hint="cs"/>
          <w:rtl/>
          <w:lang w:val="es-ES" w:bidi="ar-EG"/>
        </w:rPr>
        <w:t xml:space="preserve"> الإرسال الأرضية المتنقلة المستقرة بالنسبة إلى الأرض (في الوصلة الصاعدة)</w:t>
      </w:r>
      <w:r w:rsidR="00297115">
        <w:rPr>
          <w:rFonts w:hint="cs"/>
          <w:rtl/>
          <w:lang w:val="es-ES" w:bidi="ar-EG"/>
        </w:rPr>
        <w:t>، التي تستقبلها المحطة الأرضية غير المستقرة بالنسبة إلى الأرض على متن السفينة، أو عن إرسالات محطة الإرسال الأرضية المتنقلة المستقرة بالنسبة إلى الأرض في النطاقات المجاورة وهو ما قد يؤدي إلى زيادة عبء الإشارات الواردة إلى مُستقبل المحطة الأرضية غير المستقرة بالنسبة إلى الأرض على متن السفينة.</w:t>
      </w:r>
    </w:p>
    <w:p w14:paraId="488F5724" w14:textId="4368A6F8" w:rsidR="00F25261" w:rsidRPr="00203928" w:rsidRDefault="00F25261" w:rsidP="00BE79FB">
      <w:pPr>
        <w:rPr>
          <w:i/>
          <w:iCs/>
          <w:u w:val="single"/>
          <w:rtl/>
          <w:lang w:val="es-ES" w:bidi="ar-EG"/>
        </w:rPr>
      </w:pPr>
      <w:r>
        <w:rPr>
          <w:rFonts w:hint="cs"/>
          <w:rtl/>
          <w:lang w:bidi="ar-EG"/>
        </w:rPr>
        <w:t>’</w:t>
      </w:r>
      <w:r>
        <w:rPr>
          <w:lang w:bidi="ar-EG"/>
        </w:rPr>
        <w:t>4</w:t>
      </w:r>
      <w:r>
        <w:rPr>
          <w:rFonts w:hint="cs"/>
          <w:rtl/>
          <w:lang w:bidi="ar-EG"/>
        </w:rPr>
        <w:t>‘</w:t>
      </w:r>
      <w:r>
        <w:rPr>
          <w:lang w:bidi="ar-EG"/>
        </w:rPr>
        <w:tab/>
      </w:r>
      <w:r w:rsidR="00BE79FB">
        <w:rPr>
          <w:rFonts w:hint="cs"/>
          <w:rtl/>
          <w:lang w:bidi="ar-EG"/>
        </w:rPr>
        <w:t xml:space="preserve">وفي ظل سيناريو التداخل هذا، يجب بالتالي </w:t>
      </w:r>
      <w:r w:rsidR="00361AF2">
        <w:rPr>
          <w:rFonts w:hint="cs"/>
          <w:rtl/>
          <w:lang w:bidi="ar-EG"/>
        </w:rPr>
        <w:t>أن تُصمَّم</w:t>
      </w:r>
      <w:r w:rsidR="00BE79FB">
        <w:rPr>
          <w:rFonts w:hint="cs"/>
          <w:rtl/>
          <w:lang w:bidi="ar-EG"/>
        </w:rPr>
        <w:t xml:space="preserve"> </w:t>
      </w:r>
      <w:proofErr w:type="spellStart"/>
      <w:r w:rsidR="00BE79FB">
        <w:rPr>
          <w:rFonts w:hint="cs"/>
          <w:rtl/>
          <w:lang w:bidi="ar-EG"/>
        </w:rPr>
        <w:t>مطاريف</w:t>
      </w:r>
      <w:proofErr w:type="spellEnd"/>
      <w:r w:rsidR="00BE79FB">
        <w:rPr>
          <w:rFonts w:hint="cs"/>
          <w:rtl/>
          <w:lang w:bidi="ar-EG"/>
        </w:rPr>
        <w:t xml:space="preserve"> المحطات الأرضية المتحركة غير المستقرة بالنسبة إلى الأرض التي تعتزم تقديم خدمات </w:t>
      </w:r>
      <w:r w:rsidR="00BE79FB">
        <w:rPr>
          <w:lang w:val="en-GB" w:bidi="ar-EG"/>
        </w:rPr>
        <w:t>GMDSS</w:t>
      </w:r>
      <w:r w:rsidR="00BE79FB">
        <w:rPr>
          <w:rFonts w:hint="cs"/>
          <w:rtl/>
          <w:lang w:val="es-ES" w:bidi="ar-EG"/>
        </w:rPr>
        <w:t xml:space="preserve"> في </w:t>
      </w:r>
      <w:r w:rsidR="009C5368">
        <w:rPr>
          <w:rFonts w:hint="cs"/>
          <w:rtl/>
          <w:lang w:val="en-GB" w:bidi="ar-EG"/>
        </w:rPr>
        <w:t xml:space="preserve">النطاق </w:t>
      </w:r>
      <w:r w:rsidR="009C5368">
        <w:rPr>
          <w:lang w:val="en-GB" w:bidi="ar-EG"/>
        </w:rPr>
        <w:t>1 626</w:t>
      </w:r>
      <w:r w:rsidR="009E156D">
        <w:rPr>
          <w:lang w:val="en-GB" w:bidi="ar-EG"/>
        </w:rPr>
        <w:t>,</w:t>
      </w:r>
      <w:r w:rsidR="009C5368">
        <w:rPr>
          <w:lang w:val="en-GB" w:bidi="ar-EG"/>
        </w:rPr>
        <w:t>5-1 616</w:t>
      </w:r>
      <w:r w:rsidR="009C5368">
        <w:rPr>
          <w:rFonts w:hint="cs"/>
          <w:rtl/>
          <w:lang w:val="es-ES" w:bidi="ar-EG"/>
        </w:rPr>
        <w:t xml:space="preserve"> </w:t>
      </w:r>
      <w:r w:rsidR="009C5368">
        <w:rPr>
          <w:lang w:val="en-GB" w:bidi="ar-EG"/>
        </w:rPr>
        <w:t>GHz</w:t>
      </w:r>
      <w:r w:rsidR="001833F7">
        <w:rPr>
          <w:rFonts w:hint="cs"/>
          <w:rtl/>
          <w:lang w:val="es-ES" w:bidi="ar-EG"/>
        </w:rPr>
        <w:t xml:space="preserve"> </w:t>
      </w:r>
      <w:r w:rsidR="00361AF2">
        <w:rPr>
          <w:rFonts w:hint="cs"/>
          <w:rtl/>
          <w:lang w:val="es-ES" w:bidi="ar-EG"/>
        </w:rPr>
        <w:t xml:space="preserve">وتُركَّب بحيث </w:t>
      </w:r>
      <w:r w:rsidR="00361AF2" w:rsidRPr="00203928">
        <w:rPr>
          <w:rFonts w:hint="cs"/>
          <w:u w:val="single"/>
          <w:rtl/>
          <w:lang w:val="es-ES" w:bidi="ar-EG"/>
        </w:rPr>
        <w:t xml:space="preserve">تتحمَّل إمكانية تعرضها لتداخل من </w:t>
      </w:r>
      <w:proofErr w:type="spellStart"/>
      <w:r w:rsidR="00361AF2" w:rsidRPr="00203928">
        <w:rPr>
          <w:rFonts w:hint="cs"/>
          <w:u w:val="single"/>
          <w:rtl/>
          <w:lang w:val="es-ES" w:bidi="ar-EG"/>
        </w:rPr>
        <w:t>المطاريف</w:t>
      </w:r>
      <w:proofErr w:type="spellEnd"/>
      <w:r w:rsidR="00361AF2" w:rsidRPr="00203928">
        <w:rPr>
          <w:rFonts w:hint="cs"/>
          <w:u w:val="single"/>
          <w:rtl/>
          <w:lang w:val="es-ES" w:bidi="ar-EG"/>
        </w:rPr>
        <w:t xml:space="preserve"> القائمة المستقرة بالنسبة إلى</w:t>
      </w:r>
      <w:r w:rsidR="00BA157A" w:rsidRPr="00203928">
        <w:rPr>
          <w:rFonts w:hint="cs"/>
          <w:u w:val="single"/>
          <w:rtl/>
          <w:lang w:val="es-ES" w:bidi="ar-EG"/>
        </w:rPr>
        <w:t xml:space="preserve"> الأرض</w:t>
      </w:r>
      <w:r w:rsidR="00BA157A">
        <w:rPr>
          <w:rFonts w:hint="cs"/>
          <w:rtl/>
          <w:lang w:val="es-ES" w:bidi="ar-EG"/>
        </w:rPr>
        <w:t xml:space="preserve"> العاملة في النطاق </w:t>
      </w:r>
      <w:r w:rsidR="00BA157A">
        <w:rPr>
          <w:lang w:val="en-GB" w:bidi="ar-EG"/>
        </w:rPr>
        <w:t>1</w:t>
      </w:r>
      <w:r w:rsidR="009E156D">
        <w:rPr>
          <w:lang w:val="en-GB" w:bidi="ar-EG"/>
        </w:rPr>
        <w:t> </w:t>
      </w:r>
      <w:r w:rsidR="00BA157A">
        <w:rPr>
          <w:lang w:val="en-GB" w:bidi="ar-EG"/>
        </w:rPr>
        <w:t>660</w:t>
      </w:r>
      <w:r w:rsidR="009E156D">
        <w:rPr>
          <w:lang w:val="en-GB" w:bidi="ar-EG"/>
        </w:rPr>
        <w:t>,</w:t>
      </w:r>
      <w:r w:rsidR="00BA157A">
        <w:rPr>
          <w:lang w:val="en-GB" w:bidi="ar-EG"/>
        </w:rPr>
        <w:t>5-1</w:t>
      </w:r>
      <w:r w:rsidR="009E156D">
        <w:rPr>
          <w:lang w:val="en-GB" w:bidi="ar-EG"/>
        </w:rPr>
        <w:t> </w:t>
      </w:r>
      <w:r w:rsidR="00BA157A">
        <w:rPr>
          <w:lang w:val="en-GB" w:bidi="ar-EG"/>
        </w:rPr>
        <w:t>626</w:t>
      </w:r>
      <w:r w:rsidR="009E156D">
        <w:rPr>
          <w:lang w:val="en-GB" w:bidi="ar-EG"/>
        </w:rPr>
        <w:t>,</w:t>
      </w:r>
      <w:r w:rsidR="00BA157A">
        <w:rPr>
          <w:lang w:val="en-GB" w:bidi="ar-EG"/>
        </w:rPr>
        <w:t>5</w:t>
      </w:r>
      <w:r w:rsidR="00BA157A">
        <w:rPr>
          <w:rFonts w:hint="cs"/>
          <w:rtl/>
          <w:lang w:val="es-ES" w:bidi="ar-EG"/>
        </w:rPr>
        <w:t xml:space="preserve"> </w:t>
      </w:r>
      <w:r w:rsidR="00BA157A">
        <w:rPr>
          <w:lang w:val="es-ES" w:bidi="ar-EG"/>
        </w:rPr>
        <w:t>MHz</w:t>
      </w:r>
      <w:r w:rsidR="00D12E4B">
        <w:rPr>
          <w:rFonts w:hint="cs"/>
          <w:rtl/>
          <w:lang w:val="es-ES" w:bidi="ar-EG"/>
        </w:rPr>
        <w:t xml:space="preserve">. وينبغي أن تمتثل </w:t>
      </w:r>
      <w:proofErr w:type="spellStart"/>
      <w:r w:rsidR="00D12E4B">
        <w:rPr>
          <w:rFonts w:hint="cs"/>
          <w:rtl/>
          <w:lang w:val="es-ES" w:bidi="ar-EG"/>
        </w:rPr>
        <w:t>مطاريف</w:t>
      </w:r>
      <w:proofErr w:type="spellEnd"/>
      <w:r w:rsidR="00D12E4B">
        <w:rPr>
          <w:rFonts w:hint="cs"/>
          <w:rtl/>
          <w:lang w:val="es-ES" w:bidi="ar-EG"/>
        </w:rPr>
        <w:t xml:space="preserve"> </w:t>
      </w:r>
      <w:proofErr w:type="spellStart"/>
      <w:r w:rsidR="00D12E4B">
        <w:rPr>
          <w:lang w:val="es-ES" w:bidi="ar-EG"/>
        </w:rPr>
        <w:t>Iridium</w:t>
      </w:r>
      <w:proofErr w:type="spellEnd"/>
      <w:r w:rsidR="00D12E4B">
        <w:rPr>
          <w:rFonts w:hint="cs"/>
          <w:rtl/>
          <w:lang w:val="es-ES" w:bidi="ar-EG"/>
        </w:rPr>
        <w:t xml:space="preserve"> في نظام </w:t>
      </w:r>
      <w:r w:rsidR="00D12E4B">
        <w:rPr>
          <w:lang w:val="en-GB" w:bidi="ar-EG"/>
        </w:rPr>
        <w:t>GMDSS</w:t>
      </w:r>
      <w:r w:rsidR="00D12E4B">
        <w:rPr>
          <w:rFonts w:hint="cs"/>
          <w:rtl/>
          <w:lang w:val="es-ES" w:bidi="ar-EG"/>
        </w:rPr>
        <w:t xml:space="preserve"> للقرار </w:t>
      </w:r>
      <w:r w:rsidR="00D12E4B" w:rsidRPr="000731B1">
        <w:rPr>
          <w:b/>
          <w:bCs/>
        </w:rPr>
        <w:t>(Rev.WRC-15)</w:t>
      </w:r>
      <w:r w:rsidR="00D12E4B">
        <w:rPr>
          <w:rFonts w:hint="cs"/>
          <w:b/>
          <w:bCs/>
          <w:rtl/>
        </w:rPr>
        <w:t xml:space="preserve"> </w:t>
      </w:r>
      <w:r w:rsidR="00D12E4B" w:rsidRPr="000731B1">
        <w:rPr>
          <w:b/>
          <w:bCs/>
        </w:rPr>
        <w:t>359</w:t>
      </w:r>
      <w:r w:rsidR="00D12E4B">
        <w:rPr>
          <w:rFonts w:hint="cs"/>
          <w:b/>
          <w:bCs/>
          <w:rtl/>
        </w:rPr>
        <w:t xml:space="preserve"> </w:t>
      </w:r>
      <w:r w:rsidR="00D12E4B" w:rsidRPr="00D12E4B">
        <w:rPr>
          <w:rFonts w:hint="cs"/>
          <w:rtl/>
        </w:rPr>
        <w:t>الذي ينص في الفقرة</w:t>
      </w:r>
      <w:r w:rsidR="00D12E4B">
        <w:rPr>
          <w:rFonts w:hint="cs"/>
          <w:b/>
          <w:bCs/>
          <w:rtl/>
        </w:rPr>
        <w:t xml:space="preserve"> </w:t>
      </w:r>
      <w:r w:rsidR="00D12E4B" w:rsidRPr="00203928">
        <w:rPr>
          <w:rFonts w:hint="cs"/>
          <w:rtl/>
          <w:lang w:val="es-ES" w:bidi="ar-EG"/>
        </w:rPr>
        <w:t>هـ) من "وإذ يضع في اعتباره"</w:t>
      </w:r>
      <w:r w:rsidR="00D12E4B" w:rsidRPr="00D12E4B">
        <w:rPr>
          <w:rFonts w:hint="cs"/>
          <w:rtl/>
          <w:lang w:val="es-ES" w:bidi="ar-EG"/>
        </w:rPr>
        <w:t xml:space="preserve"> منه على</w:t>
      </w:r>
      <w:r w:rsidR="00203928">
        <w:rPr>
          <w:rFonts w:hint="cs"/>
          <w:rtl/>
          <w:lang w:val="es-ES" w:bidi="ar-EG"/>
        </w:rPr>
        <w:t xml:space="preserve"> </w:t>
      </w:r>
      <w:r w:rsidR="00203928" w:rsidRPr="00203928">
        <w:rPr>
          <w:rFonts w:hint="cs"/>
          <w:i/>
          <w:iCs/>
          <w:u w:val="single"/>
          <w:rtl/>
          <w:lang w:val="es-ES" w:bidi="ar-EG"/>
        </w:rPr>
        <w:t>"[</w:t>
      </w:r>
      <w:r w:rsidR="00203928" w:rsidRPr="00203928">
        <w:rPr>
          <w:i/>
          <w:iCs/>
          <w:u w:val="single"/>
          <w:lang w:val="en-GB" w:bidi="ar-EG"/>
        </w:rPr>
        <w:t>..</w:t>
      </w:r>
      <w:r w:rsidR="00203928" w:rsidRPr="00203928">
        <w:rPr>
          <w:rFonts w:hint="cs"/>
          <w:i/>
          <w:iCs/>
          <w:u w:val="single"/>
          <w:rtl/>
          <w:lang w:val="es-ES" w:bidi="ar-EG"/>
        </w:rPr>
        <w:t xml:space="preserve">] </w:t>
      </w:r>
      <w:r w:rsidR="00203928" w:rsidRPr="00203928">
        <w:rPr>
          <w:rFonts w:hint="cs"/>
          <w:i/>
          <w:iCs/>
          <w:u w:val="single"/>
          <w:rtl/>
        </w:rPr>
        <w:t>أن الأنظمة</w:t>
      </w:r>
      <w:r w:rsidR="00203928" w:rsidRPr="00203928">
        <w:rPr>
          <w:i/>
          <w:iCs/>
          <w:u w:val="single"/>
          <w:rtl/>
        </w:rPr>
        <w:t xml:space="preserve"> العالمي</w:t>
      </w:r>
      <w:r w:rsidR="00203928" w:rsidRPr="00203928">
        <w:rPr>
          <w:rFonts w:hint="cs"/>
          <w:i/>
          <w:iCs/>
          <w:u w:val="single"/>
          <w:rtl/>
        </w:rPr>
        <w:t>ة</w:t>
      </w:r>
      <w:r w:rsidR="00203928" w:rsidRPr="00203928">
        <w:rPr>
          <w:i/>
          <w:iCs/>
          <w:u w:val="single"/>
          <w:rtl/>
        </w:rPr>
        <w:t xml:space="preserve"> </w:t>
      </w:r>
      <w:r w:rsidR="00203928" w:rsidRPr="00203928">
        <w:rPr>
          <w:rFonts w:hint="cs"/>
          <w:i/>
          <w:iCs/>
          <w:u w:val="single"/>
          <w:rtl/>
        </w:rPr>
        <w:t>للاستغاثة</w:t>
      </w:r>
      <w:r w:rsidR="00203928" w:rsidRPr="00203928">
        <w:rPr>
          <w:i/>
          <w:iCs/>
          <w:u w:val="single"/>
          <w:rtl/>
        </w:rPr>
        <w:t xml:space="preserve"> والسلامة في البحر</w:t>
      </w:r>
      <w:r w:rsidR="00203928" w:rsidRPr="00203928">
        <w:rPr>
          <w:rFonts w:hint="cs"/>
          <w:i/>
          <w:iCs/>
          <w:u w:val="single"/>
          <w:rtl/>
        </w:rPr>
        <w:t xml:space="preserve"> </w:t>
      </w:r>
      <w:proofErr w:type="spellStart"/>
      <w:r w:rsidR="00203928" w:rsidRPr="00203928">
        <w:rPr>
          <w:rFonts w:hint="cs"/>
          <w:i/>
          <w:iCs/>
          <w:u w:val="single"/>
          <w:rtl/>
        </w:rPr>
        <w:t>الساتلية</w:t>
      </w:r>
      <w:proofErr w:type="spellEnd"/>
      <w:r w:rsidR="00203928" w:rsidRPr="00203928">
        <w:rPr>
          <w:rFonts w:hint="cs"/>
          <w:i/>
          <w:iCs/>
          <w:u w:val="single"/>
          <w:rtl/>
        </w:rPr>
        <w:t xml:space="preserve"> ينبغي أن تعمل ضمن بيئة التداخل للأنظمة القائمة</w:t>
      </w:r>
      <w:r w:rsidR="00203928">
        <w:rPr>
          <w:rFonts w:hint="cs"/>
          <w:i/>
          <w:iCs/>
          <w:u w:val="single"/>
          <w:rtl/>
        </w:rPr>
        <w:t>".</w:t>
      </w:r>
      <w:r w:rsidR="00D12E4B" w:rsidRPr="00203928">
        <w:rPr>
          <w:rFonts w:hint="cs"/>
          <w:b/>
          <w:bCs/>
          <w:i/>
          <w:iCs/>
          <w:u w:val="single"/>
          <w:rtl/>
          <w:lang w:val="es-ES" w:bidi="ar-EG"/>
        </w:rPr>
        <w:t xml:space="preserve"> </w:t>
      </w:r>
    </w:p>
    <w:p w14:paraId="50F730FC" w14:textId="4BE8882E" w:rsidR="00F25261" w:rsidRDefault="00F25261" w:rsidP="00F25261">
      <w:pPr>
        <w:rPr>
          <w:rtl/>
        </w:rPr>
      </w:pPr>
      <w:r>
        <w:rPr>
          <w:rFonts w:hint="cs"/>
          <w:rtl/>
          <w:lang w:bidi="ar-EG"/>
        </w:rPr>
        <w:t>’</w:t>
      </w:r>
      <w:r>
        <w:rPr>
          <w:lang w:bidi="ar-EG"/>
        </w:rPr>
        <w:t>5</w:t>
      </w:r>
      <w:r>
        <w:rPr>
          <w:rFonts w:hint="cs"/>
          <w:rtl/>
          <w:lang w:bidi="ar-EG"/>
        </w:rPr>
        <w:t>‘</w:t>
      </w:r>
      <w:r>
        <w:rPr>
          <w:lang w:bidi="ar-EG"/>
        </w:rPr>
        <w:tab/>
      </w:r>
      <w:r w:rsidR="00203928" w:rsidRPr="00203928">
        <w:rPr>
          <w:rFonts w:hint="cs"/>
          <w:rtl/>
        </w:rPr>
        <w:t>وتُتاح ل</w:t>
      </w:r>
      <w:r w:rsidR="005E4EA2">
        <w:rPr>
          <w:rFonts w:hint="cs"/>
          <w:rtl/>
        </w:rPr>
        <w:t xml:space="preserve">خدمة نظام </w:t>
      </w:r>
      <w:r w:rsidR="005E4EA2">
        <w:rPr>
          <w:rFonts w:hint="cs"/>
        </w:rPr>
        <w:t>Iridium</w:t>
      </w:r>
      <w:r w:rsidR="00203928" w:rsidRPr="00203928">
        <w:rPr>
          <w:rFonts w:hint="cs"/>
          <w:rtl/>
          <w:lang w:val="es-ES" w:bidi="ar-EG"/>
        </w:rPr>
        <w:t xml:space="preserve"> تدابير تضمن توافق عملياتها </w:t>
      </w:r>
      <w:r w:rsidRPr="00203928">
        <w:rPr>
          <w:rFonts w:hint="cs"/>
          <w:rtl/>
        </w:rPr>
        <w:t xml:space="preserve">مع </w:t>
      </w:r>
      <w:proofErr w:type="spellStart"/>
      <w:r w:rsidRPr="00203928">
        <w:rPr>
          <w:rFonts w:hint="cs"/>
          <w:rtl/>
        </w:rPr>
        <w:t>مطاريف</w:t>
      </w:r>
      <w:proofErr w:type="spellEnd"/>
      <w:r w:rsidRPr="00203928">
        <w:rPr>
          <w:rFonts w:hint="cs"/>
          <w:rtl/>
        </w:rPr>
        <w:t xml:space="preserve"> المحطات الأرضية المتنقلة القائمة المستقرة بالنسبة إلى الأرض</w:t>
      </w:r>
      <w:r w:rsidR="00203928" w:rsidRPr="00203928">
        <w:rPr>
          <w:rFonts w:hint="cs"/>
          <w:rtl/>
        </w:rPr>
        <w:t xml:space="preserve">، </w:t>
      </w:r>
      <w:r w:rsidRPr="00203928">
        <w:rPr>
          <w:rFonts w:hint="cs"/>
          <w:rtl/>
        </w:rPr>
        <w:t>العاملة في النطاقات المجاورة</w:t>
      </w:r>
      <w:r w:rsidR="00203928">
        <w:rPr>
          <w:rFonts w:hint="cs"/>
          <w:rtl/>
        </w:rPr>
        <w:t>، عن طريق ما يلي:</w:t>
      </w:r>
    </w:p>
    <w:p w14:paraId="361F139B" w14:textId="726ABA60" w:rsidR="00F25261" w:rsidRPr="00203928" w:rsidRDefault="00F25261" w:rsidP="00BD3934">
      <w:pPr>
        <w:pStyle w:val="enumlev2"/>
        <w:rPr>
          <w:rtl/>
          <w:lang w:val="es-ES" w:bidi="ar-EG"/>
        </w:rPr>
      </w:pPr>
      <w:r>
        <w:rPr>
          <w:rFonts w:hint="eastAsia"/>
          <w:rtl/>
          <w:lang w:bidi="ar-EG"/>
        </w:rPr>
        <w:t> </w:t>
      </w:r>
      <w:proofErr w:type="gramStart"/>
      <w:r>
        <w:rPr>
          <w:rFonts w:hint="cs"/>
          <w:rtl/>
          <w:lang w:bidi="ar-EG"/>
        </w:rPr>
        <w:t>أ )</w:t>
      </w:r>
      <w:proofErr w:type="gramEnd"/>
      <w:r>
        <w:rPr>
          <w:rtl/>
          <w:lang w:bidi="ar-EG"/>
        </w:rPr>
        <w:tab/>
      </w:r>
      <w:r w:rsidR="00203928">
        <w:rPr>
          <w:rFonts w:hint="cs"/>
          <w:rtl/>
          <w:lang w:bidi="ar-EG"/>
        </w:rPr>
        <w:t xml:space="preserve">توفير هامش مناسب في وصلات النظام في تصميم </w:t>
      </w:r>
      <w:proofErr w:type="spellStart"/>
      <w:r w:rsidR="00203928">
        <w:rPr>
          <w:rFonts w:hint="cs"/>
          <w:rtl/>
          <w:lang w:bidi="ar-EG"/>
        </w:rPr>
        <w:t>المطاريف</w:t>
      </w:r>
      <w:proofErr w:type="spellEnd"/>
      <w:r w:rsidR="00203928">
        <w:rPr>
          <w:rFonts w:hint="cs"/>
          <w:rtl/>
          <w:lang w:bidi="ar-EG"/>
        </w:rPr>
        <w:t xml:space="preserve"> غير المستقرة بالنسبة إلى الأرض الممتثلة لأحكام القرار المذكور في نظام </w:t>
      </w:r>
      <w:r w:rsidR="00203928">
        <w:rPr>
          <w:lang w:val="en-GB" w:bidi="ar-EG"/>
        </w:rPr>
        <w:t>GMDSS</w:t>
      </w:r>
      <w:r w:rsidR="00203928">
        <w:rPr>
          <w:rFonts w:hint="cs"/>
          <w:rtl/>
          <w:lang w:val="es-ES" w:bidi="ar-EG"/>
        </w:rPr>
        <w:t>،</w:t>
      </w:r>
    </w:p>
    <w:p w14:paraId="37FE94CD" w14:textId="715BDD65" w:rsidR="00F25261" w:rsidRPr="00731949" w:rsidRDefault="00F25261" w:rsidP="00BD3934">
      <w:pPr>
        <w:pStyle w:val="enumlev2"/>
        <w:rPr>
          <w:rtl/>
          <w:lang w:val="es-ES" w:bidi="ar-EG"/>
        </w:rPr>
      </w:pPr>
      <w:r>
        <w:rPr>
          <w:rFonts w:hint="cs"/>
          <w:rtl/>
          <w:lang w:bidi="ar-EG"/>
        </w:rPr>
        <w:t>ب)</w:t>
      </w:r>
      <w:r>
        <w:rPr>
          <w:rtl/>
          <w:lang w:bidi="ar-EG"/>
        </w:rPr>
        <w:tab/>
      </w:r>
      <w:r w:rsidR="00731949">
        <w:rPr>
          <w:rFonts w:hint="cs"/>
          <w:rtl/>
          <w:lang w:bidi="ar-EG"/>
        </w:rPr>
        <w:t>و</w:t>
      </w:r>
      <w:r w:rsidR="00203928">
        <w:rPr>
          <w:rFonts w:hint="cs"/>
          <w:rtl/>
          <w:lang w:bidi="ar-EG"/>
        </w:rPr>
        <w:t xml:space="preserve">ضمان </w:t>
      </w:r>
      <w:r w:rsidR="00731949">
        <w:rPr>
          <w:rFonts w:hint="cs"/>
          <w:rtl/>
          <w:lang w:bidi="ar-EG"/>
        </w:rPr>
        <w:t xml:space="preserve">ألا تكون المُستقبلات غير المستقرة بالنسبة إلى الأرض في نظام </w:t>
      </w:r>
      <w:r w:rsidR="00731949">
        <w:rPr>
          <w:lang w:val="en-GB" w:bidi="ar-EG"/>
        </w:rPr>
        <w:t>GMDSS</w:t>
      </w:r>
      <w:r w:rsidR="00731949">
        <w:rPr>
          <w:rFonts w:hint="cs"/>
          <w:rtl/>
          <w:lang w:val="es-ES" w:bidi="ar-EG"/>
        </w:rPr>
        <w:t xml:space="preserve"> غير حساسة لتشغيل </w:t>
      </w:r>
      <w:proofErr w:type="spellStart"/>
      <w:r w:rsidR="00731949">
        <w:rPr>
          <w:rFonts w:hint="cs"/>
          <w:rtl/>
          <w:lang w:val="es-ES" w:bidi="ar-EG"/>
        </w:rPr>
        <w:t>مطاريف</w:t>
      </w:r>
      <w:proofErr w:type="spellEnd"/>
      <w:r w:rsidR="00731949">
        <w:rPr>
          <w:rFonts w:hint="cs"/>
          <w:rtl/>
          <w:lang w:val="es-ES" w:bidi="ar-EG"/>
        </w:rPr>
        <w:t xml:space="preserve"> المحطات الأرضية المتحركة المستقرة بالنسبة إلى الأرض، العاملة في النطاقات المجاورة، </w:t>
      </w:r>
    </w:p>
    <w:p w14:paraId="3C9F43A8" w14:textId="39D7BF0A" w:rsidR="00F25261" w:rsidRPr="00731949" w:rsidRDefault="00F25261" w:rsidP="00BD3934">
      <w:pPr>
        <w:pStyle w:val="enumlev2"/>
        <w:rPr>
          <w:lang w:val="es-ES" w:bidi="ar-EG"/>
        </w:rPr>
      </w:pPr>
      <w:r>
        <w:rPr>
          <w:rFonts w:hint="cs"/>
          <w:rtl/>
          <w:lang w:bidi="ar-EG"/>
        </w:rPr>
        <w:t>ج)</w:t>
      </w:r>
      <w:r>
        <w:rPr>
          <w:rtl/>
          <w:lang w:bidi="ar-EG"/>
        </w:rPr>
        <w:tab/>
      </w:r>
      <w:r w:rsidR="00731949">
        <w:rPr>
          <w:rFonts w:hint="cs"/>
          <w:rtl/>
          <w:lang w:bidi="ar-EG"/>
        </w:rPr>
        <w:t xml:space="preserve">المباعدة الكافية بين الموجات الحاملة في النظام غير المستقر بالنسبة إلى الأرض في الخدمة المتنقلة </w:t>
      </w:r>
      <w:proofErr w:type="spellStart"/>
      <w:r w:rsidR="00731949">
        <w:rPr>
          <w:rFonts w:hint="cs"/>
          <w:rtl/>
          <w:lang w:bidi="ar-EG"/>
        </w:rPr>
        <w:t>الساتلية</w:t>
      </w:r>
      <w:proofErr w:type="spellEnd"/>
      <w:r w:rsidR="00CC140C">
        <w:rPr>
          <w:rFonts w:hint="cs"/>
          <w:rtl/>
          <w:lang w:val="es-ES" w:bidi="ar-EG"/>
        </w:rPr>
        <w:t xml:space="preserve"> بمقدار</w:t>
      </w:r>
      <w:r w:rsidR="00731949">
        <w:rPr>
          <w:rFonts w:hint="cs"/>
          <w:rtl/>
          <w:lang w:bidi="ar-EG"/>
        </w:rPr>
        <w:t xml:space="preserve"> </w:t>
      </w:r>
      <w:r w:rsidR="00731949">
        <w:rPr>
          <w:lang w:val="en-GB" w:bidi="ar-EG"/>
        </w:rPr>
        <w:t>1 626,5</w:t>
      </w:r>
      <w:r w:rsidR="00731949">
        <w:rPr>
          <w:rFonts w:hint="cs"/>
          <w:rtl/>
          <w:lang w:val="es-ES" w:bidi="ar-EG"/>
        </w:rPr>
        <w:t xml:space="preserve"> </w:t>
      </w:r>
      <w:r w:rsidR="00731949">
        <w:rPr>
          <w:lang w:val="en-GB" w:bidi="ar-EG"/>
        </w:rPr>
        <w:t>MHz</w:t>
      </w:r>
      <w:r w:rsidR="00731949">
        <w:rPr>
          <w:rFonts w:hint="cs"/>
          <w:rtl/>
          <w:lang w:val="es-ES" w:bidi="ar-EG"/>
        </w:rPr>
        <w:t xml:space="preserve"> </w:t>
      </w:r>
      <w:r w:rsidR="00731949">
        <w:rPr>
          <w:rFonts w:hint="cs"/>
          <w:rtl/>
          <w:lang w:bidi="ar-EG"/>
        </w:rPr>
        <w:t>عند اللزوم،</w:t>
      </w:r>
    </w:p>
    <w:p w14:paraId="44F34CF0" w14:textId="5027B41F" w:rsidR="00F25261" w:rsidRPr="00CC140C" w:rsidRDefault="00F25261" w:rsidP="00BD3934">
      <w:pPr>
        <w:pStyle w:val="enumlev2"/>
        <w:rPr>
          <w:rtl/>
          <w:lang w:val="es-ES" w:bidi="ar-EG"/>
        </w:rPr>
      </w:pPr>
      <w:proofErr w:type="gramStart"/>
      <w:r>
        <w:rPr>
          <w:rFonts w:hint="cs"/>
          <w:rtl/>
          <w:lang w:bidi="ar-EG"/>
        </w:rPr>
        <w:t>د )</w:t>
      </w:r>
      <w:proofErr w:type="gramEnd"/>
      <w:r>
        <w:rPr>
          <w:rtl/>
          <w:lang w:bidi="ar-EG"/>
        </w:rPr>
        <w:tab/>
      </w:r>
      <w:r w:rsidR="00CC140C">
        <w:rPr>
          <w:rFonts w:hint="cs"/>
          <w:rtl/>
          <w:lang w:val="es-ES" w:bidi="ar-EG"/>
        </w:rPr>
        <w:t xml:space="preserve">التدابير التي يتخذها مُصنِّع </w:t>
      </w:r>
      <w:proofErr w:type="spellStart"/>
      <w:r w:rsidR="00CC140C">
        <w:rPr>
          <w:rFonts w:hint="cs"/>
          <w:rtl/>
          <w:lang w:val="es-ES" w:bidi="ar-EG"/>
        </w:rPr>
        <w:t>المطاريف</w:t>
      </w:r>
      <w:proofErr w:type="spellEnd"/>
      <w:r w:rsidR="00CC140C">
        <w:rPr>
          <w:rFonts w:hint="cs"/>
          <w:rtl/>
          <w:lang w:val="es-ES" w:bidi="ar-EG"/>
        </w:rPr>
        <w:t xml:space="preserve"> للتخفيف من أي تداخلات، عن طريق تصميمها ومعايير أداء المعدّات،</w:t>
      </w:r>
    </w:p>
    <w:p w14:paraId="613FF5E7" w14:textId="74BA25E4" w:rsidR="00F25261" w:rsidRDefault="00F25261" w:rsidP="005E4EA2">
      <w:pPr>
        <w:pStyle w:val="enumlev2"/>
        <w:rPr>
          <w:rtl/>
          <w:lang w:bidi="ar-EG"/>
        </w:rPr>
      </w:pPr>
      <w:proofErr w:type="gramStart"/>
      <w:r>
        <w:rPr>
          <w:rFonts w:hint="cs"/>
          <w:rtl/>
          <w:lang w:bidi="ar-EG"/>
        </w:rPr>
        <w:t>ه )</w:t>
      </w:r>
      <w:proofErr w:type="gramEnd"/>
      <w:r>
        <w:rPr>
          <w:rtl/>
          <w:lang w:bidi="ar-EG"/>
        </w:rPr>
        <w:tab/>
      </w:r>
      <w:r w:rsidR="00CC140C">
        <w:rPr>
          <w:rFonts w:hint="cs"/>
          <w:rtl/>
          <w:lang w:bidi="ar-EG"/>
        </w:rPr>
        <w:t xml:space="preserve">ومبادئ توجيهية لتركيب </w:t>
      </w:r>
      <w:proofErr w:type="spellStart"/>
      <w:r w:rsidR="00CC140C">
        <w:rPr>
          <w:rFonts w:hint="cs"/>
          <w:rtl/>
          <w:lang w:bidi="ar-EG"/>
        </w:rPr>
        <w:t>المطاريف</w:t>
      </w:r>
      <w:proofErr w:type="spellEnd"/>
      <w:r w:rsidR="00CC140C">
        <w:rPr>
          <w:rFonts w:hint="cs"/>
          <w:rtl/>
          <w:lang w:bidi="ar-EG"/>
        </w:rPr>
        <w:t xml:space="preserve"> غير المستقرة بالنسبة إلى الأرض على متن السفن.</w:t>
      </w:r>
    </w:p>
    <w:p w14:paraId="238323CF" w14:textId="4805FDF9" w:rsidR="00F25261" w:rsidRPr="00C03994" w:rsidRDefault="00F25261" w:rsidP="00C03994">
      <w:pPr>
        <w:rPr>
          <w:rtl/>
          <w:lang w:val="es-ES" w:bidi="ar-EG"/>
        </w:rPr>
      </w:pPr>
      <w:r>
        <w:rPr>
          <w:rFonts w:hint="cs"/>
          <w:rtl/>
          <w:lang w:bidi="ar-EG"/>
        </w:rPr>
        <w:lastRenderedPageBreak/>
        <w:t>’</w:t>
      </w:r>
      <w:r>
        <w:rPr>
          <w:lang w:bidi="ar-EG"/>
        </w:rPr>
        <w:t>6</w:t>
      </w:r>
      <w:r>
        <w:rPr>
          <w:rFonts w:hint="cs"/>
          <w:rtl/>
          <w:lang w:bidi="ar-EG"/>
        </w:rPr>
        <w:t>‘</w:t>
      </w:r>
      <w:r>
        <w:rPr>
          <w:lang w:bidi="ar-EG"/>
        </w:rPr>
        <w:tab/>
      </w:r>
      <w:r w:rsidR="005E4EA2">
        <w:rPr>
          <w:rFonts w:hint="cs"/>
          <w:rtl/>
          <w:lang w:bidi="ar-EG"/>
        </w:rPr>
        <w:t xml:space="preserve">والموافقة على نظام </w:t>
      </w:r>
      <w:r w:rsidR="005E4EA2">
        <w:rPr>
          <w:lang w:val="en-GB" w:bidi="ar-EG"/>
        </w:rPr>
        <w:t>Iridium</w:t>
      </w:r>
      <w:r w:rsidR="005E4EA2">
        <w:rPr>
          <w:rFonts w:hint="cs"/>
          <w:rtl/>
          <w:lang w:val="es-ES" w:bidi="ar-EG"/>
        </w:rPr>
        <w:t xml:space="preserve"> كمقدِّم للخدمة في نظام </w:t>
      </w:r>
      <w:r w:rsidR="005E4EA2">
        <w:rPr>
          <w:lang w:val="en-GB" w:bidi="ar-EG"/>
        </w:rPr>
        <w:t>GMDSS</w:t>
      </w:r>
      <w:r w:rsidR="005E4EA2">
        <w:rPr>
          <w:rFonts w:hint="cs"/>
          <w:rtl/>
          <w:lang w:val="es-ES" w:bidi="ar-EG"/>
        </w:rPr>
        <w:t xml:space="preserve"> تهدد بخطر زيادة عبء التداخلات الواردة إلى </w:t>
      </w:r>
      <w:proofErr w:type="spellStart"/>
      <w:r w:rsidR="005E4EA2">
        <w:rPr>
          <w:rFonts w:hint="cs"/>
          <w:rtl/>
          <w:lang w:val="es-ES" w:bidi="ar-EG"/>
        </w:rPr>
        <w:t>مطاريفه</w:t>
      </w:r>
      <w:proofErr w:type="spellEnd"/>
      <w:r w:rsidR="005E4EA2">
        <w:rPr>
          <w:rFonts w:hint="cs"/>
          <w:rtl/>
          <w:lang w:val="es-ES" w:bidi="ar-EG"/>
        </w:rPr>
        <w:t xml:space="preserve"> في نظام </w:t>
      </w:r>
      <w:r w:rsidR="005E4EA2">
        <w:rPr>
          <w:lang w:val="en-GB" w:bidi="ar-EG"/>
        </w:rPr>
        <w:t>GMDSS</w:t>
      </w:r>
      <w:r w:rsidR="005E4EA2">
        <w:rPr>
          <w:rFonts w:hint="cs"/>
          <w:rtl/>
          <w:lang w:val="es-ES" w:bidi="ar-EG"/>
        </w:rPr>
        <w:t xml:space="preserve"> من </w:t>
      </w:r>
      <w:proofErr w:type="spellStart"/>
      <w:r w:rsidR="005E4EA2">
        <w:rPr>
          <w:rFonts w:hint="cs"/>
          <w:rtl/>
          <w:lang w:val="es-ES" w:bidi="ar-EG"/>
        </w:rPr>
        <w:t>مطاريف</w:t>
      </w:r>
      <w:proofErr w:type="spellEnd"/>
      <w:r w:rsidR="005E4EA2">
        <w:rPr>
          <w:rFonts w:hint="cs"/>
          <w:rtl/>
          <w:lang w:val="es-ES" w:bidi="ar-EG"/>
        </w:rPr>
        <w:t xml:space="preserve"> </w:t>
      </w:r>
      <w:r w:rsidR="005E4EA2">
        <w:rPr>
          <w:lang w:val="en-GB" w:bidi="ar-EG"/>
        </w:rPr>
        <w:t>Inmarsat</w:t>
      </w:r>
      <w:r w:rsidR="005E4EA2">
        <w:rPr>
          <w:rFonts w:hint="cs"/>
          <w:rtl/>
          <w:lang w:val="es-ES" w:bidi="ar-EG"/>
        </w:rPr>
        <w:t xml:space="preserve"> على متن السفينة ذاتها. ووفقاً للفقرة ه) من "وإذ يضع في اعتباره" من القرار </w:t>
      </w:r>
      <w:r w:rsidR="005E4EA2" w:rsidRPr="0069773C">
        <w:rPr>
          <w:b/>
          <w:bCs/>
        </w:rPr>
        <w:t>(Rev.</w:t>
      </w:r>
      <w:r w:rsidR="009E156D">
        <w:rPr>
          <w:b/>
          <w:bCs/>
        </w:rPr>
        <w:t>WRC</w:t>
      </w:r>
      <w:r w:rsidR="009E156D">
        <w:rPr>
          <w:b/>
          <w:bCs/>
        </w:rPr>
        <w:noBreakHyphen/>
      </w:r>
      <w:r w:rsidR="005E4EA2" w:rsidRPr="0069773C">
        <w:rPr>
          <w:b/>
          <w:bCs/>
        </w:rPr>
        <w:t>15)</w:t>
      </w:r>
      <w:r w:rsidR="005E4EA2">
        <w:rPr>
          <w:rFonts w:hint="cs"/>
          <w:b/>
          <w:bCs/>
          <w:rtl/>
          <w:lang w:val="es-ES" w:bidi="ar-EG"/>
        </w:rPr>
        <w:t xml:space="preserve"> </w:t>
      </w:r>
      <w:r w:rsidR="005E4EA2" w:rsidRPr="0069773C">
        <w:rPr>
          <w:b/>
        </w:rPr>
        <w:t>359</w:t>
      </w:r>
      <w:r w:rsidR="005E4EA2">
        <w:rPr>
          <w:rFonts w:hint="cs"/>
          <w:b/>
          <w:rtl/>
          <w:lang w:val="es-ES" w:bidi="ar-EG"/>
        </w:rPr>
        <w:t xml:space="preserve">، فنظام </w:t>
      </w:r>
      <w:r w:rsidR="005E4EA2" w:rsidRPr="005E4EA2">
        <w:rPr>
          <w:bCs/>
          <w:lang w:val="en-GB" w:bidi="ar-EG"/>
        </w:rPr>
        <w:t>Iridium</w:t>
      </w:r>
      <w:r w:rsidR="005E4EA2">
        <w:rPr>
          <w:rFonts w:hint="cs"/>
          <w:b/>
          <w:rtl/>
          <w:lang w:val="es-ES" w:bidi="ar-EG"/>
        </w:rPr>
        <w:t xml:space="preserve"> هو المسؤول عن إدارة هذا النمط من التداخلات</w:t>
      </w:r>
      <w:r w:rsidR="003D02FA">
        <w:rPr>
          <w:rFonts w:hint="cs"/>
          <w:b/>
          <w:rtl/>
          <w:lang w:val="es-ES" w:bidi="ar-EG"/>
        </w:rPr>
        <w:t>.</w:t>
      </w:r>
    </w:p>
    <w:p w14:paraId="61FDB753" w14:textId="1E690AA0" w:rsidR="00F25261" w:rsidRPr="00ED3434" w:rsidRDefault="00F25261" w:rsidP="00C03994">
      <w:pPr>
        <w:rPr>
          <w:rtl/>
          <w:lang w:val="en-GB"/>
        </w:rPr>
      </w:pPr>
      <w:r>
        <w:rPr>
          <w:rFonts w:hint="cs"/>
          <w:rtl/>
          <w:lang w:bidi="ar-EG"/>
        </w:rPr>
        <w:t>’</w:t>
      </w:r>
      <w:r>
        <w:rPr>
          <w:lang w:bidi="ar-EG"/>
        </w:rPr>
        <w:t>7</w:t>
      </w:r>
      <w:r>
        <w:rPr>
          <w:rFonts w:hint="cs"/>
          <w:rtl/>
          <w:lang w:bidi="ar-EG"/>
        </w:rPr>
        <w:t>‘</w:t>
      </w:r>
      <w:r>
        <w:rPr>
          <w:lang w:bidi="ar-EG"/>
        </w:rPr>
        <w:tab/>
      </w:r>
      <w:r w:rsidR="00C03994">
        <w:rPr>
          <w:rFonts w:hint="cs"/>
          <w:rtl/>
          <w:lang w:val="es-ES" w:bidi="ar-EG"/>
        </w:rPr>
        <w:t xml:space="preserve">وإذا لم يُنفذ مقدِّم الخدمة الجديد تدابير مناسبة، فقد تتعرض مُستقبلات </w:t>
      </w:r>
      <w:r w:rsidR="00C03994">
        <w:rPr>
          <w:lang w:val="en-GB" w:bidi="ar-EG"/>
        </w:rPr>
        <w:t>Iridium</w:t>
      </w:r>
      <w:r w:rsidR="00C03994">
        <w:rPr>
          <w:rFonts w:hint="cs"/>
          <w:rtl/>
          <w:lang w:val="es-ES" w:bidi="ar-EG"/>
        </w:rPr>
        <w:t xml:space="preserve"> لتداخل من </w:t>
      </w:r>
      <w:proofErr w:type="spellStart"/>
      <w:r w:rsidR="00C03994">
        <w:rPr>
          <w:rFonts w:hint="cs"/>
          <w:rtl/>
          <w:lang w:val="es-ES" w:bidi="ar-EG"/>
        </w:rPr>
        <w:t>مطاريف</w:t>
      </w:r>
      <w:proofErr w:type="spellEnd"/>
      <w:r w:rsidR="00C03994">
        <w:rPr>
          <w:rFonts w:hint="cs"/>
          <w:rtl/>
          <w:lang w:val="es-ES" w:bidi="ar-EG"/>
        </w:rPr>
        <w:t xml:space="preserve"> </w:t>
      </w:r>
      <w:r w:rsidR="00C03994">
        <w:rPr>
          <w:lang w:val="en-GB" w:bidi="ar-EG"/>
        </w:rPr>
        <w:t>Inmarsat</w:t>
      </w:r>
      <w:r w:rsidR="00C03994">
        <w:rPr>
          <w:rFonts w:hint="cs"/>
          <w:rtl/>
          <w:lang w:val="es-ES" w:bidi="ar-EG"/>
        </w:rPr>
        <w:t xml:space="preserve">، ولا سيما نتيجةً لزيادة العبء على مُستقبلات </w:t>
      </w:r>
      <w:r w:rsidR="00C03994" w:rsidRPr="005E4EA2">
        <w:rPr>
          <w:bCs/>
          <w:lang w:val="en-GB" w:bidi="ar-EG"/>
        </w:rPr>
        <w:t>Iridium</w:t>
      </w:r>
      <w:r w:rsidR="00C03994">
        <w:rPr>
          <w:rFonts w:hint="cs"/>
          <w:bCs/>
          <w:rtl/>
          <w:lang w:val="en-GB" w:bidi="ar-EG"/>
        </w:rPr>
        <w:t>.</w:t>
      </w:r>
      <w:r w:rsidR="00ED3434">
        <w:rPr>
          <w:rFonts w:hint="cs"/>
          <w:bCs/>
          <w:rtl/>
          <w:lang w:val="en-GB" w:bidi="ar-EG"/>
        </w:rPr>
        <w:t xml:space="preserve"> </w:t>
      </w:r>
      <w:r w:rsidR="00ED3434" w:rsidRPr="00ED3434">
        <w:rPr>
          <w:rFonts w:hint="cs"/>
          <w:b/>
          <w:rtl/>
          <w:lang w:val="en-GB" w:bidi="ar-EG"/>
        </w:rPr>
        <w:t xml:space="preserve">وأُبلغ في الماضي عن تعرّض </w:t>
      </w:r>
      <w:proofErr w:type="spellStart"/>
      <w:r w:rsidR="00ED3434" w:rsidRPr="00ED3434">
        <w:rPr>
          <w:rFonts w:hint="cs"/>
          <w:b/>
          <w:rtl/>
          <w:lang w:val="en-GB" w:bidi="ar-EG"/>
        </w:rPr>
        <w:t>المطاريف</w:t>
      </w:r>
      <w:proofErr w:type="spellEnd"/>
      <w:r w:rsidR="00ED3434" w:rsidRPr="00ED3434">
        <w:rPr>
          <w:rFonts w:hint="cs"/>
          <w:b/>
          <w:rtl/>
          <w:lang w:val="en-GB" w:bidi="ar-EG"/>
        </w:rPr>
        <w:t xml:space="preserve"> المتنقلة البرية </w:t>
      </w:r>
      <w:r w:rsidR="00C87413">
        <w:rPr>
          <w:rFonts w:hint="cs"/>
          <w:b/>
          <w:rtl/>
          <w:lang w:val="en-GB" w:bidi="ar-EG"/>
        </w:rPr>
        <w:t>ل</w:t>
      </w:r>
      <w:r w:rsidR="00ED3434" w:rsidRPr="00ED3434">
        <w:rPr>
          <w:rFonts w:hint="cs"/>
          <w:b/>
          <w:rtl/>
          <w:lang w:val="en-GB" w:bidi="ar-EG"/>
        </w:rPr>
        <w:t>هذا النمط من التداخلات.</w:t>
      </w:r>
      <w:r w:rsidR="00C03994">
        <w:rPr>
          <w:rFonts w:hint="cs"/>
          <w:bCs/>
          <w:rtl/>
          <w:lang w:val="en-GB" w:bidi="ar-EG"/>
        </w:rPr>
        <w:t xml:space="preserve"> </w:t>
      </w:r>
      <w:r w:rsidR="00ED3434" w:rsidRPr="00ED3434">
        <w:rPr>
          <w:rFonts w:hint="cs"/>
          <w:b/>
          <w:rtl/>
          <w:lang w:val="en-GB" w:bidi="ar-EG"/>
        </w:rPr>
        <w:t xml:space="preserve">وقد تعايشت </w:t>
      </w:r>
      <w:proofErr w:type="spellStart"/>
      <w:r w:rsidR="00ED3434">
        <w:rPr>
          <w:rFonts w:hint="cs"/>
          <w:b/>
          <w:rtl/>
          <w:lang w:val="en-GB" w:bidi="ar-EG"/>
        </w:rPr>
        <w:t>المطاريف</w:t>
      </w:r>
      <w:proofErr w:type="spellEnd"/>
      <w:r w:rsidR="00ED3434">
        <w:rPr>
          <w:rFonts w:hint="cs"/>
          <w:b/>
          <w:rtl/>
          <w:lang w:val="en-GB" w:bidi="ar-EG"/>
        </w:rPr>
        <w:t xml:space="preserve"> البحرية لنظامي</w:t>
      </w:r>
      <w:r w:rsidR="00ED3434">
        <w:rPr>
          <w:rFonts w:hint="cs"/>
          <w:bCs/>
          <w:rtl/>
          <w:lang w:val="en-GB" w:bidi="ar-EG"/>
        </w:rPr>
        <w:t xml:space="preserve"> </w:t>
      </w:r>
      <w:r w:rsidR="00ED3434" w:rsidRPr="005E4EA2">
        <w:rPr>
          <w:bCs/>
          <w:lang w:val="en-GB" w:bidi="ar-EG"/>
        </w:rPr>
        <w:t>Iridium</w:t>
      </w:r>
      <w:r w:rsidR="00ED3434">
        <w:rPr>
          <w:rFonts w:hint="cs"/>
          <w:bCs/>
          <w:rtl/>
          <w:lang w:val="en-GB" w:bidi="ar-EG"/>
        </w:rPr>
        <w:t xml:space="preserve"> و</w:t>
      </w:r>
      <w:r w:rsidR="00ED3434">
        <w:rPr>
          <w:bCs/>
          <w:lang w:val="en-GB" w:bidi="ar-EG"/>
        </w:rPr>
        <w:t>Inmarsat</w:t>
      </w:r>
      <w:r w:rsidR="00ED3434">
        <w:rPr>
          <w:rFonts w:hint="cs"/>
          <w:bCs/>
          <w:rtl/>
          <w:lang w:val="es-ES" w:bidi="ar-EG"/>
        </w:rPr>
        <w:t xml:space="preserve"> </w:t>
      </w:r>
      <w:r w:rsidR="00ED3434">
        <w:rPr>
          <w:rFonts w:hint="cs"/>
          <w:b/>
          <w:rtl/>
          <w:lang w:val="en-GB" w:bidi="ar-EG"/>
        </w:rPr>
        <w:t xml:space="preserve">في النطاقات المجاورة لسنوات عديدة في بيئة التداخل القائمة، ويمكن لهذا الوضع أن يستمر في المستقبل شريطة عدم تغيير الإطار التنظيمي فيما يتعلق باحتمال ورود تداخل من المحطات الأرضية المتحركة المستقرة بالنسبة إلى الأرض إلى </w:t>
      </w:r>
      <w:proofErr w:type="spellStart"/>
      <w:r w:rsidR="00ED3434">
        <w:rPr>
          <w:rFonts w:hint="cs"/>
          <w:b/>
          <w:rtl/>
          <w:lang w:val="en-GB" w:bidi="ar-EG"/>
        </w:rPr>
        <w:t>مطاريف</w:t>
      </w:r>
      <w:proofErr w:type="spellEnd"/>
      <w:r w:rsidR="00ED3434">
        <w:rPr>
          <w:rFonts w:hint="cs"/>
          <w:b/>
          <w:rtl/>
          <w:lang w:val="en-GB" w:bidi="ar-EG"/>
        </w:rPr>
        <w:t xml:space="preserve"> </w:t>
      </w:r>
      <w:r w:rsidR="00ED3434" w:rsidRPr="005E4EA2">
        <w:rPr>
          <w:bCs/>
          <w:lang w:val="en-GB" w:bidi="ar-EG"/>
        </w:rPr>
        <w:t>Iridium</w:t>
      </w:r>
      <w:r w:rsidR="00ED3434">
        <w:rPr>
          <w:rFonts w:hint="cs"/>
          <w:b/>
          <w:rtl/>
          <w:lang w:val="en-GB" w:bidi="ar-EG"/>
        </w:rPr>
        <w:t>.</w:t>
      </w:r>
    </w:p>
    <w:p w14:paraId="7EEC85E8" w14:textId="6A3FD795" w:rsidR="00F25261" w:rsidRPr="009E156D" w:rsidRDefault="00F25261" w:rsidP="00F25261">
      <w:pPr>
        <w:pStyle w:val="enumlev1"/>
        <w:rPr>
          <w:b/>
          <w:bCs/>
          <w:rtl/>
          <w:lang w:bidi="ar-EG"/>
        </w:rPr>
      </w:pPr>
      <w:r w:rsidRPr="009E156D">
        <w:rPr>
          <w:rFonts w:hint="cs"/>
          <w:b/>
          <w:bCs/>
          <w:rtl/>
          <w:lang w:bidi="ar-EG"/>
        </w:rPr>
        <w:t>ب</w:t>
      </w:r>
      <w:r w:rsidRPr="009E156D">
        <w:rPr>
          <w:b/>
          <w:bCs/>
          <w:rtl/>
          <w:lang w:bidi="ar-EG"/>
        </w:rPr>
        <w:tab/>
      </w:r>
      <w:r w:rsidR="00C03994" w:rsidRPr="009E156D">
        <w:rPr>
          <w:rFonts w:hint="cs"/>
          <w:b/>
          <w:bCs/>
          <w:rtl/>
          <w:lang w:bidi="ar-EG"/>
        </w:rPr>
        <w:t>الأنظمة المشغَّلة في نطاقات التردد موضع الاهتمام ونطاقات التردد المجاورة لها</w:t>
      </w:r>
    </w:p>
    <w:p w14:paraId="272390A8" w14:textId="535EE4CE" w:rsidR="00F25261" w:rsidRPr="00BA77BE" w:rsidRDefault="00BA77BE" w:rsidP="00F25261">
      <w:pPr>
        <w:rPr>
          <w:rtl/>
          <w:lang w:val="es-ES" w:bidi="ar-EG"/>
        </w:rPr>
      </w:pPr>
      <w:r>
        <w:rPr>
          <w:rFonts w:hint="cs"/>
          <w:rtl/>
          <w:lang w:bidi="ar-EG"/>
        </w:rPr>
        <w:t>يتضمن التذ</w:t>
      </w:r>
      <w:r>
        <w:rPr>
          <w:rFonts w:hint="cs"/>
          <w:rtl/>
          <w:lang w:val="es-ES" w:bidi="ar-EG"/>
        </w:rPr>
        <w:t>ي</w:t>
      </w:r>
      <w:r>
        <w:rPr>
          <w:rFonts w:hint="cs"/>
          <w:rtl/>
          <w:lang w:bidi="ar-EG"/>
        </w:rPr>
        <w:t xml:space="preserve">يل </w:t>
      </w:r>
      <w:r w:rsidRPr="00C87413">
        <w:rPr>
          <w:b/>
          <w:bCs/>
          <w:lang w:val="en-GB" w:bidi="ar-EG"/>
        </w:rPr>
        <w:t>15</w:t>
      </w:r>
      <w:r>
        <w:rPr>
          <w:rFonts w:hint="cs"/>
          <w:rtl/>
          <w:lang w:val="en-GB" w:bidi="ar-EG"/>
        </w:rPr>
        <w:t xml:space="preserve"> للوائح الراديو </w:t>
      </w:r>
      <w:r w:rsidRPr="0069773C">
        <w:rPr>
          <w:b/>
        </w:rPr>
        <w:t>(Rev.</w:t>
      </w:r>
      <w:r w:rsidR="009E156D">
        <w:rPr>
          <w:b/>
        </w:rPr>
        <w:t>WRC</w:t>
      </w:r>
      <w:r w:rsidR="009E156D">
        <w:rPr>
          <w:b/>
        </w:rPr>
        <w:noBreakHyphen/>
      </w:r>
      <w:r w:rsidRPr="0069773C">
        <w:rPr>
          <w:b/>
        </w:rPr>
        <w:t>15)</w:t>
      </w:r>
      <w:r>
        <w:rPr>
          <w:rFonts w:hint="cs"/>
          <w:rtl/>
          <w:lang w:val="en-GB" w:bidi="ar-EG"/>
        </w:rPr>
        <w:t xml:space="preserve"> الأحكام الأساسية فيها المتعلقة بنطاقات تردد نظام </w:t>
      </w:r>
      <w:r>
        <w:rPr>
          <w:lang w:val="en-GB" w:bidi="ar-EG"/>
        </w:rPr>
        <w:t>GMDSS</w:t>
      </w:r>
      <w:r>
        <w:rPr>
          <w:rFonts w:hint="cs"/>
          <w:rtl/>
          <w:lang w:val="es-ES" w:bidi="ar-EG"/>
        </w:rPr>
        <w:t>. "</w:t>
      </w:r>
      <w:r w:rsidR="001A13EE">
        <w:rPr>
          <w:rFonts w:hint="cs"/>
          <w:rtl/>
          <w:lang w:val="es-ES" w:bidi="ar-EG"/>
        </w:rPr>
        <w:t>ترددات اتصالات الاستغاثة والسلامة في النظام العالمي للاستغاثة والسلامة في البحر</w:t>
      </w:r>
      <w:r>
        <w:rPr>
          <w:rFonts w:hint="cs"/>
          <w:rtl/>
          <w:lang w:val="es-ES" w:bidi="ar-EG"/>
        </w:rPr>
        <w:t xml:space="preserve">" الجدول </w:t>
      </w:r>
      <w:r w:rsidRPr="00BA77BE">
        <w:rPr>
          <w:b/>
          <w:bCs/>
          <w:lang w:val="en-GB" w:bidi="ar-EG"/>
        </w:rPr>
        <w:t>2-15</w:t>
      </w:r>
      <w:r>
        <w:rPr>
          <w:rFonts w:hint="cs"/>
          <w:rtl/>
          <w:lang w:val="es-ES" w:bidi="ar-EG"/>
        </w:rPr>
        <w:t>.</w:t>
      </w:r>
    </w:p>
    <w:p w14:paraId="02E05F16" w14:textId="64F9DF87" w:rsidR="00F25261" w:rsidRPr="00E5323C" w:rsidRDefault="001B2CD7" w:rsidP="00F25261">
      <w:pPr>
        <w:rPr>
          <w:rtl/>
          <w:lang w:val="en-GB" w:bidi="ar-EG"/>
        </w:rPr>
      </w:pPr>
      <w:r>
        <w:rPr>
          <w:rFonts w:hint="cs"/>
          <w:rtl/>
          <w:lang w:bidi="ar-EG"/>
        </w:rPr>
        <w:t xml:space="preserve">إذا يحدد </w:t>
      </w:r>
      <w:r w:rsidR="00165EE8">
        <w:rPr>
          <w:rFonts w:hint="cs"/>
          <w:rtl/>
          <w:lang w:bidi="ar-EG"/>
        </w:rPr>
        <w:t xml:space="preserve">التذييل </w:t>
      </w:r>
      <w:r w:rsidR="00165EE8" w:rsidRPr="00C87413">
        <w:rPr>
          <w:b/>
          <w:bCs/>
          <w:lang w:val="en-GB" w:bidi="ar-EG"/>
        </w:rPr>
        <w:t>15</w:t>
      </w:r>
      <w:r w:rsidR="00165EE8">
        <w:rPr>
          <w:rFonts w:hint="cs"/>
          <w:rtl/>
          <w:lang w:val="es-ES" w:bidi="ar-EG"/>
        </w:rPr>
        <w:t xml:space="preserve"> للوائح الراديو </w:t>
      </w:r>
      <w:r w:rsidR="00C52B83">
        <w:rPr>
          <w:rFonts w:hint="cs"/>
          <w:rtl/>
          <w:lang w:val="es-ES" w:bidi="ar-EG"/>
        </w:rPr>
        <w:t xml:space="preserve">جميع التوزيعات الطيفية/الترددات التي يستخدمها نظام </w:t>
      </w:r>
      <w:r w:rsidR="00C52B83">
        <w:rPr>
          <w:lang w:val="en-GB" w:bidi="ar-EG"/>
        </w:rPr>
        <w:t>GMDSS</w:t>
      </w:r>
      <w:r w:rsidR="00C52B83">
        <w:rPr>
          <w:rFonts w:hint="cs"/>
          <w:rtl/>
          <w:lang w:val="es-ES" w:bidi="ar-EG"/>
        </w:rPr>
        <w:t xml:space="preserve">، </w:t>
      </w:r>
      <w:r>
        <w:rPr>
          <w:rFonts w:hint="cs"/>
          <w:rtl/>
          <w:lang w:val="es-ES" w:bidi="ar-EG"/>
        </w:rPr>
        <w:t>ف</w:t>
      </w:r>
      <w:r w:rsidR="00C52B83">
        <w:rPr>
          <w:rFonts w:hint="cs"/>
          <w:rtl/>
          <w:lang w:val="es-ES" w:bidi="ar-EG"/>
        </w:rPr>
        <w:t xml:space="preserve">الجدول </w:t>
      </w:r>
      <w:r w:rsidR="00C52B83" w:rsidRPr="00BA77BE">
        <w:rPr>
          <w:b/>
          <w:bCs/>
          <w:lang w:val="en-GB" w:bidi="ar-EG"/>
        </w:rPr>
        <w:t>2-15</w:t>
      </w:r>
      <w:r w:rsidR="00C52B83">
        <w:rPr>
          <w:rFonts w:hint="cs"/>
          <w:rtl/>
          <w:lang w:val="es-ES" w:bidi="ar-EG"/>
        </w:rPr>
        <w:t xml:space="preserve"> </w:t>
      </w:r>
      <w:r>
        <w:rPr>
          <w:rFonts w:hint="cs"/>
          <w:rtl/>
          <w:lang w:val="es-ES" w:bidi="ar-EG"/>
        </w:rPr>
        <w:t xml:space="preserve">يبين جميع التوزيعات الطيفية/الترددات فوق </w:t>
      </w:r>
      <w:r>
        <w:rPr>
          <w:lang w:val="en-GB" w:bidi="ar-EG"/>
        </w:rPr>
        <w:t>30</w:t>
      </w:r>
      <w:r>
        <w:rPr>
          <w:rFonts w:hint="cs"/>
          <w:rtl/>
          <w:lang w:val="es-ES" w:bidi="ar-EG"/>
        </w:rPr>
        <w:t xml:space="preserve"> </w:t>
      </w:r>
      <w:r>
        <w:rPr>
          <w:lang w:val="en-GB" w:bidi="ar-EG"/>
        </w:rPr>
        <w:t>MHz</w:t>
      </w:r>
      <w:r>
        <w:rPr>
          <w:rFonts w:hint="cs"/>
          <w:rtl/>
          <w:lang w:val="en-GB" w:bidi="ar-EG"/>
        </w:rPr>
        <w:t xml:space="preserve">، بما في ذلك بعضها المستخدم لتقديم الخدمة </w:t>
      </w:r>
      <w:proofErr w:type="spellStart"/>
      <w:r>
        <w:rPr>
          <w:rFonts w:hint="cs"/>
          <w:rtl/>
          <w:lang w:val="en-GB" w:bidi="ar-EG"/>
        </w:rPr>
        <w:t>الساتلية</w:t>
      </w:r>
      <w:proofErr w:type="spellEnd"/>
      <w:r>
        <w:rPr>
          <w:rFonts w:hint="cs"/>
          <w:rtl/>
          <w:lang w:val="en-GB" w:bidi="ar-EG"/>
        </w:rPr>
        <w:t xml:space="preserve"> في هذا النظام. ولا يتضمن هذا الجدول حالياً نطاق</w:t>
      </w:r>
      <w:r w:rsidR="00E5323C">
        <w:rPr>
          <w:rFonts w:hint="cs"/>
          <w:rtl/>
          <w:lang w:val="en-GB" w:bidi="ar-EG"/>
        </w:rPr>
        <w:t xml:space="preserve"> التردد</w:t>
      </w:r>
      <w:r>
        <w:rPr>
          <w:rFonts w:hint="cs"/>
          <w:rtl/>
          <w:lang w:val="en-GB" w:bidi="ar-EG"/>
        </w:rPr>
        <w:t xml:space="preserve"> </w:t>
      </w:r>
      <w:r>
        <w:rPr>
          <w:lang w:val="en-GB" w:bidi="ar-EG"/>
        </w:rPr>
        <w:t>1 626.5-1 616</w:t>
      </w:r>
      <w:r>
        <w:rPr>
          <w:rFonts w:hint="cs"/>
          <w:rtl/>
          <w:lang w:val="es-ES" w:bidi="ar-EG"/>
        </w:rPr>
        <w:t xml:space="preserve"> </w:t>
      </w:r>
      <w:r>
        <w:rPr>
          <w:lang w:val="en-GB" w:bidi="ar-EG"/>
        </w:rPr>
        <w:t>GHz</w:t>
      </w:r>
      <w:r w:rsidR="00E5323C">
        <w:rPr>
          <w:rFonts w:hint="cs"/>
          <w:rtl/>
          <w:lang w:val="en-GB" w:bidi="ar-EG"/>
        </w:rPr>
        <w:t xml:space="preserve"> الموزَّع لنظام </w:t>
      </w:r>
      <w:r w:rsidR="00E5323C">
        <w:rPr>
          <w:lang w:val="en-GB" w:bidi="ar-EG"/>
        </w:rPr>
        <w:t>Iridium</w:t>
      </w:r>
      <w:r w:rsidR="00E5323C">
        <w:rPr>
          <w:rFonts w:hint="cs"/>
          <w:rtl/>
          <w:lang w:val="en-GB" w:bidi="ar-EG"/>
        </w:rPr>
        <w:t>.</w:t>
      </w:r>
    </w:p>
    <w:p w14:paraId="4B951C3B" w14:textId="48578472" w:rsidR="00F25261" w:rsidRDefault="00F25261" w:rsidP="009E156D">
      <w:pPr>
        <w:pStyle w:val="Heading2"/>
        <w:rPr>
          <w:rtl/>
        </w:rPr>
      </w:pPr>
      <w:r>
        <w:t>3.1</w:t>
      </w:r>
      <w:r>
        <w:tab/>
      </w:r>
      <w:r w:rsidR="00BF4EF8" w:rsidRPr="00C45675">
        <w:rPr>
          <w:rFonts w:hint="cs"/>
          <w:rtl/>
        </w:rPr>
        <w:t xml:space="preserve">قائمة </w:t>
      </w:r>
      <w:r w:rsidR="00C45675" w:rsidRPr="00C45675">
        <w:rPr>
          <w:rFonts w:hint="cs"/>
          <w:rtl/>
        </w:rPr>
        <w:t>توصيات قطاع الاتصالات وتقاريره ذات الصلة</w:t>
      </w:r>
    </w:p>
    <w:p w14:paraId="7D1D0B2A" w14:textId="17C4D831" w:rsidR="00F25261" w:rsidRDefault="00F25261" w:rsidP="00F25261">
      <w:pPr>
        <w:rPr>
          <w:rtl/>
          <w:lang w:bidi="ar-EG"/>
        </w:rPr>
      </w:pPr>
      <w:r w:rsidRPr="00BF4EF8">
        <w:rPr>
          <w:rFonts w:hint="cs"/>
          <w:rtl/>
          <w:lang w:bidi="ar-EG"/>
        </w:rPr>
        <w:t xml:space="preserve">الفقرة </w:t>
      </w:r>
      <w:r w:rsidRPr="00BF4EF8">
        <w:rPr>
          <w:b/>
          <w:bCs/>
          <w:i/>
          <w:iCs/>
          <w:lang w:bidi="ar-EG"/>
        </w:rPr>
        <w:t>2</w:t>
      </w:r>
      <w:r w:rsidRPr="00BF4EF8">
        <w:rPr>
          <w:rFonts w:hint="cs"/>
          <w:rtl/>
          <w:lang w:bidi="ar-EG"/>
        </w:rPr>
        <w:t xml:space="preserve"> من </w:t>
      </w:r>
      <w:r w:rsidRPr="00BF4EF8">
        <w:rPr>
          <w:rFonts w:hint="cs"/>
          <w:b/>
          <w:bCs/>
          <w:i/>
          <w:iCs/>
          <w:rtl/>
          <w:lang w:bidi="ar-EG"/>
        </w:rPr>
        <w:t>"يقرر"</w:t>
      </w:r>
      <w:r w:rsidRPr="00BF4EF8">
        <w:rPr>
          <w:rFonts w:hint="cs"/>
          <w:rtl/>
          <w:lang w:bidi="ar-EG"/>
        </w:rPr>
        <w:t>:</w:t>
      </w:r>
    </w:p>
    <w:p w14:paraId="75A68B71" w14:textId="4FC27062" w:rsidR="00F25261" w:rsidRPr="00F25261" w:rsidRDefault="00F25261" w:rsidP="00F25261">
      <w:pPr>
        <w:pStyle w:val="enumlev1"/>
        <w:rPr>
          <w:rtl/>
          <w:lang w:bidi="ar-EG"/>
        </w:rPr>
      </w:pPr>
      <w:r>
        <w:rPr>
          <w:rFonts w:hint="cs"/>
          <w:rtl/>
          <w:lang w:bidi="ar-EG"/>
        </w:rPr>
        <w:t>-</w:t>
      </w:r>
      <w:r>
        <w:rPr>
          <w:rtl/>
          <w:lang w:bidi="ar-EG"/>
        </w:rPr>
        <w:tab/>
      </w:r>
      <w:r>
        <w:rPr>
          <w:rFonts w:hint="cs"/>
          <w:rtl/>
          <w:lang w:bidi="ar-EG"/>
        </w:rPr>
        <w:t xml:space="preserve">التوصية </w:t>
      </w:r>
      <w:bookmarkStart w:id="1" w:name="_Toc530997037"/>
      <w:r w:rsidRPr="00F25261">
        <w:rPr>
          <w:lang w:val="en-NZ" w:bidi="ar-EG"/>
        </w:rPr>
        <w:t>ITU-R M.1184-3</w:t>
      </w:r>
      <w:r>
        <w:rPr>
          <w:rFonts w:hint="cs"/>
          <w:rtl/>
          <w:lang w:val="en-NZ" w:bidi="ar-EG"/>
        </w:rPr>
        <w:t xml:space="preserve">: </w:t>
      </w:r>
      <w:r w:rsidRPr="00F25261">
        <w:rPr>
          <w:rtl/>
          <w:lang w:bidi="ar-EG"/>
        </w:rPr>
        <w:t xml:space="preserve">الخصائص التقنية للأنظمة المتنقلة </w:t>
      </w:r>
      <w:proofErr w:type="spellStart"/>
      <w:r w:rsidRPr="00F25261">
        <w:rPr>
          <w:rtl/>
          <w:lang w:bidi="ar-EG"/>
        </w:rPr>
        <w:t>الساتلية</w:t>
      </w:r>
      <w:proofErr w:type="spellEnd"/>
      <w:r w:rsidRPr="00F25261">
        <w:rPr>
          <w:rtl/>
          <w:lang w:bidi="ar-EG"/>
        </w:rPr>
        <w:t xml:space="preserve"> في نطاقات التردد دون </w:t>
      </w:r>
      <w:r w:rsidRPr="00F25261">
        <w:rPr>
          <w:lang w:bidi="ar-EG"/>
        </w:rPr>
        <w:t>GHz 3</w:t>
      </w:r>
      <w:r w:rsidRPr="00F25261">
        <w:rPr>
          <w:rtl/>
          <w:lang w:bidi="ar-EG"/>
        </w:rPr>
        <w:t xml:space="preserve"> للاستعمال في</w:t>
      </w:r>
      <w:r w:rsidRPr="00F25261">
        <w:rPr>
          <w:rFonts w:hint="cs"/>
          <w:rtl/>
          <w:lang w:bidi="ar-EG"/>
        </w:rPr>
        <w:t> </w:t>
      </w:r>
      <w:r w:rsidRPr="00F25261">
        <w:rPr>
          <w:rtl/>
          <w:lang w:bidi="ar-EG"/>
        </w:rPr>
        <w:t xml:space="preserve">وضع معايير </w:t>
      </w:r>
      <w:r w:rsidRPr="00F25261">
        <w:rPr>
          <w:rtl/>
        </w:rPr>
        <w:t xml:space="preserve">التقاسم </w:t>
      </w:r>
      <w:r w:rsidRPr="00F25261">
        <w:rPr>
          <w:rtl/>
          <w:lang w:bidi="ar-EG"/>
        </w:rPr>
        <w:t xml:space="preserve">بين الخدمة المتنقلة </w:t>
      </w:r>
      <w:proofErr w:type="spellStart"/>
      <w:r w:rsidRPr="00F25261">
        <w:rPr>
          <w:rtl/>
          <w:lang w:bidi="ar-EG"/>
        </w:rPr>
        <w:t>الساتلية</w:t>
      </w:r>
      <w:proofErr w:type="spellEnd"/>
      <w:r w:rsidRPr="00F25261">
        <w:rPr>
          <w:rtl/>
          <w:lang w:bidi="ar-EG"/>
        </w:rPr>
        <w:t> </w:t>
      </w:r>
      <w:r w:rsidRPr="00F25261">
        <w:rPr>
          <w:lang w:bidi="ar-EG"/>
        </w:rPr>
        <w:t>(MSS)</w:t>
      </w:r>
      <w:r w:rsidRPr="00F25261">
        <w:rPr>
          <w:rtl/>
          <w:lang w:bidi="ar-EG"/>
        </w:rPr>
        <w:t xml:space="preserve"> وخدمات أخرى</w:t>
      </w:r>
      <w:bookmarkEnd w:id="1"/>
      <w:r>
        <w:rPr>
          <w:rFonts w:hint="cs"/>
          <w:rtl/>
          <w:lang w:bidi="ar-EG"/>
        </w:rPr>
        <w:t>؛</w:t>
      </w:r>
    </w:p>
    <w:p w14:paraId="2F57586D" w14:textId="5098FCC9" w:rsidR="00F25261" w:rsidRPr="00F25261" w:rsidRDefault="00F25261" w:rsidP="00F25261">
      <w:pPr>
        <w:pStyle w:val="enumlev1"/>
        <w:rPr>
          <w:rtl/>
          <w:lang w:bidi="ar-EG"/>
        </w:rPr>
      </w:pPr>
      <w:r w:rsidRPr="00F25261">
        <w:rPr>
          <w:rFonts w:hint="cs"/>
          <w:rtl/>
          <w:lang w:bidi="ar-EG"/>
        </w:rPr>
        <w:t>-</w:t>
      </w:r>
      <w:r w:rsidRPr="00F25261">
        <w:rPr>
          <w:rtl/>
          <w:lang w:bidi="ar-EG"/>
        </w:rPr>
        <w:tab/>
      </w:r>
      <w:r w:rsidRPr="00F25261">
        <w:rPr>
          <w:rFonts w:hint="cs"/>
          <w:rtl/>
          <w:lang w:bidi="ar-EG"/>
        </w:rPr>
        <w:t xml:space="preserve">التوصية </w:t>
      </w:r>
      <w:r w:rsidRPr="00F25261">
        <w:rPr>
          <w:lang w:val="en-NZ" w:bidi="ar-EG"/>
        </w:rPr>
        <w:t>ITU-R M.1188-1</w:t>
      </w:r>
      <w:r w:rsidRPr="00F25261">
        <w:rPr>
          <w:rFonts w:hint="cs"/>
          <w:rtl/>
          <w:lang w:val="en-NZ" w:bidi="ar-EG"/>
        </w:rPr>
        <w:t xml:space="preserve">: </w:t>
      </w:r>
      <w:r w:rsidRPr="00F25261">
        <w:rPr>
          <w:rtl/>
          <w:lang w:val="en-NZ"/>
        </w:rPr>
        <w:t xml:space="preserve">تأثير الانتشار على تصميم الأنظمة المتنقلة </w:t>
      </w:r>
      <w:proofErr w:type="spellStart"/>
      <w:r w:rsidRPr="00F25261">
        <w:rPr>
          <w:rtl/>
          <w:lang w:val="en-NZ"/>
        </w:rPr>
        <w:t>الساتلية</w:t>
      </w:r>
      <w:proofErr w:type="spellEnd"/>
      <w:r w:rsidRPr="00F25261">
        <w:rPr>
          <w:rFonts w:hint="cs"/>
          <w:rtl/>
          <w:lang w:val="en-NZ"/>
        </w:rPr>
        <w:t xml:space="preserve"> </w:t>
      </w:r>
      <w:r w:rsidRPr="00F25261">
        <w:rPr>
          <w:rtl/>
          <w:lang w:val="en-NZ"/>
        </w:rPr>
        <w:t xml:space="preserve">غير المستقرة بالنسبة إلى الأرض التي لا تستعمل تنوع </w:t>
      </w:r>
      <w:proofErr w:type="spellStart"/>
      <w:r w:rsidRPr="00F25261">
        <w:rPr>
          <w:rtl/>
          <w:lang w:val="en-NZ"/>
        </w:rPr>
        <w:t>السواتل</w:t>
      </w:r>
      <w:proofErr w:type="spellEnd"/>
      <w:r w:rsidRPr="00F25261">
        <w:rPr>
          <w:rFonts w:hint="cs"/>
          <w:rtl/>
          <w:lang w:val="en-NZ"/>
        </w:rPr>
        <w:t xml:space="preserve"> </w:t>
      </w:r>
      <w:r w:rsidRPr="00F25261">
        <w:rPr>
          <w:rtl/>
          <w:lang w:val="en-NZ"/>
        </w:rPr>
        <w:t>والتي تؤمن الخدمة لتجهيزات تُحمل باليد</w:t>
      </w:r>
      <w:r>
        <w:rPr>
          <w:rFonts w:hint="cs"/>
          <w:rtl/>
          <w:lang w:val="en-NZ"/>
        </w:rPr>
        <w:t>؛</w:t>
      </w:r>
    </w:p>
    <w:p w14:paraId="2A190F50" w14:textId="57107D38" w:rsidR="00F25261" w:rsidRPr="00F25261" w:rsidRDefault="00F25261" w:rsidP="00F25261">
      <w:pPr>
        <w:pStyle w:val="enumlev1"/>
        <w:rPr>
          <w:rtl/>
          <w:lang w:bidi="ar-EG"/>
        </w:rPr>
      </w:pPr>
      <w:r w:rsidRPr="00F25261">
        <w:rPr>
          <w:rFonts w:hint="cs"/>
          <w:rtl/>
          <w:lang w:bidi="ar-EG"/>
        </w:rPr>
        <w:t>-</w:t>
      </w:r>
      <w:r w:rsidRPr="00F25261">
        <w:rPr>
          <w:rtl/>
          <w:lang w:bidi="ar-EG"/>
        </w:rPr>
        <w:tab/>
      </w:r>
      <w:r w:rsidRPr="00F25261">
        <w:rPr>
          <w:rFonts w:hint="cs"/>
          <w:rtl/>
          <w:lang w:bidi="ar-EG"/>
        </w:rPr>
        <w:t xml:space="preserve">التوصية </w:t>
      </w:r>
      <w:r w:rsidRPr="00F25261">
        <w:rPr>
          <w:lang w:val="en-NZ" w:bidi="ar-EG"/>
        </w:rPr>
        <w:t>ITU-R M.1583-1</w:t>
      </w:r>
      <w:r w:rsidRPr="00F25261">
        <w:rPr>
          <w:rFonts w:hint="cs"/>
          <w:rtl/>
          <w:lang w:val="en-NZ" w:bidi="ar-EG"/>
        </w:rPr>
        <w:t xml:space="preserve">: </w:t>
      </w:r>
      <w:r w:rsidRPr="00F25261">
        <w:rPr>
          <w:rtl/>
          <w:lang w:val="en-NZ" w:bidi="ar-EG"/>
        </w:rPr>
        <w:t xml:space="preserve">حساب التداخل بين أنظمة الخدمة المتنقلة </w:t>
      </w:r>
      <w:proofErr w:type="spellStart"/>
      <w:r w:rsidRPr="00F25261">
        <w:rPr>
          <w:rtl/>
          <w:lang w:val="en-NZ" w:bidi="ar-EG"/>
        </w:rPr>
        <w:t>الساتلية</w:t>
      </w:r>
      <w:proofErr w:type="spellEnd"/>
      <w:r w:rsidRPr="00F25261">
        <w:rPr>
          <w:rtl/>
          <w:lang w:val="en-NZ" w:bidi="ar-EG"/>
        </w:rPr>
        <w:t xml:space="preserve"> أو خدمة الملاحة الراديوية </w:t>
      </w:r>
      <w:proofErr w:type="spellStart"/>
      <w:r w:rsidRPr="00F25261">
        <w:rPr>
          <w:rtl/>
          <w:lang w:val="en-NZ" w:bidi="ar-EG"/>
        </w:rPr>
        <w:t>الساتلية</w:t>
      </w:r>
      <w:proofErr w:type="spellEnd"/>
      <w:r w:rsidRPr="00F25261">
        <w:rPr>
          <w:rtl/>
          <w:lang w:val="en-NZ" w:bidi="ar-EG"/>
        </w:rPr>
        <w:t xml:space="preserve"> غير المستقرة بالنسبة إلى الأرض ومواقع مراقبة علم الفلك الراديوي</w:t>
      </w:r>
      <w:r>
        <w:rPr>
          <w:rFonts w:hint="cs"/>
          <w:rtl/>
          <w:lang w:val="en-NZ" w:bidi="ar-EG"/>
        </w:rPr>
        <w:t>؛</w:t>
      </w:r>
    </w:p>
    <w:p w14:paraId="4236285B" w14:textId="0A3C4C4D" w:rsidR="00F25261" w:rsidRDefault="00F25261" w:rsidP="00F25261">
      <w:pPr>
        <w:pStyle w:val="enumlev1"/>
        <w:rPr>
          <w:rtl/>
          <w:lang w:bidi="ar-EG"/>
        </w:rPr>
      </w:pPr>
      <w:r>
        <w:rPr>
          <w:rFonts w:hint="cs"/>
          <w:rtl/>
          <w:lang w:bidi="ar-EG"/>
        </w:rPr>
        <w:t>-</w:t>
      </w:r>
      <w:r>
        <w:rPr>
          <w:rtl/>
          <w:lang w:bidi="ar-EG"/>
        </w:rPr>
        <w:tab/>
      </w:r>
      <w:r>
        <w:rPr>
          <w:rFonts w:hint="cs"/>
          <w:rtl/>
          <w:lang w:bidi="ar-EG"/>
        </w:rPr>
        <w:t xml:space="preserve">التوصية </w:t>
      </w:r>
      <w:r w:rsidRPr="00F25261">
        <w:rPr>
          <w:lang w:val="en-GB" w:bidi="ar-EG"/>
        </w:rPr>
        <w:t>ITU-R RA.1631-0</w:t>
      </w:r>
      <w:r>
        <w:rPr>
          <w:rFonts w:hint="cs"/>
          <w:rtl/>
          <w:lang w:val="en-GB" w:bidi="ar-EG"/>
        </w:rPr>
        <w:t xml:space="preserve">: </w:t>
      </w:r>
      <w:r w:rsidRPr="00F25261">
        <w:rPr>
          <w:rFonts w:hint="cs"/>
          <w:rtl/>
          <w:lang w:val="en-GB"/>
        </w:rPr>
        <w:t>مخطط الإشعاع المرجعي لهوائي محطة الفلك الراديوي ينبغي استعماله في تحليل الملاءمة</w:t>
      </w:r>
      <w:r>
        <w:rPr>
          <w:rFonts w:hint="cs"/>
          <w:rtl/>
          <w:lang w:val="en-GB"/>
        </w:rPr>
        <w:t xml:space="preserve"> </w:t>
      </w:r>
      <w:r w:rsidRPr="00F25261">
        <w:rPr>
          <w:rFonts w:hint="cs"/>
          <w:rtl/>
          <w:lang w:val="en-GB"/>
        </w:rPr>
        <w:t xml:space="preserve">بين أنظمة </w:t>
      </w:r>
      <w:proofErr w:type="spellStart"/>
      <w:r w:rsidRPr="00F25261">
        <w:rPr>
          <w:rFonts w:hint="cs"/>
          <w:rtl/>
          <w:lang w:val="en-GB"/>
        </w:rPr>
        <w:t>سواتل</w:t>
      </w:r>
      <w:proofErr w:type="spellEnd"/>
      <w:r w:rsidRPr="00F25261">
        <w:rPr>
          <w:rFonts w:hint="cs"/>
          <w:rtl/>
          <w:lang w:val="en-GB"/>
        </w:rPr>
        <w:t xml:space="preserve"> غير مستقرة بالنسبة إلى الأرض ومحطات خدمة الفلك الراديوي</w:t>
      </w:r>
      <w:r>
        <w:rPr>
          <w:rFonts w:hint="cs"/>
          <w:rtl/>
          <w:lang w:val="en-GB"/>
        </w:rPr>
        <w:t xml:space="preserve"> </w:t>
      </w:r>
      <w:r w:rsidRPr="00F25261">
        <w:rPr>
          <w:rFonts w:hint="cs"/>
          <w:rtl/>
          <w:lang w:val="en-GB"/>
        </w:rPr>
        <w:t xml:space="preserve">على أساس مفهوم كثافة تدفق القدرة المكافئة </w:t>
      </w:r>
      <w:r w:rsidRPr="00F25261">
        <w:rPr>
          <w:lang w:val="en-GB" w:bidi="ar-EG"/>
        </w:rPr>
        <w:t>(</w:t>
      </w:r>
      <w:proofErr w:type="spellStart"/>
      <w:r w:rsidRPr="00F25261">
        <w:rPr>
          <w:lang w:val="en-GB" w:bidi="ar-EG"/>
        </w:rPr>
        <w:t>epfd</w:t>
      </w:r>
      <w:proofErr w:type="spellEnd"/>
      <w:r w:rsidRPr="00F25261">
        <w:rPr>
          <w:lang w:val="en-GB" w:bidi="ar-EG"/>
        </w:rPr>
        <w:t>)</w:t>
      </w:r>
      <w:r>
        <w:rPr>
          <w:rFonts w:hint="cs"/>
          <w:rtl/>
          <w:lang w:val="en-GB" w:bidi="ar-EG"/>
        </w:rPr>
        <w:t>؛</w:t>
      </w:r>
    </w:p>
    <w:p w14:paraId="36305520" w14:textId="29CED2BA" w:rsidR="00F25261" w:rsidRDefault="00F25261" w:rsidP="00F25261">
      <w:pPr>
        <w:pStyle w:val="enumlev1"/>
        <w:rPr>
          <w:rtl/>
          <w:lang w:bidi="ar-EG"/>
        </w:rPr>
      </w:pPr>
      <w:r>
        <w:rPr>
          <w:rFonts w:hint="cs"/>
          <w:rtl/>
          <w:lang w:bidi="ar-EG"/>
        </w:rPr>
        <w:t>-</w:t>
      </w:r>
      <w:r>
        <w:rPr>
          <w:rtl/>
          <w:lang w:bidi="ar-EG"/>
        </w:rPr>
        <w:tab/>
      </w:r>
      <w:r>
        <w:rPr>
          <w:rFonts w:hint="cs"/>
          <w:rtl/>
          <w:lang w:bidi="ar-EG"/>
        </w:rPr>
        <w:t xml:space="preserve">التوصية </w:t>
      </w:r>
      <w:r w:rsidRPr="00F25261">
        <w:rPr>
          <w:lang w:val="en-NZ" w:bidi="ar-EG"/>
        </w:rPr>
        <w:t>ITU-R M.2369-0</w:t>
      </w:r>
      <w:r>
        <w:rPr>
          <w:rFonts w:hint="cs"/>
          <w:rtl/>
          <w:lang w:val="en-NZ" w:bidi="ar-EG"/>
        </w:rPr>
        <w:t xml:space="preserve">: </w:t>
      </w:r>
      <w:r w:rsidRPr="00F25261">
        <w:rPr>
          <w:rtl/>
          <w:lang w:val="en-NZ"/>
        </w:rPr>
        <w:t xml:space="preserve">استعمال أنظمة المدارات </w:t>
      </w:r>
      <w:proofErr w:type="spellStart"/>
      <w:r w:rsidRPr="00F25261">
        <w:rPr>
          <w:rtl/>
          <w:lang w:val="en-NZ"/>
        </w:rPr>
        <w:t>الساتلية</w:t>
      </w:r>
      <w:proofErr w:type="spellEnd"/>
      <w:r w:rsidRPr="00F25261">
        <w:rPr>
          <w:rtl/>
          <w:lang w:val="en-NZ"/>
        </w:rPr>
        <w:t xml:space="preserve"> المتنقلة غير المستقرة بالنسبة إلى الأرض من أجل تعزيز السلامة في البحر</w:t>
      </w:r>
      <w:r>
        <w:rPr>
          <w:rFonts w:hint="cs"/>
          <w:rtl/>
          <w:lang w:val="en-NZ"/>
        </w:rPr>
        <w:t>؛</w:t>
      </w:r>
    </w:p>
    <w:p w14:paraId="67A10B8E" w14:textId="3CC382DB" w:rsidR="00F25261" w:rsidRDefault="00F25261" w:rsidP="00F25261">
      <w:pPr>
        <w:pStyle w:val="enumlev1"/>
        <w:rPr>
          <w:rtl/>
          <w:lang w:bidi="ar-EG"/>
        </w:rPr>
      </w:pPr>
      <w:r>
        <w:rPr>
          <w:rFonts w:hint="cs"/>
          <w:rtl/>
          <w:lang w:bidi="ar-EG"/>
        </w:rPr>
        <w:t>-</w:t>
      </w:r>
      <w:r>
        <w:rPr>
          <w:rtl/>
          <w:lang w:bidi="ar-EG"/>
        </w:rPr>
        <w:tab/>
      </w:r>
      <w:r>
        <w:rPr>
          <w:rFonts w:hint="cs"/>
          <w:rtl/>
          <w:lang w:bidi="ar-EG"/>
        </w:rPr>
        <w:t xml:space="preserve">مشروع التقرير الجديد </w:t>
      </w:r>
      <w:r w:rsidRPr="00F25261">
        <w:rPr>
          <w:lang w:val="en-NZ" w:bidi="ar-EG"/>
        </w:rPr>
        <w:t xml:space="preserve">ITU-R </w:t>
      </w:r>
      <w:proofErr w:type="gramStart"/>
      <w:r w:rsidRPr="00F25261">
        <w:rPr>
          <w:lang w:val="en-NZ" w:bidi="ar-EG"/>
        </w:rPr>
        <w:t>M.[</w:t>
      </w:r>
      <w:proofErr w:type="gramEnd"/>
      <w:r w:rsidRPr="00F25261">
        <w:rPr>
          <w:lang w:val="en-NZ" w:bidi="ar-EG"/>
        </w:rPr>
        <w:t>GMDSS</w:t>
      </w:r>
      <w:r w:rsidRPr="00F25261">
        <w:rPr>
          <w:lang w:val="en-NZ" w:bidi="ar-EG"/>
        </w:rPr>
        <w:noBreakHyphen/>
        <w:t>SATREG]</w:t>
      </w:r>
      <w:r>
        <w:rPr>
          <w:rFonts w:hint="cs"/>
          <w:rtl/>
          <w:lang w:val="en-NZ" w:bidi="ar-EG"/>
        </w:rPr>
        <w:t xml:space="preserve"> </w:t>
      </w:r>
      <w:r w:rsidR="00C45675">
        <w:rPr>
          <w:rtl/>
          <w:lang w:val="en-NZ" w:bidi="ar-EG"/>
        </w:rPr>
        <w:t>–</w:t>
      </w:r>
      <w:r>
        <w:rPr>
          <w:rFonts w:hint="cs"/>
          <w:rtl/>
          <w:lang w:val="en-NZ" w:bidi="ar-EG"/>
        </w:rPr>
        <w:t xml:space="preserve"> </w:t>
      </w:r>
      <w:r w:rsidR="008862B6">
        <w:rPr>
          <w:rFonts w:hint="cs"/>
          <w:rtl/>
          <w:lang w:val="en-NZ" w:bidi="ar-EG"/>
        </w:rPr>
        <w:t xml:space="preserve">تضمين النظام العالمي للاستغاثة والسلامة في البحر </w:t>
      </w:r>
      <w:r w:rsidR="008862B6">
        <w:rPr>
          <w:lang w:val="en-GB" w:bidi="ar-EG"/>
        </w:rPr>
        <w:t>(GMDSS)</w:t>
      </w:r>
      <w:r w:rsidR="00C45675">
        <w:rPr>
          <w:rFonts w:hint="cs"/>
          <w:rtl/>
          <w:lang w:val="en-NZ" w:bidi="ar-EG"/>
        </w:rPr>
        <w:t xml:space="preserve"> أنظمة إضافية في الخدمة الثابتة </w:t>
      </w:r>
      <w:proofErr w:type="spellStart"/>
      <w:r w:rsidR="00C45675">
        <w:rPr>
          <w:rFonts w:hint="cs"/>
          <w:rtl/>
          <w:lang w:val="en-NZ" w:bidi="ar-EG"/>
        </w:rPr>
        <w:t>الساتلية</w:t>
      </w:r>
      <w:proofErr w:type="spellEnd"/>
      <w:r w:rsidR="00C45675">
        <w:rPr>
          <w:rFonts w:hint="cs"/>
          <w:rtl/>
          <w:lang w:val="en-NZ" w:bidi="ar-EG"/>
        </w:rPr>
        <w:t>؛</w:t>
      </w:r>
    </w:p>
    <w:p w14:paraId="31999252" w14:textId="1A83FAB3" w:rsidR="00F25261" w:rsidRDefault="00F25261" w:rsidP="00F25261">
      <w:pPr>
        <w:pStyle w:val="enumlev1"/>
        <w:rPr>
          <w:rtl/>
          <w:lang w:bidi="ar-EG"/>
        </w:rPr>
      </w:pPr>
      <w:r w:rsidRPr="00C056E5">
        <w:rPr>
          <w:rFonts w:hint="cs"/>
          <w:rtl/>
          <w:lang w:bidi="ar-EG"/>
        </w:rPr>
        <w:t>-</w:t>
      </w:r>
      <w:r w:rsidRPr="00C056E5">
        <w:rPr>
          <w:rtl/>
          <w:lang w:bidi="ar-EG"/>
        </w:rPr>
        <w:tab/>
      </w:r>
      <w:r w:rsidR="00C45675" w:rsidRPr="00C056E5">
        <w:rPr>
          <w:rFonts w:hint="cs"/>
          <w:rtl/>
          <w:lang w:bidi="ar-EG"/>
        </w:rPr>
        <w:t xml:space="preserve">وثيقة العمل الرامية إلى وضع </w:t>
      </w:r>
      <w:r w:rsidRPr="00C056E5">
        <w:rPr>
          <w:rFonts w:hint="cs"/>
          <w:rtl/>
          <w:lang w:bidi="ar"/>
        </w:rPr>
        <w:t>ال</w:t>
      </w:r>
      <w:r w:rsidRPr="00C056E5">
        <w:rPr>
          <w:rtl/>
        </w:rPr>
        <w:t xml:space="preserve">مشروع </w:t>
      </w:r>
      <w:r w:rsidRPr="00C056E5">
        <w:rPr>
          <w:rFonts w:hint="cs"/>
          <w:rtl/>
        </w:rPr>
        <w:t>ال</w:t>
      </w:r>
      <w:r w:rsidRPr="00C056E5">
        <w:rPr>
          <w:rtl/>
        </w:rPr>
        <w:t>أولي ل</w:t>
      </w:r>
      <w:r w:rsidR="00C45675" w:rsidRPr="00C056E5">
        <w:rPr>
          <w:rFonts w:hint="cs"/>
          <w:rtl/>
        </w:rPr>
        <w:t>ل</w:t>
      </w:r>
      <w:r w:rsidRPr="00C056E5">
        <w:rPr>
          <w:rtl/>
        </w:rPr>
        <w:t>تقرير جديد</w:t>
      </w:r>
      <w:r w:rsidRPr="00C056E5">
        <w:rPr>
          <w:rFonts w:hint="cs"/>
          <w:rtl/>
        </w:rPr>
        <w:t xml:space="preserve"> </w:t>
      </w:r>
      <w:r w:rsidRPr="00C056E5">
        <w:rPr>
          <w:lang w:bidi="ar-EG"/>
        </w:rPr>
        <w:t xml:space="preserve">ITU-R </w:t>
      </w:r>
      <w:proofErr w:type="gramStart"/>
      <w:r w:rsidRPr="00C056E5">
        <w:rPr>
          <w:lang w:bidi="ar-EG"/>
        </w:rPr>
        <w:t>M.[</w:t>
      </w:r>
      <w:proofErr w:type="gramEnd"/>
      <w:r w:rsidRPr="00C056E5">
        <w:rPr>
          <w:lang w:bidi="ar-EG"/>
        </w:rPr>
        <w:t>RAS</w:t>
      </w:r>
      <w:r w:rsidRPr="00C056E5">
        <w:rPr>
          <w:lang w:bidi="ar-EG"/>
        </w:rPr>
        <w:noBreakHyphen/>
        <w:t>COMPAT]</w:t>
      </w:r>
      <w:r w:rsidRPr="00C056E5">
        <w:rPr>
          <w:rFonts w:hint="cs"/>
          <w:rtl/>
          <w:lang w:bidi="ar-EG"/>
        </w:rPr>
        <w:t xml:space="preserve"> </w:t>
      </w:r>
      <w:r w:rsidR="00C45675" w:rsidRPr="00C056E5">
        <w:rPr>
          <w:rtl/>
          <w:lang w:bidi="ar-EG"/>
        </w:rPr>
        <w:t>–</w:t>
      </w:r>
      <w:r w:rsidRPr="00C056E5">
        <w:rPr>
          <w:rFonts w:hint="cs"/>
          <w:rtl/>
          <w:lang w:bidi="ar-EG"/>
        </w:rPr>
        <w:t xml:space="preserve"> </w:t>
      </w:r>
      <w:r w:rsidR="00C45675" w:rsidRPr="00C056E5">
        <w:rPr>
          <w:rFonts w:hint="cs"/>
          <w:rtl/>
          <w:lang w:bidi="ar-EG"/>
        </w:rPr>
        <w:t>الإرسالات غير المطلوبة</w:t>
      </w:r>
      <w:r w:rsidRPr="00C056E5">
        <w:rPr>
          <w:rFonts w:hint="cs"/>
          <w:rtl/>
          <w:lang w:bidi="ar-EG"/>
        </w:rPr>
        <w:t xml:space="preserve"> في نطاق خدمة علم الفلك الراديوي</w:t>
      </w:r>
      <w:r w:rsidR="00C45675" w:rsidRPr="00C056E5">
        <w:rPr>
          <w:rFonts w:hint="cs"/>
          <w:rtl/>
          <w:lang w:bidi="ar-EG"/>
        </w:rPr>
        <w:t xml:space="preserve"> </w:t>
      </w:r>
      <w:r w:rsidR="00C45675" w:rsidRPr="00C056E5">
        <w:rPr>
          <w:lang w:val="en-GB" w:bidi="ar-EG"/>
        </w:rPr>
        <w:t>(RAS)</w:t>
      </w:r>
      <w:r w:rsidRPr="00C056E5">
        <w:rPr>
          <w:rFonts w:hint="cs"/>
          <w:rtl/>
          <w:lang w:bidi="ar-EG"/>
        </w:rPr>
        <w:t xml:space="preserve"> </w:t>
      </w:r>
      <w:r w:rsidR="00C45675" w:rsidRPr="00C056E5">
        <w:rPr>
          <w:rFonts w:hint="cs"/>
          <w:rtl/>
          <w:lang w:bidi="ar-EG"/>
        </w:rPr>
        <w:t xml:space="preserve">الصادرة </w:t>
      </w:r>
      <w:r w:rsidRPr="00C056E5">
        <w:rPr>
          <w:rFonts w:hint="cs"/>
          <w:rtl/>
          <w:lang w:bidi="ar-EG"/>
        </w:rPr>
        <w:t xml:space="preserve">من </w:t>
      </w:r>
      <w:r w:rsidR="00C056E5">
        <w:rPr>
          <w:rFonts w:hint="cs"/>
          <w:rtl/>
          <w:lang w:bidi="ar-EG"/>
        </w:rPr>
        <w:t xml:space="preserve">عمليات إرسال </w:t>
      </w:r>
      <w:proofErr w:type="spellStart"/>
      <w:r w:rsidRPr="00C056E5">
        <w:rPr>
          <w:rFonts w:hint="cs"/>
          <w:rtl/>
          <w:lang w:bidi="ar-EG"/>
        </w:rPr>
        <w:t>سواتل</w:t>
      </w:r>
      <w:proofErr w:type="spellEnd"/>
      <w:r w:rsidRPr="00C056E5">
        <w:rPr>
          <w:rFonts w:hint="cs"/>
          <w:rtl/>
          <w:lang w:bidi="ar-EG"/>
        </w:rPr>
        <w:t xml:space="preserve"> الخدمة ال</w:t>
      </w:r>
      <w:r w:rsidR="00C45675" w:rsidRPr="00C056E5">
        <w:rPr>
          <w:rFonts w:hint="cs"/>
          <w:rtl/>
          <w:lang w:bidi="ar-EG"/>
        </w:rPr>
        <w:t>متنقلة</w:t>
      </w:r>
      <w:r w:rsidRPr="00C056E5">
        <w:rPr>
          <w:rFonts w:hint="cs"/>
          <w:rtl/>
          <w:lang w:bidi="ar-EG"/>
        </w:rPr>
        <w:t xml:space="preserve"> </w:t>
      </w:r>
      <w:proofErr w:type="spellStart"/>
      <w:r w:rsidRPr="00C056E5">
        <w:rPr>
          <w:rFonts w:hint="cs"/>
          <w:rtl/>
          <w:lang w:bidi="ar-EG"/>
        </w:rPr>
        <w:t>الساتلية</w:t>
      </w:r>
      <w:proofErr w:type="spellEnd"/>
      <w:r w:rsidRPr="00C056E5">
        <w:rPr>
          <w:rFonts w:hint="cs"/>
          <w:rtl/>
          <w:lang w:bidi="ar-EG"/>
        </w:rPr>
        <w:t xml:space="preserve"> في اتجاه فضاء-أرض.</w:t>
      </w:r>
    </w:p>
    <w:p w14:paraId="6CBCC357" w14:textId="762ADA83" w:rsidR="00F25261" w:rsidRDefault="00F25261" w:rsidP="00F25261">
      <w:pPr>
        <w:pStyle w:val="Heading1"/>
        <w:rPr>
          <w:rtl/>
        </w:rPr>
      </w:pPr>
      <w:r>
        <w:lastRenderedPageBreak/>
        <w:t>2</w:t>
      </w:r>
      <w:r>
        <w:tab/>
      </w:r>
      <w:r w:rsidR="00BF4EF8">
        <w:rPr>
          <w:rFonts w:hint="cs"/>
          <w:rtl/>
        </w:rPr>
        <w:t>ملخص</w:t>
      </w:r>
    </w:p>
    <w:p w14:paraId="4D841083" w14:textId="18E3519E" w:rsidR="00F25261" w:rsidRDefault="00F25261" w:rsidP="00F25261">
      <w:pPr>
        <w:pStyle w:val="Heading2"/>
        <w:rPr>
          <w:rtl/>
        </w:rPr>
      </w:pPr>
      <w:r>
        <w:t>1.2</w:t>
      </w:r>
      <w:r>
        <w:tab/>
      </w:r>
      <w:r w:rsidR="00BF4EF8">
        <w:rPr>
          <w:rFonts w:hint="cs"/>
          <w:rtl/>
        </w:rPr>
        <w:t>ملخص</w:t>
      </w:r>
    </w:p>
    <w:p w14:paraId="3EB57A73" w14:textId="5AE043E0" w:rsidR="00F25261" w:rsidRPr="00696B8B" w:rsidRDefault="00696B8B" w:rsidP="00F25261">
      <w:pPr>
        <w:rPr>
          <w:rtl/>
          <w:lang w:val="es-ES" w:bidi="ar-EG"/>
        </w:rPr>
      </w:pPr>
      <w:r>
        <w:rPr>
          <w:rFonts w:hint="cs"/>
          <w:rtl/>
          <w:lang w:bidi="ar-EG"/>
        </w:rPr>
        <w:t xml:space="preserve">تؤيد </w:t>
      </w:r>
      <w:r w:rsidRPr="00F55E63">
        <w:rPr>
          <w:rtl/>
        </w:rPr>
        <w:t>ساموا</w:t>
      </w:r>
      <w:r>
        <w:rPr>
          <w:rFonts w:hint="cs"/>
          <w:rtl/>
        </w:rPr>
        <w:t xml:space="preserve"> رفع وضع الخدمة المتنقلة </w:t>
      </w:r>
      <w:proofErr w:type="spellStart"/>
      <w:r>
        <w:rPr>
          <w:rFonts w:hint="cs"/>
          <w:rtl/>
        </w:rPr>
        <w:t>الساتلية</w:t>
      </w:r>
      <w:proofErr w:type="spellEnd"/>
      <w:r>
        <w:rPr>
          <w:rFonts w:hint="cs"/>
          <w:rtl/>
        </w:rPr>
        <w:t xml:space="preserve"> (فضاء-أرض) برفع توزيعها في نطاق التردد </w:t>
      </w:r>
      <w:r>
        <w:rPr>
          <w:lang w:val="en-GB"/>
        </w:rPr>
        <w:t>1 626,5-1 621,35</w:t>
      </w:r>
      <w:r>
        <w:rPr>
          <w:rFonts w:hint="cs"/>
          <w:rtl/>
          <w:lang w:val="es-ES" w:bidi="ar-EG"/>
        </w:rPr>
        <w:t xml:space="preserve"> </w:t>
      </w:r>
      <w:r>
        <w:rPr>
          <w:lang w:val="en-GB" w:bidi="ar-EG"/>
        </w:rPr>
        <w:t>MHz</w:t>
      </w:r>
      <w:r>
        <w:rPr>
          <w:rFonts w:hint="cs"/>
          <w:rtl/>
          <w:lang w:val="es-ES" w:bidi="ar-EG"/>
        </w:rPr>
        <w:t xml:space="preserve"> إلى وضع التوزيع الأولي</w:t>
      </w:r>
      <w:r w:rsidR="00B32F43">
        <w:rPr>
          <w:rFonts w:hint="cs"/>
          <w:rtl/>
          <w:lang w:val="es-ES" w:bidi="ar-EG"/>
        </w:rPr>
        <w:t>،</w:t>
      </w:r>
      <w:r>
        <w:rPr>
          <w:rFonts w:hint="cs"/>
          <w:rtl/>
          <w:lang w:val="es-ES" w:bidi="ar-EG"/>
        </w:rPr>
        <w:t xml:space="preserve"> نظراً إلى أن جميع خدمات سلامة الأروا</w:t>
      </w:r>
      <w:bookmarkStart w:id="2" w:name="_GoBack"/>
      <w:bookmarkEnd w:id="2"/>
      <w:r>
        <w:rPr>
          <w:rFonts w:hint="cs"/>
          <w:rtl/>
          <w:lang w:val="es-ES" w:bidi="ar-EG"/>
        </w:rPr>
        <w:t xml:space="preserve">ح تتمتع بوضع أولي وجميع الخدمات ونطاقات التردد لها توزيعات أولية، </w:t>
      </w:r>
      <w:r w:rsidR="00B32F43">
        <w:rPr>
          <w:rFonts w:hint="cs"/>
          <w:rtl/>
          <w:lang w:val="es-ES" w:bidi="ar-EG"/>
        </w:rPr>
        <w:t xml:space="preserve">كما تؤيد </w:t>
      </w:r>
      <w:r>
        <w:rPr>
          <w:rFonts w:hint="cs"/>
          <w:rtl/>
          <w:lang w:val="es-ES" w:bidi="ar-EG"/>
        </w:rPr>
        <w:t>ألا يترتب على رفع</w:t>
      </w:r>
      <w:r w:rsidR="00B32F43">
        <w:rPr>
          <w:rFonts w:hint="cs"/>
          <w:rtl/>
          <w:lang w:val="es-ES" w:bidi="ar-EG"/>
        </w:rPr>
        <w:t xml:space="preserve"> وضع هذه الخدمة</w:t>
      </w:r>
      <w:r>
        <w:rPr>
          <w:rFonts w:hint="cs"/>
          <w:rtl/>
          <w:lang w:val="es-ES" w:bidi="ar-EG"/>
        </w:rPr>
        <w:t xml:space="preserve"> إلى الوضع الأولي فرض أي قيود إضافية على عمليات إرسال المحطات الأرضية في الخدمة المتنقلة </w:t>
      </w:r>
      <w:proofErr w:type="spellStart"/>
      <w:r>
        <w:rPr>
          <w:rFonts w:hint="cs"/>
          <w:rtl/>
          <w:lang w:val="es-ES" w:bidi="ar-EG"/>
        </w:rPr>
        <w:t>الساتلية</w:t>
      </w:r>
      <w:proofErr w:type="spellEnd"/>
      <w:r>
        <w:rPr>
          <w:rFonts w:hint="cs"/>
          <w:rtl/>
          <w:lang w:val="es-ES" w:bidi="ar-EG"/>
        </w:rPr>
        <w:t xml:space="preserve"> وخدمة الاستدلال الراديوي </w:t>
      </w:r>
      <w:proofErr w:type="spellStart"/>
      <w:r>
        <w:rPr>
          <w:rFonts w:hint="cs"/>
          <w:rtl/>
          <w:lang w:val="es-ES" w:bidi="ar-EG"/>
        </w:rPr>
        <w:t>الساتلية</w:t>
      </w:r>
      <w:proofErr w:type="spellEnd"/>
      <w:r>
        <w:rPr>
          <w:rFonts w:hint="cs"/>
          <w:rtl/>
          <w:lang w:val="es-ES" w:bidi="ar-EG"/>
        </w:rPr>
        <w:t xml:space="preserve"> في نطاق التردد </w:t>
      </w:r>
      <w:r>
        <w:rPr>
          <w:lang w:bidi="ar-EG"/>
        </w:rPr>
        <w:t>MHz 1 613,8-1 610,6</w:t>
      </w:r>
      <w:r>
        <w:rPr>
          <w:rFonts w:hint="cs"/>
          <w:rtl/>
          <w:lang w:val="es-ES" w:bidi="ar-EG"/>
        </w:rPr>
        <w:t xml:space="preserve"> التي تلقّى مكتب الاتصالات الراديوية بشأنها </w:t>
      </w:r>
      <w:r w:rsidR="00B32F43">
        <w:rPr>
          <w:rFonts w:hint="cs"/>
          <w:rtl/>
          <w:lang w:val="es-ES" w:bidi="ar-EG"/>
        </w:rPr>
        <w:t xml:space="preserve">قبل بدء الخدمة رسمياً </w:t>
      </w:r>
      <w:r>
        <w:rPr>
          <w:rFonts w:hint="cs"/>
          <w:rtl/>
          <w:lang w:val="es-ES" w:bidi="ar-EG"/>
        </w:rPr>
        <w:t>كامل معلومات التنسيق.</w:t>
      </w:r>
    </w:p>
    <w:p w14:paraId="0F8ACBFF" w14:textId="580E7E10" w:rsidR="00F25261" w:rsidRPr="008862B6" w:rsidRDefault="00F25261" w:rsidP="00F25261">
      <w:pPr>
        <w:pStyle w:val="Heading2"/>
        <w:rPr>
          <w:rtl/>
          <w:lang w:val="es-ES"/>
        </w:rPr>
      </w:pPr>
      <w:r>
        <w:t>2.2</w:t>
      </w:r>
      <w:r>
        <w:tab/>
      </w:r>
      <w:r w:rsidR="008862B6">
        <w:rPr>
          <w:rFonts w:hint="cs"/>
          <w:rtl/>
          <w:lang w:val="es-ES"/>
        </w:rPr>
        <w:t>رأي الإدارة</w:t>
      </w:r>
    </w:p>
    <w:p w14:paraId="3E832D93" w14:textId="201E6239" w:rsidR="00F25261" w:rsidRPr="008C0DCF" w:rsidRDefault="008862B6" w:rsidP="00F25261">
      <w:pPr>
        <w:rPr>
          <w:rtl/>
          <w:lang w:bidi="ar-EG"/>
        </w:rPr>
      </w:pPr>
      <w:r>
        <w:rPr>
          <w:rFonts w:hint="cs"/>
          <w:rtl/>
          <w:lang w:bidi="ar-EG"/>
        </w:rPr>
        <w:t xml:space="preserve">ترى هذه الإدارة تأييد دعم </w:t>
      </w:r>
      <w:r>
        <w:rPr>
          <w:rFonts w:hint="cs"/>
          <w:rtl/>
          <w:lang w:val="en-NZ" w:bidi="ar-EG"/>
        </w:rPr>
        <w:t xml:space="preserve">النظام العالمي للاستغاثة والسلامة في البحر </w:t>
      </w:r>
      <w:r>
        <w:rPr>
          <w:lang w:val="en-GB" w:bidi="ar-EG"/>
        </w:rPr>
        <w:t>(GMDSS)</w:t>
      </w:r>
      <w:r>
        <w:rPr>
          <w:rFonts w:hint="cs"/>
          <w:rtl/>
          <w:lang w:val="en-NZ" w:bidi="ar-EG"/>
        </w:rPr>
        <w:t xml:space="preserve"> بإدراج</w:t>
      </w:r>
      <w:r>
        <w:rPr>
          <w:rFonts w:hint="cs"/>
          <w:rtl/>
          <w:lang w:bidi="ar-EG"/>
        </w:rPr>
        <w:t xml:space="preserve"> أنظمة </w:t>
      </w:r>
      <w:proofErr w:type="spellStart"/>
      <w:r>
        <w:rPr>
          <w:rFonts w:hint="cs"/>
          <w:rtl/>
          <w:lang w:bidi="ar-EG"/>
        </w:rPr>
        <w:t>ساتلية</w:t>
      </w:r>
      <w:proofErr w:type="spellEnd"/>
      <w:r>
        <w:rPr>
          <w:rFonts w:hint="cs"/>
          <w:rtl/>
          <w:lang w:bidi="ar-EG"/>
        </w:rPr>
        <w:t xml:space="preserve"> إضافية فيه تعزيزاً لسلامة الأرواح وفقاً للقرار </w:t>
      </w:r>
      <w:r w:rsidRPr="008C0DCF">
        <w:t>(Rev.WRC-15)</w:t>
      </w:r>
      <w:r w:rsidRPr="008C0DCF">
        <w:rPr>
          <w:rFonts w:hint="cs"/>
          <w:rtl/>
        </w:rPr>
        <w:t xml:space="preserve"> </w:t>
      </w:r>
      <w:r w:rsidRPr="008C0DCF">
        <w:t>359</w:t>
      </w:r>
      <w:r w:rsidR="008C0DCF" w:rsidRPr="008C0DCF">
        <w:rPr>
          <w:rFonts w:hint="cs"/>
          <w:rtl/>
        </w:rPr>
        <w:t xml:space="preserve">، مع حماية الخدمات القائمة في نطاق التردد ذي الصلة والنطاقات المجاورة له وضمان عدم فرض أي قيود لا مبرر لها على هذه الخدمات. لذا، تؤيد هذه الإدارة اتّباع الأسلوب </w:t>
      </w:r>
      <w:r w:rsidR="008C0DCF" w:rsidRPr="008C0DCF">
        <w:rPr>
          <w:lang w:val="en-GB"/>
        </w:rPr>
        <w:t>2B</w:t>
      </w:r>
      <w:r w:rsidR="008C0DCF" w:rsidRPr="008C0DCF">
        <w:rPr>
          <w:rFonts w:hint="cs"/>
          <w:rtl/>
          <w:lang w:val="es-ES" w:bidi="ar-EG"/>
        </w:rPr>
        <w:t xml:space="preserve"> (ب) أو الأسلوب </w:t>
      </w:r>
      <w:r w:rsidR="008C0DCF" w:rsidRPr="008C0DCF">
        <w:rPr>
          <w:lang w:val="en-GB" w:bidi="ar-EG"/>
        </w:rPr>
        <w:t>4B</w:t>
      </w:r>
      <w:r w:rsidR="008C0DCF" w:rsidRPr="008C0DCF">
        <w:rPr>
          <w:rFonts w:hint="cs"/>
          <w:rtl/>
          <w:lang w:val="es-ES" w:bidi="ar-EG"/>
        </w:rPr>
        <w:t xml:space="preserve"> الواردين في تقرير الاجتماع التحضيري للمؤتمر بالشروط المحددة وفقاً للقرار </w:t>
      </w:r>
      <w:r w:rsidR="008C0DCF" w:rsidRPr="008C0DCF">
        <w:rPr>
          <w:b/>
          <w:bCs/>
        </w:rPr>
        <w:t>(Rev.WRC-15)</w:t>
      </w:r>
      <w:r w:rsidR="008C0DCF" w:rsidRPr="008C0DCF">
        <w:rPr>
          <w:rFonts w:hint="cs"/>
          <w:b/>
          <w:bCs/>
          <w:rtl/>
        </w:rPr>
        <w:t xml:space="preserve"> </w:t>
      </w:r>
      <w:r w:rsidR="008C0DCF" w:rsidRPr="008C0DCF">
        <w:rPr>
          <w:b/>
          <w:bCs/>
        </w:rPr>
        <w:t>359</w:t>
      </w:r>
      <w:r w:rsidR="008C0DCF" w:rsidRPr="008C0DCF">
        <w:rPr>
          <w:rFonts w:hint="cs"/>
          <w:b/>
          <w:bCs/>
          <w:rtl/>
        </w:rPr>
        <w:t>.</w:t>
      </w:r>
    </w:p>
    <w:p w14:paraId="70594D43" w14:textId="4B06C2DA" w:rsidR="00A17E61" w:rsidRDefault="00F25261" w:rsidP="00F25261">
      <w:pPr>
        <w:spacing w:before="600"/>
        <w:jc w:val="center"/>
      </w:pPr>
      <w:r>
        <w:rPr>
          <w:rFonts w:hint="cs"/>
          <w:rtl/>
          <w:lang w:bidi="ar-EG"/>
        </w:rPr>
        <w:t>___________</w:t>
      </w:r>
    </w:p>
    <w:sectPr w:rsidR="00A17E61"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548AC3" w14:textId="77777777" w:rsidR="00A327AC" w:rsidRDefault="00A327AC" w:rsidP="002919E1">
      <w:r>
        <w:separator/>
      </w:r>
    </w:p>
    <w:p w14:paraId="2A5C26AB" w14:textId="77777777" w:rsidR="00A327AC" w:rsidRDefault="00A327AC" w:rsidP="002919E1"/>
    <w:p w14:paraId="2C444111" w14:textId="77777777" w:rsidR="00A327AC" w:rsidRDefault="00A327AC" w:rsidP="002919E1"/>
    <w:p w14:paraId="518105F0" w14:textId="77777777" w:rsidR="00A327AC" w:rsidRDefault="00A327AC"/>
  </w:endnote>
  <w:endnote w:type="continuationSeparator" w:id="0">
    <w:p w14:paraId="341000C0" w14:textId="77777777" w:rsidR="00A327AC" w:rsidRDefault="00A327AC" w:rsidP="002919E1">
      <w:r>
        <w:continuationSeparator/>
      </w:r>
    </w:p>
    <w:p w14:paraId="64F9A296" w14:textId="77777777" w:rsidR="00A327AC" w:rsidRDefault="00A327AC" w:rsidP="002919E1"/>
    <w:p w14:paraId="57DF305A" w14:textId="77777777" w:rsidR="00A327AC" w:rsidRDefault="00A327AC" w:rsidP="002919E1"/>
    <w:p w14:paraId="284EE110" w14:textId="77777777" w:rsidR="00A327AC" w:rsidRDefault="00A327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altName w:val="Verdana"/>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44313" w14:textId="7C23C075"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117194">
      <w:rPr>
        <w:noProof/>
      </w:rPr>
      <w:t>P:\ARA\ITU-R\CONF-R\CMR19\000\075ADD08A.docx</w:t>
    </w:r>
    <w:r>
      <w:fldChar w:fldCharType="end"/>
    </w:r>
    <w:proofErr w:type="gramStart"/>
    <w:r w:rsidRPr="00A809E8">
      <w:t xml:space="preserve">   (</w:t>
    </w:r>
    <w:proofErr w:type="gramEnd"/>
    <w:r w:rsidR="006F39AE">
      <w:t>462466</w:t>
    </w:r>
    <w:r w:rsidRPr="00A809E8">
      <w:t>)</w:t>
    </w:r>
    <w:r w:rsidR="008927F5"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BD724" w14:textId="1AA2D51B" w:rsidR="008927F5" w:rsidRPr="00914F14" w:rsidRDefault="008927F5" w:rsidP="008927F5">
    <w:pPr>
      <w:pStyle w:val="Footer"/>
      <w:rPr>
        <w:lang w:val="en-GB"/>
      </w:rPr>
    </w:pPr>
    <w:r>
      <w:fldChar w:fldCharType="begin"/>
    </w:r>
    <w:r w:rsidRPr="00914F14">
      <w:rPr>
        <w:lang w:val="en-GB"/>
      </w:rPr>
      <w:instrText xml:space="preserve"> FILENAME \p \* MERGEFORMAT </w:instrText>
    </w:r>
    <w:r>
      <w:fldChar w:fldCharType="separate"/>
    </w:r>
    <w:r w:rsidR="00117194">
      <w:rPr>
        <w:noProof/>
        <w:lang w:val="en-GB"/>
      </w:rPr>
      <w:t>P:\ARA\ITU-R\CONF-R\CMR19\000\075ADD08A.docx</w:t>
    </w:r>
    <w:r>
      <w:fldChar w:fldCharType="end"/>
    </w:r>
    <w:r w:rsidR="00BD3934">
      <w:t> </w:t>
    </w:r>
    <w:proofErr w:type="gramStart"/>
    <w:r w:rsidR="00BD3934">
      <w:t>   (</w:t>
    </w:r>
    <w:proofErr w:type="gramEnd"/>
    <w:r w:rsidR="00BD3934">
      <w:t>462466)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8B10D4" w14:textId="77777777" w:rsidR="00A327AC" w:rsidRDefault="00A327AC" w:rsidP="002919E1">
      <w:r>
        <w:t>___________________</w:t>
      </w:r>
    </w:p>
  </w:footnote>
  <w:footnote w:type="continuationSeparator" w:id="0">
    <w:p w14:paraId="3E1F4F8C" w14:textId="77777777" w:rsidR="00A327AC" w:rsidRDefault="00A327AC" w:rsidP="002919E1">
      <w:r>
        <w:continuationSeparator/>
      </w:r>
    </w:p>
    <w:p w14:paraId="523B8BBE" w14:textId="77777777" w:rsidR="00A327AC" w:rsidRDefault="00A327AC" w:rsidP="002919E1"/>
    <w:p w14:paraId="516CE8B7" w14:textId="77777777" w:rsidR="00A327AC" w:rsidRDefault="00A327AC" w:rsidP="002919E1"/>
    <w:p w14:paraId="5A289583" w14:textId="77777777" w:rsidR="00A327AC" w:rsidRDefault="00A327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130DF" w14:textId="77777777" w:rsidR="00281F5F" w:rsidRDefault="00281F5F" w:rsidP="002919E1"/>
  <w:p w14:paraId="534CC40F" w14:textId="77777777" w:rsidR="00281F5F" w:rsidRDefault="00281F5F" w:rsidP="002919E1"/>
  <w:p w14:paraId="430A66C4"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580CE"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75(Add.8)-</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06D4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2E66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42D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75A20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03DD6"/>
    <w:rsid w:val="00011021"/>
    <w:rsid w:val="000114EC"/>
    <w:rsid w:val="00011F8C"/>
    <w:rsid w:val="00022B74"/>
    <w:rsid w:val="0002327C"/>
    <w:rsid w:val="00034B65"/>
    <w:rsid w:val="00040C94"/>
    <w:rsid w:val="000425FC"/>
    <w:rsid w:val="00043631"/>
    <w:rsid w:val="00044D43"/>
    <w:rsid w:val="00046844"/>
    <w:rsid w:val="00051907"/>
    <w:rsid w:val="00075A3F"/>
    <w:rsid w:val="00076931"/>
    <w:rsid w:val="000A1B16"/>
    <w:rsid w:val="000A5977"/>
    <w:rsid w:val="000B3896"/>
    <w:rsid w:val="000B5404"/>
    <w:rsid w:val="000D06EB"/>
    <w:rsid w:val="000D1708"/>
    <w:rsid w:val="000E2AFC"/>
    <w:rsid w:val="000E6D30"/>
    <w:rsid w:val="000F05F5"/>
    <w:rsid w:val="000F518F"/>
    <w:rsid w:val="0010081C"/>
    <w:rsid w:val="001013E3"/>
    <w:rsid w:val="0010363F"/>
    <w:rsid w:val="00117194"/>
    <w:rsid w:val="00122D64"/>
    <w:rsid w:val="00123AA6"/>
    <w:rsid w:val="00123B85"/>
    <w:rsid w:val="0012545F"/>
    <w:rsid w:val="001340F7"/>
    <w:rsid w:val="00136B82"/>
    <w:rsid w:val="001464F2"/>
    <w:rsid w:val="00165EE8"/>
    <w:rsid w:val="00167364"/>
    <w:rsid w:val="001833F7"/>
    <w:rsid w:val="001903B2"/>
    <w:rsid w:val="001A13EE"/>
    <w:rsid w:val="001B0F78"/>
    <w:rsid w:val="001B2CD7"/>
    <w:rsid w:val="001B5953"/>
    <w:rsid w:val="001C56E9"/>
    <w:rsid w:val="001D746E"/>
    <w:rsid w:val="001E190C"/>
    <w:rsid w:val="001E51EE"/>
    <w:rsid w:val="001E54F6"/>
    <w:rsid w:val="001E5A8C"/>
    <w:rsid w:val="001F4117"/>
    <w:rsid w:val="00201A0A"/>
    <w:rsid w:val="00203928"/>
    <w:rsid w:val="002075D4"/>
    <w:rsid w:val="00211B2A"/>
    <w:rsid w:val="00223C6C"/>
    <w:rsid w:val="002333A0"/>
    <w:rsid w:val="0025431E"/>
    <w:rsid w:val="002543CF"/>
    <w:rsid w:val="0026062E"/>
    <w:rsid w:val="00260F50"/>
    <w:rsid w:val="00261EF7"/>
    <w:rsid w:val="00262CEC"/>
    <w:rsid w:val="0027069F"/>
    <w:rsid w:val="00280E04"/>
    <w:rsid w:val="00281F5F"/>
    <w:rsid w:val="002843E4"/>
    <w:rsid w:val="002856AB"/>
    <w:rsid w:val="002919E1"/>
    <w:rsid w:val="00295917"/>
    <w:rsid w:val="00296071"/>
    <w:rsid w:val="00297115"/>
    <w:rsid w:val="002A4572"/>
    <w:rsid w:val="002A7E2E"/>
    <w:rsid w:val="002B12C5"/>
    <w:rsid w:val="002B16D8"/>
    <w:rsid w:val="002D5F64"/>
    <w:rsid w:val="002D6BB4"/>
    <w:rsid w:val="002D6FBF"/>
    <w:rsid w:val="002E48BF"/>
    <w:rsid w:val="002E61C2"/>
    <w:rsid w:val="002F3E46"/>
    <w:rsid w:val="00311E3F"/>
    <w:rsid w:val="00314B1E"/>
    <w:rsid w:val="0033737F"/>
    <w:rsid w:val="00353652"/>
    <w:rsid w:val="003569E1"/>
    <w:rsid w:val="00361AF2"/>
    <w:rsid w:val="00370CB2"/>
    <w:rsid w:val="003815E2"/>
    <w:rsid w:val="00381FAD"/>
    <w:rsid w:val="00382A66"/>
    <w:rsid w:val="003923B1"/>
    <w:rsid w:val="003965FE"/>
    <w:rsid w:val="003A3559"/>
    <w:rsid w:val="003B27AD"/>
    <w:rsid w:val="003B4F23"/>
    <w:rsid w:val="003C12F6"/>
    <w:rsid w:val="003C3A13"/>
    <w:rsid w:val="003D02FA"/>
    <w:rsid w:val="003E02EF"/>
    <w:rsid w:val="003E1D90"/>
    <w:rsid w:val="00400CD4"/>
    <w:rsid w:val="004147B9"/>
    <w:rsid w:val="00422C04"/>
    <w:rsid w:val="00423A40"/>
    <w:rsid w:val="00426144"/>
    <w:rsid w:val="004636E2"/>
    <w:rsid w:val="00470CBD"/>
    <w:rsid w:val="0047407D"/>
    <w:rsid w:val="004909DD"/>
    <w:rsid w:val="004A05E6"/>
    <w:rsid w:val="004A6230"/>
    <w:rsid w:val="004A6C66"/>
    <w:rsid w:val="004A7AA0"/>
    <w:rsid w:val="004C11BC"/>
    <w:rsid w:val="004C5C04"/>
    <w:rsid w:val="004D0448"/>
    <w:rsid w:val="004D3A8E"/>
    <w:rsid w:val="004D4AE6"/>
    <w:rsid w:val="00505FCA"/>
    <w:rsid w:val="00510C2D"/>
    <w:rsid w:val="005158F0"/>
    <w:rsid w:val="005166A4"/>
    <w:rsid w:val="005169F4"/>
    <w:rsid w:val="005210D1"/>
    <w:rsid w:val="00523146"/>
    <w:rsid w:val="00523275"/>
    <w:rsid w:val="00531DC7"/>
    <w:rsid w:val="005350B0"/>
    <w:rsid w:val="0053585F"/>
    <w:rsid w:val="005414F8"/>
    <w:rsid w:val="005431B5"/>
    <w:rsid w:val="005454F6"/>
    <w:rsid w:val="00546A99"/>
    <w:rsid w:val="00553411"/>
    <w:rsid w:val="00554AE7"/>
    <w:rsid w:val="00564746"/>
    <w:rsid w:val="0056512C"/>
    <w:rsid w:val="00576D0A"/>
    <w:rsid w:val="00576FCC"/>
    <w:rsid w:val="00583D0D"/>
    <w:rsid w:val="00584333"/>
    <w:rsid w:val="005953EC"/>
    <w:rsid w:val="005B00A1"/>
    <w:rsid w:val="005C29C8"/>
    <w:rsid w:val="005C5D25"/>
    <w:rsid w:val="005D2606"/>
    <w:rsid w:val="005D6D48"/>
    <w:rsid w:val="005D72A4"/>
    <w:rsid w:val="005E4EA2"/>
    <w:rsid w:val="005E77A8"/>
    <w:rsid w:val="005F0510"/>
    <w:rsid w:val="005F05CC"/>
    <w:rsid w:val="005F65DE"/>
    <w:rsid w:val="00613492"/>
    <w:rsid w:val="00630905"/>
    <w:rsid w:val="006315B5"/>
    <w:rsid w:val="0065562F"/>
    <w:rsid w:val="006569F9"/>
    <w:rsid w:val="00666697"/>
    <w:rsid w:val="006779A4"/>
    <w:rsid w:val="00680A66"/>
    <w:rsid w:val="00681391"/>
    <w:rsid w:val="00694690"/>
    <w:rsid w:val="0069526C"/>
    <w:rsid w:val="00696B8B"/>
    <w:rsid w:val="006A12AC"/>
    <w:rsid w:val="006A1C2C"/>
    <w:rsid w:val="006A2162"/>
    <w:rsid w:val="006B4B90"/>
    <w:rsid w:val="006B658C"/>
    <w:rsid w:val="006C00B7"/>
    <w:rsid w:val="006D2674"/>
    <w:rsid w:val="006E38D0"/>
    <w:rsid w:val="006E465B"/>
    <w:rsid w:val="006F0A71"/>
    <w:rsid w:val="006F39AE"/>
    <w:rsid w:val="006F70BF"/>
    <w:rsid w:val="00715285"/>
    <w:rsid w:val="00716B1D"/>
    <w:rsid w:val="007248EC"/>
    <w:rsid w:val="00726744"/>
    <w:rsid w:val="00731150"/>
    <w:rsid w:val="00731949"/>
    <w:rsid w:val="00734E41"/>
    <w:rsid w:val="00736DCC"/>
    <w:rsid w:val="00741855"/>
    <w:rsid w:val="00742B73"/>
    <w:rsid w:val="00751251"/>
    <w:rsid w:val="007610E7"/>
    <w:rsid w:val="00764079"/>
    <w:rsid w:val="00770AA0"/>
    <w:rsid w:val="00771F7E"/>
    <w:rsid w:val="00773E9C"/>
    <w:rsid w:val="007760BF"/>
    <w:rsid w:val="00776F6B"/>
    <w:rsid w:val="00777694"/>
    <w:rsid w:val="00786A7E"/>
    <w:rsid w:val="00794B15"/>
    <w:rsid w:val="007A0802"/>
    <w:rsid w:val="007B1FCA"/>
    <w:rsid w:val="007C2C12"/>
    <w:rsid w:val="007C3CFA"/>
    <w:rsid w:val="007C7603"/>
    <w:rsid w:val="007E0E8B"/>
    <w:rsid w:val="007E6847"/>
    <w:rsid w:val="007E6B0A"/>
    <w:rsid w:val="007F08CA"/>
    <w:rsid w:val="007F7FC3"/>
    <w:rsid w:val="00810482"/>
    <w:rsid w:val="00817568"/>
    <w:rsid w:val="008204AC"/>
    <w:rsid w:val="008261C2"/>
    <w:rsid w:val="00830D96"/>
    <w:rsid w:val="00844DE0"/>
    <w:rsid w:val="0085569D"/>
    <w:rsid w:val="00855B59"/>
    <w:rsid w:val="0085774F"/>
    <w:rsid w:val="008614B8"/>
    <w:rsid w:val="008657CB"/>
    <w:rsid w:val="00873A6F"/>
    <w:rsid w:val="0088384B"/>
    <w:rsid w:val="008862B6"/>
    <w:rsid w:val="008927F5"/>
    <w:rsid w:val="00893E53"/>
    <w:rsid w:val="008A1137"/>
    <w:rsid w:val="008A1788"/>
    <w:rsid w:val="008A3E57"/>
    <w:rsid w:val="008A4185"/>
    <w:rsid w:val="008A6552"/>
    <w:rsid w:val="008B4E93"/>
    <w:rsid w:val="008B52B7"/>
    <w:rsid w:val="008C0DCF"/>
    <w:rsid w:val="008C3818"/>
    <w:rsid w:val="008D6ACC"/>
    <w:rsid w:val="008D7AF0"/>
    <w:rsid w:val="008E2CBE"/>
    <w:rsid w:val="008E32DD"/>
    <w:rsid w:val="008E53C5"/>
    <w:rsid w:val="008F4626"/>
    <w:rsid w:val="009004DF"/>
    <w:rsid w:val="00904AA5"/>
    <w:rsid w:val="00914F14"/>
    <w:rsid w:val="00951718"/>
    <w:rsid w:val="00960962"/>
    <w:rsid w:val="00972CE0"/>
    <w:rsid w:val="009A3D30"/>
    <w:rsid w:val="009C5368"/>
    <w:rsid w:val="009D6348"/>
    <w:rsid w:val="009E156D"/>
    <w:rsid w:val="009E5007"/>
    <w:rsid w:val="009E613F"/>
    <w:rsid w:val="009F042B"/>
    <w:rsid w:val="00A03FD6"/>
    <w:rsid w:val="00A04CF4"/>
    <w:rsid w:val="00A116A8"/>
    <w:rsid w:val="00A17E61"/>
    <w:rsid w:val="00A22AE9"/>
    <w:rsid w:val="00A26758"/>
    <w:rsid w:val="00A26D0E"/>
    <w:rsid w:val="00A27205"/>
    <w:rsid w:val="00A278E9"/>
    <w:rsid w:val="00A327AC"/>
    <w:rsid w:val="00A3451F"/>
    <w:rsid w:val="00A356BB"/>
    <w:rsid w:val="00A3584A"/>
    <w:rsid w:val="00A35E1F"/>
    <w:rsid w:val="00A36268"/>
    <w:rsid w:val="00A375BD"/>
    <w:rsid w:val="00A40B2C"/>
    <w:rsid w:val="00A42709"/>
    <w:rsid w:val="00A42ADC"/>
    <w:rsid w:val="00A66D2B"/>
    <w:rsid w:val="00A809E8"/>
    <w:rsid w:val="00A870AD"/>
    <w:rsid w:val="00A90843"/>
    <w:rsid w:val="00A9645C"/>
    <w:rsid w:val="00AB2A33"/>
    <w:rsid w:val="00AC1275"/>
    <w:rsid w:val="00AC7395"/>
    <w:rsid w:val="00AD162B"/>
    <w:rsid w:val="00AD690F"/>
    <w:rsid w:val="00AD69DD"/>
    <w:rsid w:val="00AE6B26"/>
    <w:rsid w:val="00AF3EFA"/>
    <w:rsid w:val="00AF41D1"/>
    <w:rsid w:val="00AF6023"/>
    <w:rsid w:val="00B01623"/>
    <w:rsid w:val="00B033DF"/>
    <w:rsid w:val="00B039AD"/>
    <w:rsid w:val="00B07CEE"/>
    <w:rsid w:val="00B12661"/>
    <w:rsid w:val="00B16045"/>
    <w:rsid w:val="00B1714C"/>
    <w:rsid w:val="00B176F0"/>
    <w:rsid w:val="00B32F43"/>
    <w:rsid w:val="00B357E9"/>
    <w:rsid w:val="00B4164D"/>
    <w:rsid w:val="00B425C1"/>
    <w:rsid w:val="00B606BA"/>
    <w:rsid w:val="00B66817"/>
    <w:rsid w:val="00B71E3B"/>
    <w:rsid w:val="00B721D5"/>
    <w:rsid w:val="00B81CB5"/>
    <w:rsid w:val="00B8351F"/>
    <w:rsid w:val="00B86C44"/>
    <w:rsid w:val="00B9727C"/>
    <w:rsid w:val="00BA157A"/>
    <w:rsid w:val="00BA77BE"/>
    <w:rsid w:val="00BA7D44"/>
    <w:rsid w:val="00BD3934"/>
    <w:rsid w:val="00BD6291"/>
    <w:rsid w:val="00BD6EF3"/>
    <w:rsid w:val="00BE69C3"/>
    <w:rsid w:val="00BE79FB"/>
    <w:rsid w:val="00BF4EF8"/>
    <w:rsid w:val="00C03994"/>
    <w:rsid w:val="00C056E5"/>
    <w:rsid w:val="00C1165E"/>
    <w:rsid w:val="00C22074"/>
    <w:rsid w:val="00C2377B"/>
    <w:rsid w:val="00C3693C"/>
    <w:rsid w:val="00C45675"/>
    <w:rsid w:val="00C52B83"/>
    <w:rsid w:val="00C53F6F"/>
    <w:rsid w:val="00C5489D"/>
    <w:rsid w:val="00C71759"/>
    <w:rsid w:val="00C8199C"/>
    <w:rsid w:val="00C84112"/>
    <w:rsid w:val="00C841EB"/>
    <w:rsid w:val="00C8665F"/>
    <w:rsid w:val="00C87413"/>
    <w:rsid w:val="00C917B5"/>
    <w:rsid w:val="00C94DFA"/>
    <w:rsid w:val="00CA298C"/>
    <w:rsid w:val="00CB2BF9"/>
    <w:rsid w:val="00CB4300"/>
    <w:rsid w:val="00CB454E"/>
    <w:rsid w:val="00CC030E"/>
    <w:rsid w:val="00CC140C"/>
    <w:rsid w:val="00CC68C4"/>
    <w:rsid w:val="00CC79A4"/>
    <w:rsid w:val="00CD0FDE"/>
    <w:rsid w:val="00CE0E68"/>
    <w:rsid w:val="00CE5BA4"/>
    <w:rsid w:val="00CF4209"/>
    <w:rsid w:val="00D12E4B"/>
    <w:rsid w:val="00D25120"/>
    <w:rsid w:val="00D419CB"/>
    <w:rsid w:val="00D44350"/>
    <w:rsid w:val="00D44E3F"/>
    <w:rsid w:val="00D51BB8"/>
    <w:rsid w:val="00D525F5"/>
    <w:rsid w:val="00D535D0"/>
    <w:rsid w:val="00D577D8"/>
    <w:rsid w:val="00D62C78"/>
    <w:rsid w:val="00D81703"/>
    <w:rsid w:val="00D82929"/>
    <w:rsid w:val="00D84214"/>
    <w:rsid w:val="00D943E5"/>
    <w:rsid w:val="00DA1AE0"/>
    <w:rsid w:val="00DB4CC9"/>
    <w:rsid w:val="00DC29DD"/>
    <w:rsid w:val="00DC7C0E"/>
    <w:rsid w:val="00DD6DCC"/>
    <w:rsid w:val="00DE7387"/>
    <w:rsid w:val="00DF2A6A"/>
    <w:rsid w:val="00DF3B72"/>
    <w:rsid w:val="00E10821"/>
    <w:rsid w:val="00E2476B"/>
    <w:rsid w:val="00E2489D"/>
    <w:rsid w:val="00E26520"/>
    <w:rsid w:val="00E343A3"/>
    <w:rsid w:val="00E51BFA"/>
    <w:rsid w:val="00E5323C"/>
    <w:rsid w:val="00E54E6D"/>
    <w:rsid w:val="00E611F1"/>
    <w:rsid w:val="00E621A3"/>
    <w:rsid w:val="00E833BC"/>
    <w:rsid w:val="00E8580E"/>
    <w:rsid w:val="00E97E21"/>
    <w:rsid w:val="00EA1B76"/>
    <w:rsid w:val="00EA5D25"/>
    <w:rsid w:val="00EA77D7"/>
    <w:rsid w:val="00EC09B9"/>
    <w:rsid w:val="00EC26CD"/>
    <w:rsid w:val="00ED048C"/>
    <w:rsid w:val="00ED3434"/>
    <w:rsid w:val="00ED6475"/>
    <w:rsid w:val="00EE60E9"/>
    <w:rsid w:val="00EF38AF"/>
    <w:rsid w:val="00F00143"/>
    <w:rsid w:val="00F055F8"/>
    <w:rsid w:val="00F10CB4"/>
    <w:rsid w:val="00F11B3D"/>
    <w:rsid w:val="00F146AC"/>
    <w:rsid w:val="00F14763"/>
    <w:rsid w:val="00F16212"/>
    <w:rsid w:val="00F16602"/>
    <w:rsid w:val="00F25261"/>
    <w:rsid w:val="00F25B80"/>
    <w:rsid w:val="00F2685F"/>
    <w:rsid w:val="00F33A34"/>
    <w:rsid w:val="00F350C8"/>
    <w:rsid w:val="00F42650"/>
    <w:rsid w:val="00F545E4"/>
    <w:rsid w:val="00F550FB"/>
    <w:rsid w:val="00F55E63"/>
    <w:rsid w:val="00F84613"/>
    <w:rsid w:val="00F8654D"/>
    <w:rsid w:val="00F900C9"/>
    <w:rsid w:val="00F92C96"/>
    <w:rsid w:val="00F97D1C"/>
    <w:rsid w:val="00FA0D4E"/>
    <w:rsid w:val="00FB0753"/>
    <w:rsid w:val="00FB5CC8"/>
    <w:rsid w:val="00FC2CD0"/>
    <w:rsid w:val="00FC485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AA440F"/>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R16-WRC19-C-0075!A8!MSW-A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F3FE9-E2A8-4689-8F34-822BDE30674B}">
  <ds:schemaRefs>
    <ds:schemaRef ds:uri="http://schemas.microsoft.com/sharepoint/events"/>
  </ds:schemaRefs>
</ds:datastoreItem>
</file>

<file path=customXml/itemProps2.xml><?xml version="1.0" encoding="utf-8"?>
<ds:datastoreItem xmlns:ds="http://schemas.openxmlformats.org/officeDocument/2006/customXml" ds:itemID="{EC7F402B-4AA1-4697-A282-38D56B65091F}">
  <ds:schemaRefs>
    <ds:schemaRef ds:uri="http://schemas.microsoft.com/sharepoint/v3/contenttype/forms"/>
  </ds:schemaRefs>
</ds:datastoreItem>
</file>

<file path=customXml/itemProps3.xml><?xml version="1.0" encoding="utf-8"?>
<ds:datastoreItem xmlns:ds="http://schemas.openxmlformats.org/officeDocument/2006/customXml" ds:itemID="{52326ECF-357B-4032-9456-933F7CDC1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419CD1-7227-4A5B-866B-DB08FA4CBC5E}">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6E064EAC-34DD-4D01-B2F2-E0B1C1526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1836</Words>
  <Characters>9670</Characters>
  <Application>Microsoft Office Word</Application>
  <DocSecurity>0</DocSecurity>
  <Lines>148</Lines>
  <Paragraphs>56</Paragraphs>
  <ScaleCrop>false</ScaleCrop>
  <HeadingPairs>
    <vt:vector size="2" baseType="variant">
      <vt:variant>
        <vt:lpstr>Title</vt:lpstr>
      </vt:variant>
      <vt:variant>
        <vt:i4>1</vt:i4>
      </vt:variant>
    </vt:vector>
  </HeadingPairs>
  <TitlesOfParts>
    <vt:vector size="1" baseType="lpstr">
      <vt:lpstr>R16-WRC19-C-0075!A8!MSW-A</vt:lpstr>
    </vt:vector>
  </TitlesOfParts>
  <Manager>General Secretariat - Pool</Manager>
  <Company>International Telecommunication Union (ITU)</Company>
  <LinksUpToDate>false</LinksUpToDate>
  <CharactersWithSpaces>11462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R16-WRC19-C-0075!A8!MSW-A</dc:title>
  <dc:creator>Documents Proposals Manager (DPM)</dc:creator>
  <cp:keywords>DPM_v2019.10.15.2_prod</cp:keywords>
  <cp:lastModifiedBy>Riz, Imad</cp:lastModifiedBy>
  <cp:revision>4</cp:revision>
  <cp:lastPrinted>2019-10-26T18:35:00Z</cp:lastPrinted>
  <dcterms:created xsi:type="dcterms:W3CDTF">2019-10-26T18:29:00Z</dcterms:created>
  <dcterms:modified xsi:type="dcterms:W3CDTF">2019-10-26T18:35:00Z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