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16F207DF" w14:textId="77777777" w:rsidTr="00F55E63">
        <w:trPr>
          <w:cantSplit/>
          <w:trHeight w:val="20"/>
        </w:trPr>
        <w:tc>
          <w:tcPr>
            <w:tcW w:w="6619" w:type="dxa"/>
          </w:tcPr>
          <w:p w14:paraId="288E8B58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</w:t>
            </w:r>
            <w:r w:rsidRPr="004450EB">
              <w:rPr>
                <w:rFonts w:ascii="Verdana Bold" w:hAnsi="Verdana Bold"/>
                <w:sz w:val="27"/>
                <w:szCs w:val="40"/>
              </w:rPr>
              <w:t>19</w:t>
            </w:r>
            <w:r w:rsidRPr="00F545E4">
              <w:rPr>
                <w:rFonts w:ascii="Verdana Bold" w:hAnsi="Verdana Bold"/>
                <w:sz w:val="27"/>
                <w:szCs w:val="40"/>
              </w:rPr>
              <w:t>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4450EB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4450EB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4450EB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7F84710D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66B0E854" wp14:editId="2BCDD0C8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310F029D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5E24AB22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3FC62F3D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1A8469AC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27E41781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74667ADD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A809E8" w:rsidRPr="00F545E4" w14:paraId="398B9397" w14:textId="77777777" w:rsidTr="00F55E63">
        <w:trPr>
          <w:cantSplit/>
        </w:trPr>
        <w:tc>
          <w:tcPr>
            <w:tcW w:w="6619" w:type="dxa"/>
          </w:tcPr>
          <w:p w14:paraId="64D6A8D9" w14:textId="77777777" w:rsidR="00A809E8" w:rsidRPr="00F545E4" w:rsidRDefault="00F55E63" w:rsidP="00A42709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1A1883F8" w14:textId="56AD6B19" w:rsidR="00A809E8" w:rsidRPr="004450EB" w:rsidRDefault="004450EB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4450EB">
              <w:rPr>
                <w:rFonts w:hint="cs"/>
                <w:rtl/>
              </w:rPr>
              <w:t xml:space="preserve">الإضافة </w:t>
            </w:r>
            <w:r w:rsidR="007C7603" w:rsidRPr="004450EB">
              <w:t>5</w:t>
            </w:r>
            <w:r w:rsidR="007C7603" w:rsidRPr="004450EB">
              <w:br/>
            </w:r>
            <w:r w:rsidR="00DD6611" w:rsidRPr="004450EB">
              <w:rPr>
                <w:rFonts w:hint="cs"/>
                <w:rtl/>
              </w:rPr>
              <w:t>للوثيقة</w:t>
            </w:r>
            <w:r w:rsidR="00F55E63" w:rsidRPr="004450EB">
              <w:rPr>
                <w:rtl/>
              </w:rPr>
              <w:t xml:space="preserve"> </w:t>
            </w:r>
            <w:r w:rsidR="007C7603" w:rsidRPr="004450EB">
              <w:rPr>
                <w:rFonts w:eastAsia="SimSun"/>
              </w:rPr>
              <w:t>75-A</w:t>
            </w:r>
          </w:p>
        </w:tc>
      </w:tr>
      <w:tr w:rsidR="00A809E8" w:rsidRPr="00F545E4" w14:paraId="2AB84666" w14:textId="77777777" w:rsidTr="00F55E63">
        <w:trPr>
          <w:cantSplit/>
        </w:trPr>
        <w:tc>
          <w:tcPr>
            <w:tcW w:w="6619" w:type="dxa"/>
          </w:tcPr>
          <w:p w14:paraId="3AA9E12C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22301C3E" w14:textId="77777777" w:rsidR="00A809E8" w:rsidRPr="004450EB" w:rsidRDefault="00F55E63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4450EB">
              <w:rPr>
                <w:rFonts w:eastAsia="SimSun"/>
              </w:rPr>
              <w:t>28</w:t>
            </w:r>
            <w:r w:rsidRPr="004450EB">
              <w:rPr>
                <w:rFonts w:eastAsia="SimSun"/>
                <w:rtl/>
              </w:rPr>
              <w:t xml:space="preserve"> أكتوبر </w:t>
            </w:r>
            <w:r w:rsidRPr="004450EB">
              <w:rPr>
                <w:rFonts w:eastAsia="SimSun"/>
              </w:rPr>
              <w:t>2019</w:t>
            </w:r>
          </w:p>
        </w:tc>
      </w:tr>
      <w:tr w:rsidR="00A809E8" w:rsidRPr="00F545E4" w14:paraId="0C90CA74" w14:textId="77777777" w:rsidTr="00F55E63">
        <w:trPr>
          <w:cantSplit/>
        </w:trPr>
        <w:tc>
          <w:tcPr>
            <w:tcW w:w="6619" w:type="dxa"/>
          </w:tcPr>
          <w:p w14:paraId="7A7182A7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6FAE4B6F" w14:textId="77777777" w:rsidR="00A809E8" w:rsidRPr="004450EB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4450EB">
              <w:rPr>
                <w:rtl/>
              </w:rPr>
              <w:t>الأصل: بالإنكليزية</w:t>
            </w:r>
          </w:p>
        </w:tc>
      </w:tr>
      <w:tr w:rsidR="00764079" w14:paraId="641AC46A" w14:textId="77777777" w:rsidTr="00F55E63">
        <w:trPr>
          <w:cantSplit/>
        </w:trPr>
        <w:tc>
          <w:tcPr>
            <w:tcW w:w="9672" w:type="dxa"/>
            <w:gridSpan w:val="2"/>
          </w:tcPr>
          <w:p w14:paraId="29B371A0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5382F177" w14:textId="77777777" w:rsidTr="00F55E63">
        <w:trPr>
          <w:cantSplit/>
        </w:trPr>
        <w:tc>
          <w:tcPr>
            <w:tcW w:w="9672" w:type="dxa"/>
            <w:gridSpan w:val="2"/>
          </w:tcPr>
          <w:p w14:paraId="71EE06AC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دولة ساموا المستقلة</w:t>
            </w:r>
          </w:p>
        </w:tc>
      </w:tr>
      <w:tr w:rsidR="00764079" w14:paraId="0FC8D1C4" w14:textId="77777777" w:rsidTr="00F55E63">
        <w:trPr>
          <w:cantSplit/>
        </w:trPr>
        <w:tc>
          <w:tcPr>
            <w:tcW w:w="9672" w:type="dxa"/>
            <w:gridSpan w:val="2"/>
          </w:tcPr>
          <w:p w14:paraId="61763B2B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4FACB585" w14:textId="77777777" w:rsidTr="00F55E63">
        <w:trPr>
          <w:cantSplit/>
        </w:trPr>
        <w:tc>
          <w:tcPr>
            <w:tcW w:w="9672" w:type="dxa"/>
            <w:gridSpan w:val="2"/>
          </w:tcPr>
          <w:p w14:paraId="26240A52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6D5FA6CA" w14:textId="77777777" w:rsidTr="00F55E63">
        <w:trPr>
          <w:cantSplit/>
        </w:trPr>
        <w:tc>
          <w:tcPr>
            <w:tcW w:w="9672" w:type="dxa"/>
            <w:gridSpan w:val="2"/>
          </w:tcPr>
          <w:p w14:paraId="2FBC7EF7" w14:textId="16777B48" w:rsidR="00764079" w:rsidRPr="004450EB" w:rsidRDefault="00DB4CC9" w:rsidP="00F55E63">
            <w:pPr>
              <w:pStyle w:val="Agendaitem"/>
            </w:pPr>
            <w:r w:rsidRPr="004450EB">
              <w:rPr>
                <w:rtl/>
              </w:rPr>
              <w:t>بند جدول الأعمال</w:t>
            </w:r>
            <w:r w:rsidR="00823F34" w:rsidRPr="004450EB">
              <w:rPr>
                <w:rFonts w:hint="cs"/>
                <w:rtl/>
              </w:rPr>
              <w:t xml:space="preserve"> </w:t>
            </w:r>
            <w:r w:rsidR="00823F34" w:rsidRPr="004450EB">
              <w:rPr>
                <w:lang w:val="en-US"/>
              </w:rPr>
              <w:t>5</w:t>
            </w:r>
            <w:r w:rsidR="00823F34" w:rsidRPr="004450EB">
              <w:t>.</w:t>
            </w:r>
            <w:r w:rsidR="00823F34" w:rsidRPr="004450EB">
              <w:rPr>
                <w:lang w:val="en-US"/>
              </w:rPr>
              <w:t>1</w:t>
            </w:r>
          </w:p>
        </w:tc>
      </w:tr>
    </w:tbl>
    <w:p w14:paraId="098E8427" w14:textId="6E732CD8" w:rsidR="001D597A" w:rsidRDefault="0030234B" w:rsidP="001D597A">
      <w:pPr>
        <w:rPr>
          <w:rFonts w:eastAsia="SimSun"/>
          <w:lang w:eastAsia="zh-CN"/>
        </w:rPr>
      </w:pPr>
      <w:r w:rsidRPr="004450EB">
        <w:rPr>
          <w:rFonts w:eastAsia="SimSun"/>
          <w:lang w:eastAsia="zh-CN" w:bidi="ar-SY"/>
        </w:rPr>
        <w:t>5</w:t>
      </w:r>
      <w:r w:rsidRPr="00723691">
        <w:rPr>
          <w:rFonts w:eastAsia="SimSun"/>
          <w:lang w:val="es-ES" w:eastAsia="zh-CN" w:bidi="ar-SY"/>
        </w:rPr>
        <w:t>.</w:t>
      </w:r>
      <w:r w:rsidRPr="004450EB">
        <w:rPr>
          <w:rFonts w:eastAsia="SimSun"/>
          <w:lang w:eastAsia="zh-CN" w:bidi="ar-SY"/>
        </w:rPr>
        <w:t>1</w:t>
      </w:r>
      <w:r w:rsidRPr="00723691">
        <w:rPr>
          <w:rFonts w:eastAsia="SimSun"/>
          <w:rtl/>
          <w:lang w:eastAsia="zh-CN"/>
        </w:rPr>
        <w:tab/>
        <w:t>النظر في </w:t>
      </w:r>
      <w:r w:rsidRPr="00723691">
        <w:rPr>
          <w:rFonts w:eastAsia="SimSun" w:hint="cs"/>
          <w:rtl/>
          <w:lang w:eastAsia="zh-CN"/>
        </w:rPr>
        <w:t>استخدام نطاقي التردد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GHz </w:t>
      </w:r>
      <w:r w:rsidRPr="004450EB">
        <w:rPr>
          <w:rFonts w:eastAsia="SimSun"/>
          <w:lang w:eastAsia="zh-CN" w:bidi="ar-SY"/>
        </w:rPr>
        <w:t>19</w:t>
      </w:r>
      <w:r w:rsidRPr="00723691">
        <w:rPr>
          <w:rFonts w:eastAsia="SimSun"/>
          <w:lang w:eastAsia="zh-CN" w:bidi="ar-SY"/>
        </w:rPr>
        <w:t>,</w:t>
      </w:r>
      <w:r w:rsidRPr="004450EB">
        <w:rPr>
          <w:rFonts w:eastAsia="SimSun"/>
          <w:lang w:eastAsia="zh-CN" w:bidi="ar-SY"/>
        </w:rPr>
        <w:t>7</w:t>
      </w:r>
      <w:r w:rsidRPr="00723691">
        <w:rPr>
          <w:rFonts w:eastAsia="SimSun"/>
          <w:lang w:eastAsia="zh-CN" w:bidi="ar-SY"/>
        </w:rPr>
        <w:noBreakHyphen/>
      </w:r>
      <w:r w:rsidRPr="004450EB">
        <w:rPr>
          <w:rFonts w:eastAsia="SimSun"/>
          <w:lang w:eastAsia="zh-CN" w:bidi="ar-SY"/>
        </w:rPr>
        <w:t>17</w:t>
      </w:r>
      <w:r w:rsidRPr="00723691">
        <w:rPr>
          <w:rFonts w:eastAsia="SimSun"/>
          <w:lang w:eastAsia="zh-CN" w:bidi="ar-SY"/>
        </w:rPr>
        <w:t>,</w:t>
      </w:r>
      <w:r w:rsidRPr="004450EB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(فضاء-أرض) و</w:t>
      </w:r>
      <w:r w:rsidRPr="00723691">
        <w:rPr>
          <w:rFonts w:eastAsia="SimSun"/>
          <w:lang w:eastAsia="zh-CN" w:bidi="ar-SY"/>
        </w:rPr>
        <w:t>GHz </w:t>
      </w:r>
      <w:r w:rsidRPr="004450EB">
        <w:rPr>
          <w:rFonts w:eastAsia="SimSun"/>
          <w:lang w:eastAsia="zh-CN" w:bidi="ar-SY"/>
        </w:rPr>
        <w:t>29</w:t>
      </w:r>
      <w:r w:rsidRPr="00723691">
        <w:rPr>
          <w:rFonts w:eastAsia="SimSun"/>
          <w:lang w:eastAsia="zh-CN" w:bidi="ar-SY"/>
        </w:rPr>
        <w:t>,</w:t>
      </w:r>
      <w:r w:rsidRPr="004450EB">
        <w:rPr>
          <w:rFonts w:eastAsia="SimSun"/>
          <w:lang w:eastAsia="zh-CN" w:bidi="ar-SY"/>
        </w:rPr>
        <w:t>5</w:t>
      </w:r>
      <w:r w:rsidRPr="00723691">
        <w:rPr>
          <w:rFonts w:eastAsia="SimSun"/>
          <w:lang w:eastAsia="zh-CN" w:bidi="ar-SY"/>
        </w:rPr>
        <w:noBreakHyphen/>
      </w:r>
      <w:r w:rsidRPr="004450EB">
        <w:rPr>
          <w:rFonts w:eastAsia="SimSun"/>
          <w:lang w:eastAsia="zh-CN" w:bidi="ar-SY"/>
        </w:rPr>
        <w:t>27</w:t>
      </w:r>
      <w:r w:rsidRPr="00723691">
        <w:rPr>
          <w:rFonts w:eastAsia="SimSun"/>
          <w:lang w:eastAsia="zh-CN" w:bidi="ar-SY"/>
        </w:rPr>
        <w:t>,</w:t>
      </w:r>
      <w:r w:rsidRPr="004450EB">
        <w:rPr>
          <w:rFonts w:eastAsia="SimSun"/>
          <w:lang w:eastAsia="zh-CN" w:bidi="ar-SY"/>
        </w:rPr>
        <w:t>5</w:t>
      </w:r>
      <w:r w:rsidRPr="00723691">
        <w:rPr>
          <w:rFonts w:eastAsia="SimSun" w:hint="cs"/>
          <w:rtl/>
          <w:lang w:eastAsia="zh-CN"/>
        </w:rPr>
        <w:t xml:space="preserve"> (أرض-فضاء) في محطات أرضية متحركة تتواصل مع محطات فضائية مستقرة بالنسبة إلى الأرض في الخدمة الثابتة </w:t>
      </w:r>
      <w:proofErr w:type="spellStart"/>
      <w:r w:rsidRPr="00723691">
        <w:rPr>
          <w:rFonts w:eastAsia="SimSun" w:hint="cs"/>
          <w:rtl/>
          <w:lang w:eastAsia="zh-CN"/>
        </w:rPr>
        <w:t>الساتلية</w:t>
      </w:r>
      <w:proofErr w:type="spellEnd"/>
      <w:r w:rsidRPr="00723691">
        <w:rPr>
          <w:rFonts w:eastAsia="SimSun" w:hint="cs"/>
          <w:rtl/>
          <w:lang w:eastAsia="zh-CN"/>
        </w:rPr>
        <w:t>، واتخاذ الإجراء المناسب، وفقاً</w:t>
      </w:r>
      <w:r w:rsidRPr="00723691">
        <w:rPr>
          <w:rFonts w:eastAsia="SimSun" w:hint="eastAsia"/>
          <w:rtl/>
          <w:lang w:eastAsia="zh-CN"/>
        </w:rPr>
        <w:t> </w:t>
      </w:r>
      <w:r w:rsidRPr="00F937C9">
        <w:rPr>
          <w:rFonts w:eastAsia="SimSun" w:hint="cs"/>
          <w:rtl/>
          <w:lang w:eastAsia="zh-CN" w:bidi="ar-SY"/>
        </w:rPr>
        <w:t>للقرار</w:t>
      </w:r>
      <w:r w:rsidRPr="00F937C9">
        <w:rPr>
          <w:rFonts w:eastAsia="SimSun" w:hint="eastAsia"/>
          <w:rtl/>
          <w:lang w:eastAsia="zh-CN" w:bidi="ar-SY"/>
        </w:rPr>
        <w:t> </w:t>
      </w:r>
      <w:r w:rsidRPr="004450EB">
        <w:rPr>
          <w:rFonts w:eastAsia="SimSun"/>
          <w:b/>
          <w:bCs/>
          <w:lang w:eastAsia="zh-CN" w:bidi="ar-SY"/>
        </w:rPr>
        <w:t>158</w:t>
      </w:r>
      <w:r w:rsidRPr="00F937C9">
        <w:rPr>
          <w:rFonts w:eastAsia="SimSun"/>
          <w:b/>
          <w:bCs/>
          <w:lang w:eastAsia="zh-CN" w:bidi="ar-SY"/>
        </w:rPr>
        <w:t> (WRC</w:t>
      </w:r>
      <w:r w:rsidRPr="00F937C9">
        <w:rPr>
          <w:rFonts w:eastAsia="SimSun"/>
          <w:b/>
          <w:bCs/>
          <w:lang w:eastAsia="zh-CN" w:bidi="ar-SY"/>
        </w:rPr>
        <w:noBreakHyphen/>
      </w:r>
      <w:proofErr w:type="gramStart"/>
      <w:r w:rsidRPr="004450EB">
        <w:rPr>
          <w:rFonts w:eastAsia="SimSun"/>
          <w:b/>
          <w:bCs/>
          <w:lang w:eastAsia="zh-CN" w:bidi="ar-SY"/>
        </w:rPr>
        <w:t>15</w:t>
      </w:r>
      <w:r w:rsidRPr="00F937C9">
        <w:rPr>
          <w:rFonts w:eastAsia="SimSun"/>
          <w:b/>
          <w:bCs/>
          <w:lang w:eastAsia="zh-CN" w:bidi="ar-SY"/>
        </w:rPr>
        <w:t>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14:paraId="538C4EDE" w14:textId="35D42E34" w:rsidR="00C317E5" w:rsidRDefault="00C317E5" w:rsidP="001D597A">
      <w:pPr>
        <w:rPr>
          <w:rFonts w:eastAsia="SimSun"/>
        </w:rPr>
      </w:pPr>
    </w:p>
    <w:p w14:paraId="27FD5FFA" w14:textId="29E34ACD" w:rsidR="00C317E5" w:rsidRDefault="00C317E5" w:rsidP="00C317E5">
      <w:pPr>
        <w:pStyle w:val="Headingb"/>
        <w:rPr>
          <w:rFonts w:eastAsia="SimSun"/>
          <w:rtl/>
        </w:rPr>
      </w:pPr>
      <w:r>
        <w:rPr>
          <w:rFonts w:eastAsia="SimSun" w:hint="cs"/>
          <w:rtl/>
        </w:rPr>
        <w:t>المقترحات</w:t>
      </w:r>
    </w:p>
    <w:p w14:paraId="0FB96A0D" w14:textId="379FCE61" w:rsidR="00C317E5" w:rsidRDefault="00631B54" w:rsidP="00C317E5">
      <w:pPr>
        <w:rPr>
          <w:rtl/>
        </w:rPr>
      </w:pPr>
      <w:r>
        <w:rPr>
          <w:rFonts w:eastAsia="SimSun" w:hint="cs"/>
          <w:rtl/>
          <w:lang w:bidi="ar-EG"/>
        </w:rPr>
        <w:t xml:space="preserve">يقدَّم هذا المقترح استجابةً للوثيقة </w:t>
      </w:r>
      <w:r w:rsidRPr="004450EB">
        <w:rPr>
          <w:rFonts w:eastAsia="SimSun"/>
          <w:lang w:bidi="ar-EG"/>
        </w:rPr>
        <w:t>61</w:t>
      </w:r>
      <w:r>
        <w:rPr>
          <w:rFonts w:eastAsia="SimSun" w:hint="cs"/>
          <w:rtl/>
          <w:lang w:bidi="ar-EG"/>
        </w:rPr>
        <w:t xml:space="preserve"> (الإضافة </w:t>
      </w:r>
      <w:r w:rsidRPr="004450EB">
        <w:rPr>
          <w:rFonts w:eastAsia="SimSun"/>
          <w:lang w:bidi="ar-EG"/>
        </w:rPr>
        <w:t>5</w:t>
      </w:r>
      <w:r>
        <w:rPr>
          <w:rFonts w:eastAsia="SimSun" w:hint="cs"/>
          <w:rtl/>
          <w:lang w:bidi="ar-EG"/>
        </w:rPr>
        <w:t>)</w:t>
      </w:r>
      <w:r w:rsidR="00217F61">
        <w:rPr>
          <w:rFonts w:eastAsia="SimSun" w:hint="cs"/>
          <w:rtl/>
          <w:lang w:bidi="ar-EG"/>
        </w:rPr>
        <w:t xml:space="preserve"> </w:t>
      </w:r>
      <w:r w:rsidR="00087D71">
        <w:rPr>
          <w:rFonts w:eastAsia="SimSun" w:hint="cs"/>
          <w:rtl/>
          <w:lang w:bidi="ar-EG"/>
        </w:rPr>
        <w:t>فيما يتعلق</w:t>
      </w:r>
      <w:r w:rsidR="00217F61">
        <w:rPr>
          <w:rFonts w:eastAsia="SimSun" w:hint="cs"/>
          <w:rtl/>
          <w:lang w:bidi="ar-EG"/>
        </w:rPr>
        <w:t xml:space="preserve"> بالمحطات الأرضية المتحركة للطيران وحماية خدمات الأرض من التداخل غير المقبول. </w:t>
      </w:r>
      <w:r w:rsidR="00087D71">
        <w:rPr>
          <w:rFonts w:eastAsia="SimSun" w:hint="cs"/>
          <w:rtl/>
          <w:lang w:bidi="ar-EG"/>
        </w:rPr>
        <w:t>وتبين هذه الوثيقة أن</w:t>
      </w:r>
      <w:r w:rsidR="00912198">
        <w:rPr>
          <w:rFonts w:eastAsia="SimSun" w:hint="cs"/>
          <w:rtl/>
          <w:lang w:bidi="ar-EG"/>
        </w:rPr>
        <w:t>ه عند إدراج</w:t>
      </w:r>
      <w:r w:rsidR="00087D71">
        <w:rPr>
          <w:rFonts w:eastAsia="SimSun" w:hint="cs"/>
          <w:rtl/>
          <w:lang w:bidi="ar-EG"/>
        </w:rPr>
        <w:t xml:space="preserve"> </w:t>
      </w:r>
      <w:r w:rsidR="00912198">
        <w:rPr>
          <w:rFonts w:eastAsia="SimSun" w:hint="cs"/>
          <w:rtl/>
          <w:lang w:bidi="ar-EG"/>
        </w:rPr>
        <w:t xml:space="preserve">خسائر الغلاف الجوي ومخططات </w:t>
      </w:r>
      <w:r w:rsidR="00B66372">
        <w:rPr>
          <w:rFonts w:eastAsia="SimSun" w:hint="cs"/>
          <w:rtl/>
          <w:lang w:bidi="ar-EG"/>
        </w:rPr>
        <w:t xml:space="preserve">الإشعاع النمطي </w:t>
      </w:r>
      <w:r w:rsidR="00912198">
        <w:rPr>
          <w:rFonts w:eastAsia="SimSun" w:hint="cs"/>
          <w:rtl/>
          <w:lang w:bidi="ar-EG"/>
        </w:rPr>
        <w:t xml:space="preserve">لهوائي </w:t>
      </w:r>
      <w:r w:rsidR="00B66372">
        <w:rPr>
          <w:rFonts w:eastAsia="SimSun" w:hint="cs"/>
          <w:rtl/>
          <w:lang w:bidi="ar-EG"/>
        </w:rPr>
        <w:t>ا</w:t>
      </w:r>
      <w:r w:rsidR="00912198">
        <w:rPr>
          <w:rFonts w:eastAsia="SimSun" w:hint="cs"/>
          <w:rtl/>
          <w:lang w:bidi="ar-EG"/>
        </w:rPr>
        <w:t xml:space="preserve">لمحطات الأرضية للطيران </w:t>
      </w:r>
      <w:r w:rsidR="00912198" w:rsidRPr="000327C1">
        <w:rPr>
          <w:rFonts w:eastAsia="SimSun"/>
          <w:lang w:bidi="ar-EG"/>
        </w:rPr>
        <w:t>(A-ESIM)</w:t>
      </w:r>
      <w:r w:rsidR="000327C1" w:rsidRPr="000327C1">
        <w:rPr>
          <w:rFonts w:eastAsia="SimSun" w:hint="cs"/>
          <w:rtl/>
          <w:lang w:bidi="ar-EG"/>
        </w:rPr>
        <w:t>،</w:t>
      </w:r>
      <w:r w:rsidR="000327C1">
        <w:rPr>
          <w:rFonts w:hint="cs"/>
          <w:rtl/>
        </w:rPr>
        <w:t xml:space="preserve"> فإن كثافة تدفق القدرة </w:t>
      </w:r>
      <w:r w:rsidR="000327C1">
        <w:t>(</w:t>
      </w:r>
      <w:proofErr w:type="spellStart"/>
      <w:r w:rsidR="000327C1" w:rsidRPr="00E0557D">
        <w:t>pfd</w:t>
      </w:r>
      <w:proofErr w:type="spellEnd"/>
      <w:r w:rsidR="000327C1">
        <w:t>)</w:t>
      </w:r>
      <w:r w:rsidR="000327C1">
        <w:rPr>
          <w:rFonts w:hint="cs"/>
          <w:rtl/>
        </w:rPr>
        <w:t xml:space="preserve"> الناتجة </w:t>
      </w:r>
      <w:r w:rsidR="00465C3A">
        <w:rPr>
          <w:rFonts w:hint="cs"/>
          <w:rtl/>
        </w:rPr>
        <w:t xml:space="preserve">تمتثل </w:t>
      </w:r>
      <w:r w:rsidR="00EB40B0">
        <w:rPr>
          <w:rFonts w:hint="cs"/>
          <w:rtl/>
        </w:rPr>
        <w:t xml:space="preserve">لمختلف قناعات كثافة تدفق القدرة </w:t>
      </w:r>
      <w:r w:rsidR="0040611B">
        <w:rPr>
          <w:rFonts w:hint="cs"/>
          <w:rtl/>
        </w:rPr>
        <w:t xml:space="preserve">المقترحة </w:t>
      </w:r>
      <w:r w:rsidR="00EB40B0">
        <w:rPr>
          <w:rFonts w:hint="cs"/>
          <w:rtl/>
        </w:rPr>
        <w:t xml:space="preserve">في معظم الحالات. وترد الحالات الاستثنائية القليلة </w:t>
      </w:r>
      <w:r w:rsidR="0040611B">
        <w:rPr>
          <w:rFonts w:hint="cs"/>
          <w:rtl/>
        </w:rPr>
        <w:t xml:space="preserve">في سيناريوهات الارتفاع المنخفض جداً </w:t>
      </w:r>
      <w:r w:rsidR="00967E63">
        <w:rPr>
          <w:rFonts w:hint="cs"/>
          <w:rtl/>
        </w:rPr>
        <w:t xml:space="preserve">حيث تكون الطائرة </w:t>
      </w:r>
      <w:r w:rsidR="009F3ABC">
        <w:rPr>
          <w:rFonts w:hint="cs"/>
          <w:rtl/>
        </w:rPr>
        <w:t xml:space="preserve">التي تحمل </w:t>
      </w:r>
      <w:r w:rsidR="00967E63">
        <w:rPr>
          <w:rFonts w:hint="cs"/>
          <w:rtl/>
        </w:rPr>
        <w:t>المحطة الأرضية المتحركة للطيران</w:t>
      </w:r>
      <w:r w:rsidR="009F3ABC">
        <w:rPr>
          <w:rFonts w:hint="cs"/>
          <w:rtl/>
        </w:rPr>
        <w:t xml:space="preserve"> في حالة هبوط أو إقلاع. وفي هذه السيناريوهات، تكون المسافات القصيرة عادةً ضمن الحدود الوطنية </w:t>
      </w:r>
      <w:r w:rsidR="00D736F4">
        <w:rPr>
          <w:rFonts w:hint="cs"/>
          <w:rtl/>
        </w:rPr>
        <w:t>التي يكون فيها الترخيص مطلوباً من الإدارة في جميع الأحوال.</w:t>
      </w:r>
    </w:p>
    <w:p w14:paraId="74CC88A6" w14:textId="0C114568" w:rsidR="00D736F4" w:rsidRPr="00631B54" w:rsidRDefault="00480071" w:rsidP="00C317E5">
      <w:pPr>
        <w:rPr>
          <w:rFonts w:eastAsia="SimSun"/>
          <w:rtl/>
        </w:rPr>
      </w:pPr>
      <w:r>
        <w:rPr>
          <w:rFonts w:eastAsia="SimSun" w:hint="cs"/>
          <w:rtl/>
        </w:rPr>
        <w:t>وبناءً على ذلك، يُقترح أ</w:t>
      </w:r>
      <w:r w:rsidR="00E80708">
        <w:rPr>
          <w:rFonts w:eastAsia="SimSun" w:hint="cs"/>
          <w:rtl/>
        </w:rPr>
        <w:t xml:space="preserve">ن </w:t>
      </w:r>
      <w:r w:rsidR="00735749">
        <w:rPr>
          <w:rFonts w:eastAsia="SimSun" w:hint="cs"/>
          <w:rtl/>
        </w:rPr>
        <w:t xml:space="preserve">يكون </w:t>
      </w:r>
      <w:r>
        <w:rPr>
          <w:rFonts w:eastAsia="SimSun" w:hint="cs"/>
          <w:rtl/>
        </w:rPr>
        <w:t>تطبيق حد للارتفاع أمر</w:t>
      </w:r>
      <w:r w:rsidR="00735749">
        <w:rPr>
          <w:rFonts w:eastAsia="SimSun" w:hint="cs"/>
          <w:rtl/>
        </w:rPr>
        <w:t>اً</w:t>
      </w:r>
      <w:r>
        <w:rPr>
          <w:rFonts w:eastAsia="SimSun" w:hint="cs"/>
          <w:rtl/>
        </w:rPr>
        <w:t xml:space="preserve"> </w:t>
      </w:r>
      <w:r w:rsidR="00E80708">
        <w:rPr>
          <w:rFonts w:eastAsia="SimSun" w:hint="cs"/>
          <w:rtl/>
        </w:rPr>
        <w:t xml:space="preserve">غير </w:t>
      </w:r>
      <w:r>
        <w:rPr>
          <w:rFonts w:eastAsia="SimSun" w:hint="cs"/>
          <w:rtl/>
        </w:rPr>
        <w:t>مطلوب.</w:t>
      </w:r>
    </w:p>
    <w:p w14:paraId="4B6D7492" w14:textId="006667A1" w:rsidR="00C317E5" w:rsidRDefault="00735749" w:rsidP="00C317E5">
      <w:pPr>
        <w:pStyle w:val="Headingb"/>
        <w:rPr>
          <w:rFonts w:eastAsia="SimSun"/>
          <w:rtl/>
        </w:rPr>
      </w:pPr>
      <w:r>
        <w:rPr>
          <w:rFonts w:eastAsia="SimSun" w:hint="cs"/>
          <w:rtl/>
        </w:rPr>
        <w:t>نتائج الاستعراض</w:t>
      </w:r>
    </w:p>
    <w:p w14:paraId="73A24D33" w14:textId="71AE5A77" w:rsidR="004228C0" w:rsidRPr="004228C0" w:rsidRDefault="004228C0" w:rsidP="00026290">
      <w:pPr>
        <w:pStyle w:val="enumlev1"/>
        <w:ind w:left="0" w:firstLine="0"/>
        <w:rPr>
          <w:rFonts w:eastAsia="SimSun"/>
          <w:b/>
          <w:bCs/>
          <w:rtl/>
        </w:rPr>
      </w:pPr>
      <w:r w:rsidRPr="00026290">
        <w:rPr>
          <w:rFonts w:eastAsia="SimSun" w:hint="cs"/>
          <w:rtl/>
        </w:rPr>
        <w:t>لا يرد في الوثيقة</w:t>
      </w:r>
      <w:r w:rsidRPr="004228C0">
        <w:rPr>
          <w:rFonts w:eastAsia="SimSun" w:hint="cs"/>
          <w:b/>
          <w:bCs/>
          <w:rtl/>
        </w:rPr>
        <w:t xml:space="preserve"> </w:t>
      </w:r>
      <w:r w:rsidRPr="004450EB">
        <w:rPr>
          <w:rFonts w:eastAsia="SimSun"/>
        </w:rPr>
        <w:t>61</w:t>
      </w:r>
      <w:r w:rsidRPr="004228C0">
        <w:rPr>
          <w:rFonts w:eastAsia="SimSun" w:hint="cs"/>
          <w:b/>
          <w:bCs/>
          <w:rtl/>
          <w:lang w:bidi="ar-EG"/>
        </w:rPr>
        <w:t xml:space="preserve"> </w:t>
      </w:r>
      <w:r w:rsidRPr="00026290">
        <w:rPr>
          <w:rFonts w:eastAsia="SimSun" w:hint="cs"/>
          <w:rtl/>
          <w:lang w:bidi="ar-EG"/>
        </w:rPr>
        <w:t xml:space="preserve">(الإضافة </w:t>
      </w:r>
      <w:r w:rsidRPr="004450EB">
        <w:rPr>
          <w:rFonts w:eastAsia="SimSun"/>
          <w:lang w:bidi="ar-EG"/>
        </w:rPr>
        <w:t>5</w:t>
      </w:r>
      <w:r w:rsidRPr="00026290">
        <w:rPr>
          <w:rFonts w:eastAsia="SimSun" w:hint="cs"/>
          <w:rtl/>
          <w:lang w:bidi="ar-EG"/>
        </w:rPr>
        <w:t>) حساب مناسب لكيفية امتثال المحطة الأرضية المتحركة للطيران مع قناع لكثافة تدفق القدرة. ولم تفِ الدراسة بما يلي:</w:t>
      </w:r>
    </w:p>
    <w:p w14:paraId="5B280F0D" w14:textId="3D883DA0" w:rsidR="00C317E5" w:rsidRPr="00735749" w:rsidRDefault="00DF38CA" w:rsidP="00C317E5">
      <w:pPr>
        <w:pStyle w:val="enumlev1"/>
        <w:rPr>
          <w:rFonts w:eastAsia="SimSun"/>
          <w:rtl/>
          <w:lang w:bidi="ar-EG"/>
        </w:rPr>
      </w:pPr>
      <w:r>
        <w:rPr>
          <w:rFonts w:eastAsia="SimSun" w:hint="cs"/>
          <w:rtl/>
        </w:rPr>
        <w:t xml:space="preserve"> </w:t>
      </w:r>
      <w:proofErr w:type="gramStart"/>
      <w:r w:rsidR="00C317E5" w:rsidRPr="00C317E5">
        <w:rPr>
          <w:rFonts w:eastAsia="SimSun" w:hint="cs"/>
          <w:rtl/>
        </w:rPr>
        <w:t>أ</w:t>
      </w:r>
      <w:r>
        <w:rPr>
          <w:rFonts w:eastAsia="SimSun" w:hint="cs"/>
          <w:rtl/>
        </w:rPr>
        <w:t xml:space="preserve"> </w:t>
      </w:r>
      <w:r w:rsidR="00C317E5" w:rsidRPr="00C317E5">
        <w:rPr>
          <w:rFonts w:eastAsia="SimSun" w:hint="cs"/>
          <w:rtl/>
        </w:rPr>
        <w:t>)</w:t>
      </w:r>
      <w:proofErr w:type="gramEnd"/>
      <w:r w:rsidR="00C317E5">
        <w:rPr>
          <w:rFonts w:eastAsia="SimSun" w:hint="cs"/>
          <w:rtl/>
        </w:rPr>
        <w:tab/>
      </w:r>
      <w:r w:rsidR="003C15AF">
        <w:rPr>
          <w:rFonts w:eastAsia="SimSun" w:hint="cs"/>
          <w:rtl/>
          <w:lang w:bidi="ar-EG"/>
        </w:rPr>
        <w:t xml:space="preserve"> </w:t>
      </w:r>
      <w:r w:rsidR="004228C0">
        <w:rPr>
          <w:rFonts w:eastAsia="SimSun" w:hint="cs"/>
          <w:rtl/>
        </w:rPr>
        <w:t xml:space="preserve">إدراج تأثير خسائر الغلاف الجوي التي تُعتبر عناصر رئيسية في حساب كثافة تدفق القدرة في محطة الأرض. ويؤدي عدم إدراج هذه الخسائر في النتائج إلى </w:t>
      </w:r>
      <w:r w:rsidR="000858C6">
        <w:rPr>
          <w:rFonts w:eastAsia="SimSun" w:hint="cs"/>
          <w:rtl/>
        </w:rPr>
        <w:t xml:space="preserve">تجاوز كبير في </w:t>
      </w:r>
      <w:r w:rsidR="004228C0">
        <w:rPr>
          <w:rFonts w:eastAsia="SimSun" w:hint="cs"/>
          <w:rtl/>
        </w:rPr>
        <w:t xml:space="preserve">تقدير </w:t>
      </w:r>
      <w:r w:rsidR="000858C6">
        <w:rPr>
          <w:rFonts w:eastAsia="SimSun" w:hint="cs"/>
          <w:rtl/>
        </w:rPr>
        <w:t>المستوى الفعلي ل</w:t>
      </w:r>
      <w:r w:rsidR="004228C0">
        <w:rPr>
          <w:rFonts w:eastAsia="SimSun" w:hint="cs"/>
          <w:rtl/>
        </w:rPr>
        <w:t>كثافة تدفق القدرة في محطة الأرض.</w:t>
      </w:r>
    </w:p>
    <w:p w14:paraId="038397DC" w14:textId="216014DB" w:rsidR="00C317E5" w:rsidRDefault="00C317E5" w:rsidP="00C317E5">
      <w:pPr>
        <w:pStyle w:val="enumlev1"/>
        <w:rPr>
          <w:rFonts w:eastAsia="SimSun"/>
          <w:rtl/>
        </w:rPr>
      </w:pPr>
      <w:r>
        <w:rPr>
          <w:rFonts w:eastAsia="SimSun" w:hint="cs"/>
          <w:rtl/>
        </w:rPr>
        <w:lastRenderedPageBreak/>
        <w:t>ب)</w:t>
      </w:r>
      <w:r>
        <w:rPr>
          <w:rFonts w:eastAsia="SimSun"/>
          <w:rtl/>
        </w:rPr>
        <w:tab/>
      </w:r>
      <w:r w:rsidR="004228C0">
        <w:rPr>
          <w:rFonts w:eastAsia="SimSun" w:hint="cs"/>
          <w:rtl/>
        </w:rPr>
        <w:t xml:space="preserve">استعمال المخططات </w:t>
      </w:r>
      <w:proofErr w:type="spellStart"/>
      <w:r w:rsidR="004228C0">
        <w:rPr>
          <w:rFonts w:eastAsia="SimSun" w:hint="cs"/>
          <w:rtl/>
        </w:rPr>
        <w:t>المقيسة</w:t>
      </w:r>
      <w:proofErr w:type="spellEnd"/>
      <w:r w:rsidR="004228C0">
        <w:rPr>
          <w:rFonts w:eastAsia="SimSun" w:hint="cs"/>
          <w:rtl/>
        </w:rPr>
        <w:t xml:space="preserve"> لكثافة القدرة المشعة المكافئة </w:t>
      </w:r>
      <w:proofErr w:type="spellStart"/>
      <w:r w:rsidR="004228C0">
        <w:rPr>
          <w:rFonts w:eastAsia="SimSun" w:hint="cs"/>
          <w:rtl/>
        </w:rPr>
        <w:t>المتناحية</w:t>
      </w:r>
      <w:proofErr w:type="spellEnd"/>
      <w:r w:rsidR="004228C0">
        <w:rPr>
          <w:rFonts w:eastAsia="SimSun" w:hint="cs"/>
          <w:rtl/>
        </w:rPr>
        <w:t xml:space="preserve"> </w:t>
      </w:r>
      <w:r w:rsidR="004228C0">
        <w:rPr>
          <w:rFonts w:eastAsia="SimSun"/>
        </w:rPr>
        <w:t>(</w:t>
      </w:r>
      <w:proofErr w:type="spellStart"/>
      <w:r w:rsidR="004228C0" w:rsidRPr="00555590">
        <w:t>e.i.r.p</w:t>
      </w:r>
      <w:proofErr w:type="spellEnd"/>
      <w:r w:rsidR="004450EB">
        <w:t>.</w:t>
      </w:r>
      <w:r w:rsidR="004228C0">
        <w:rPr>
          <w:rFonts w:eastAsia="SimSun"/>
        </w:rPr>
        <w:t>)</w:t>
      </w:r>
      <w:r w:rsidR="004228C0">
        <w:rPr>
          <w:rFonts w:eastAsia="SimSun" w:hint="cs"/>
          <w:rtl/>
          <w:lang w:bidi="ar-EG"/>
        </w:rPr>
        <w:t xml:space="preserve"> خارج محور المحطة الأرضية المتحركة للطيران (الواردة في المشاريع </w:t>
      </w:r>
      <w:r w:rsidR="00874D3F">
        <w:rPr>
          <w:rFonts w:eastAsia="SimSun" w:hint="cs"/>
          <w:rtl/>
          <w:lang w:bidi="ar-EG"/>
        </w:rPr>
        <w:t>الأولية</w:t>
      </w:r>
      <w:r w:rsidR="004228C0">
        <w:rPr>
          <w:rFonts w:eastAsia="SimSun" w:hint="cs"/>
          <w:rtl/>
          <w:lang w:bidi="ar-EG"/>
        </w:rPr>
        <w:t xml:space="preserve"> للتقارير الجديدة لفرقة العمل </w:t>
      </w:r>
      <w:r w:rsidR="004228C0" w:rsidRPr="004450EB">
        <w:rPr>
          <w:rFonts w:eastAsia="SimSun"/>
          <w:lang w:bidi="ar-EG"/>
        </w:rPr>
        <w:t>4</w:t>
      </w:r>
      <w:r w:rsidR="004228C0">
        <w:rPr>
          <w:rFonts w:eastAsia="SimSun"/>
          <w:lang w:bidi="ar-EG"/>
        </w:rPr>
        <w:t>A</w:t>
      </w:r>
      <w:r w:rsidR="004228C0">
        <w:rPr>
          <w:rFonts w:eastAsia="SimSun" w:hint="cs"/>
          <w:rtl/>
          <w:lang w:bidi="ar-EG"/>
        </w:rPr>
        <w:t xml:space="preserve">)، بدلاً من </w:t>
      </w:r>
      <w:r w:rsidR="000858C6">
        <w:rPr>
          <w:rFonts w:eastAsia="SimSun" w:hint="cs"/>
          <w:rtl/>
          <w:lang w:bidi="ar-EG"/>
        </w:rPr>
        <w:t xml:space="preserve">استعمال </w:t>
      </w:r>
      <w:r w:rsidR="004228C0">
        <w:rPr>
          <w:rFonts w:eastAsia="SimSun" w:hint="cs"/>
          <w:rtl/>
          <w:lang w:bidi="ar-EG"/>
        </w:rPr>
        <w:t xml:space="preserve">حدود كثافة القدرة </w:t>
      </w:r>
      <w:proofErr w:type="spellStart"/>
      <w:r w:rsidR="004228C0" w:rsidRPr="00555590">
        <w:t>e.i.r.p</w:t>
      </w:r>
      <w:proofErr w:type="spellEnd"/>
      <w:r w:rsidR="004450EB">
        <w:t>.</w:t>
      </w:r>
      <w:r w:rsidR="004228C0">
        <w:rPr>
          <w:rFonts w:hint="cs"/>
          <w:rtl/>
        </w:rPr>
        <w:t xml:space="preserve"> خارج المحور الواردة في</w:t>
      </w:r>
      <w:r w:rsidR="004228C0">
        <w:rPr>
          <w:rFonts w:eastAsia="SimSun" w:hint="cs"/>
          <w:rtl/>
          <w:lang w:bidi="ar-EG"/>
        </w:rPr>
        <w:t xml:space="preserve"> التوصية </w:t>
      </w:r>
      <w:r w:rsidR="004228C0" w:rsidRPr="00555590">
        <w:t>ITU-R S.</w:t>
      </w:r>
      <w:r w:rsidR="004228C0" w:rsidRPr="004450EB">
        <w:t>524</w:t>
      </w:r>
      <w:r w:rsidR="004228C0" w:rsidRPr="00555590">
        <w:t>-</w:t>
      </w:r>
      <w:r w:rsidR="004228C0" w:rsidRPr="004450EB">
        <w:t>9</w:t>
      </w:r>
      <w:r w:rsidR="004228C0">
        <w:rPr>
          <w:rFonts w:hint="cs"/>
          <w:rtl/>
        </w:rPr>
        <w:t xml:space="preserve">. ويؤدي </w:t>
      </w:r>
      <w:r w:rsidR="000858C6">
        <w:rPr>
          <w:rFonts w:hint="cs"/>
          <w:rtl/>
        </w:rPr>
        <w:t>ذلك</w:t>
      </w:r>
      <w:r w:rsidR="004228C0">
        <w:rPr>
          <w:rFonts w:hint="cs"/>
          <w:rtl/>
        </w:rPr>
        <w:t xml:space="preserve"> في بعض الحالات إلى تجاوز كبير في تقدير </w:t>
      </w:r>
      <w:r w:rsidR="004228C0">
        <w:rPr>
          <w:rFonts w:eastAsia="SimSun" w:hint="cs"/>
          <w:rtl/>
          <w:lang w:bidi="ar-EG"/>
        </w:rPr>
        <w:t xml:space="preserve">كثافة القدرة </w:t>
      </w:r>
      <w:proofErr w:type="spellStart"/>
      <w:r w:rsidR="004228C0" w:rsidRPr="00555590">
        <w:t>e.i.r.p</w:t>
      </w:r>
      <w:proofErr w:type="spellEnd"/>
      <w:r w:rsidR="004450EB">
        <w:t>.</w:t>
      </w:r>
      <w:r w:rsidR="004228C0">
        <w:rPr>
          <w:rFonts w:hint="cs"/>
          <w:rtl/>
        </w:rPr>
        <w:t xml:space="preserve"> خارج المحور في اتجاه محطة الأرض</w:t>
      </w:r>
      <w:r w:rsidR="004D1661">
        <w:rPr>
          <w:rFonts w:eastAsia="SimSun" w:hint="cs"/>
          <w:rtl/>
        </w:rPr>
        <w:t>.</w:t>
      </w:r>
    </w:p>
    <w:p w14:paraId="65D3EFC0" w14:textId="72DC5D6C" w:rsidR="00C317E5" w:rsidRPr="00F768E3" w:rsidRDefault="00C317E5" w:rsidP="00C317E5">
      <w:pPr>
        <w:pStyle w:val="enumlev1"/>
        <w:rPr>
          <w:rFonts w:eastAsia="SimSun"/>
          <w:rtl/>
          <w:lang w:bidi="ar-EG"/>
        </w:rPr>
      </w:pPr>
      <w:r>
        <w:rPr>
          <w:rFonts w:eastAsia="SimSun" w:hint="cs"/>
          <w:rtl/>
        </w:rPr>
        <w:t>ج)</w:t>
      </w:r>
      <w:r>
        <w:rPr>
          <w:rFonts w:eastAsia="SimSun"/>
          <w:rtl/>
        </w:rPr>
        <w:tab/>
      </w:r>
      <w:r w:rsidR="000858C6">
        <w:rPr>
          <w:rFonts w:eastAsia="SimSun" w:hint="cs"/>
          <w:rtl/>
        </w:rPr>
        <w:t xml:space="preserve">استعمال زوايا الارتفاع النمطية لتشغيل المحطة الأرضية المتحركة للطيران. فاستعمال زوايا ارتفاع تساوي </w:t>
      </w:r>
      <w:r w:rsidR="000858C6" w:rsidRPr="004450EB">
        <w:rPr>
          <w:rFonts w:eastAsia="SimSun"/>
        </w:rPr>
        <w:t>20</w:t>
      </w:r>
      <w:r w:rsidR="000858C6">
        <w:rPr>
          <w:rFonts w:eastAsia="SimSun" w:hint="cs"/>
          <w:rtl/>
          <w:lang w:bidi="ar-EG"/>
        </w:rPr>
        <w:t xml:space="preserve"> درجة أو</w:t>
      </w:r>
      <w:r w:rsidR="004450EB">
        <w:rPr>
          <w:rFonts w:eastAsia="SimSun" w:hint="eastAsia"/>
          <w:rtl/>
          <w:lang w:bidi="ar-EG"/>
        </w:rPr>
        <w:t> </w:t>
      </w:r>
      <w:r w:rsidR="000858C6">
        <w:rPr>
          <w:rFonts w:eastAsia="SimSun" w:hint="cs"/>
          <w:rtl/>
          <w:lang w:bidi="ar-EG"/>
        </w:rPr>
        <w:t xml:space="preserve">أقل يؤدي إلى </w:t>
      </w:r>
      <w:r w:rsidR="002E084F">
        <w:rPr>
          <w:rFonts w:eastAsia="SimSun" w:hint="cs"/>
          <w:rtl/>
        </w:rPr>
        <w:t xml:space="preserve">تجاوز في تقدير </w:t>
      </w:r>
      <w:r w:rsidR="002E084F">
        <w:rPr>
          <w:rFonts w:eastAsia="SimSun" w:hint="cs"/>
          <w:rtl/>
          <w:lang w:bidi="ar-EG"/>
        </w:rPr>
        <w:t xml:space="preserve">كثافة القدرة </w:t>
      </w:r>
      <w:proofErr w:type="spellStart"/>
      <w:r w:rsidR="002E084F" w:rsidRPr="00555590">
        <w:t>e.i.r.p</w:t>
      </w:r>
      <w:proofErr w:type="spellEnd"/>
      <w:r w:rsidR="004450EB">
        <w:t>.</w:t>
      </w:r>
      <w:r w:rsidR="002E084F">
        <w:rPr>
          <w:rFonts w:hint="cs"/>
          <w:rtl/>
        </w:rPr>
        <w:t xml:space="preserve"> خارج المحور في اتجاه محطة الأرض</w:t>
      </w:r>
      <w:r w:rsidR="00443F4D">
        <w:rPr>
          <w:rFonts w:hint="cs"/>
          <w:rtl/>
        </w:rPr>
        <w:t>.</w:t>
      </w:r>
    </w:p>
    <w:p w14:paraId="5780ED9A" w14:textId="0AF8E6D5" w:rsidR="00C317E5" w:rsidRDefault="00C317E5" w:rsidP="00C317E5">
      <w:pPr>
        <w:pStyle w:val="enumlev1"/>
        <w:rPr>
          <w:rFonts w:eastAsia="SimSun"/>
          <w:rtl/>
        </w:rPr>
      </w:pPr>
      <w:proofErr w:type="gramStart"/>
      <w:r>
        <w:rPr>
          <w:rFonts w:eastAsia="SimSun" w:hint="cs"/>
          <w:rtl/>
        </w:rPr>
        <w:t>د</w:t>
      </w:r>
      <w:r w:rsidR="00DF38CA">
        <w:rPr>
          <w:rFonts w:eastAsia="SimSun" w:hint="cs"/>
          <w:rtl/>
        </w:rPr>
        <w:t xml:space="preserve"> </w:t>
      </w:r>
      <w:r>
        <w:rPr>
          <w:rFonts w:eastAsia="SimSun" w:hint="cs"/>
          <w:rtl/>
        </w:rPr>
        <w:t>)</w:t>
      </w:r>
      <w:proofErr w:type="gramEnd"/>
      <w:r>
        <w:rPr>
          <w:rFonts w:eastAsia="SimSun"/>
          <w:rtl/>
        </w:rPr>
        <w:tab/>
      </w:r>
      <w:r w:rsidR="00443F4D">
        <w:rPr>
          <w:rFonts w:eastAsia="SimSun" w:hint="cs"/>
          <w:rtl/>
        </w:rPr>
        <w:t xml:space="preserve"> </w:t>
      </w:r>
      <w:r w:rsidR="002E084F">
        <w:rPr>
          <w:rFonts w:eastAsia="SimSun" w:hint="cs"/>
          <w:rtl/>
        </w:rPr>
        <w:t xml:space="preserve">استعمال الهندسية المناسبة </w:t>
      </w:r>
      <w:r w:rsidR="007E7C0C">
        <w:rPr>
          <w:rFonts w:eastAsia="SimSun" w:hint="cs"/>
          <w:rtl/>
        </w:rPr>
        <w:t xml:space="preserve">لحساب زاوية </w:t>
      </w:r>
      <w:r w:rsidR="00474368">
        <w:rPr>
          <w:rFonts w:eastAsia="SimSun" w:hint="cs"/>
          <w:rtl/>
        </w:rPr>
        <w:t>ال</w:t>
      </w:r>
      <w:r w:rsidR="007E7C0C">
        <w:rPr>
          <w:rFonts w:eastAsia="SimSun" w:hint="cs"/>
          <w:rtl/>
        </w:rPr>
        <w:t xml:space="preserve">وصول </w:t>
      </w:r>
      <w:r w:rsidR="00474368">
        <w:rPr>
          <w:rFonts w:eastAsia="SimSun" w:hint="cs"/>
          <w:rtl/>
        </w:rPr>
        <w:t>ل</w:t>
      </w:r>
      <w:r w:rsidR="007E7C0C">
        <w:rPr>
          <w:rFonts w:eastAsia="SimSun" w:hint="cs"/>
          <w:rtl/>
        </w:rPr>
        <w:t xml:space="preserve">كثافة تدفق القدرة في محطة الأرض. </w:t>
      </w:r>
      <w:r w:rsidR="00432925">
        <w:rPr>
          <w:rFonts w:eastAsia="SimSun" w:hint="cs"/>
          <w:rtl/>
        </w:rPr>
        <w:t xml:space="preserve">ويؤدي عدم استعمال الهندسية المناسبة إلى تجاوز في تقدير </w:t>
      </w:r>
      <w:r w:rsidR="00432925">
        <w:rPr>
          <w:rFonts w:eastAsia="SimSun" w:hint="cs"/>
          <w:rtl/>
          <w:lang w:bidi="ar-EG"/>
        </w:rPr>
        <w:t xml:space="preserve">كثافة القدرة </w:t>
      </w:r>
      <w:proofErr w:type="spellStart"/>
      <w:r w:rsidR="00432925" w:rsidRPr="00555590">
        <w:t>e.i.r.p</w:t>
      </w:r>
      <w:proofErr w:type="spellEnd"/>
      <w:r w:rsidR="004450EB">
        <w:t>.</w:t>
      </w:r>
      <w:r w:rsidR="00432925">
        <w:rPr>
          <w:rFonts w:hint="cs"/>
          <w:rtl/>
        </w:rPr>
        <w:t xml:space="preserve"> خارج المحور في اتجاه محطة الأرض.</w:t>
      </w:r>
    </w:p>
    <w:p w14:paraId="46FA5A4B" w14:textId="22D5DEEF" w:rsidR="00C317E5" w:rsidRPr="00C5263E" w:rsidRDefault="00432925" w:rsidP="00C317E5">
      <w:pPr>
        <w:rPr>
          <w:rFonts w:eastAsia="SimSun"/>
          <w:rtl/>
          <w:lang w:bidi="ar-EG"/>
        </w:rPr>
      </w:pPr>
      <w:r>
        <w:rPr>
          <w:rFonts w:eastAsia="SimSun" w:hint="cs"/>
          <w:rtl/>
        </w:rPr>
        <w:t xml:space="preserve">ويأخذ هذا المقترح في الاعتبار أن </w:t>
      </w:r>
      <w:r w:rsidR="00E84F75">
        <w:rPr>
          <w:rFonts w:eastAsia="SimSun" w:hint="cs"/>
          <w:rtl/>
        </w:rPr>
        <w:t xml:space="preserve">المحطة الأرضية المتحركة للطيران تتحرك في جميع أنحاء منطقة الخدمة الخاصة بها </w:t>
      </w:r>
      <w:r w:rsidR="00927AD4">
        <w:rPr>
          <w:rFonts w:eastAsia="SimSun" w:hint="cs"/>
          <w:rtl/>
        </w:rPr>
        <w:t>وأن الحد الأدنى للارتفاع الذي يمكن أن تعمل عليه المحطة الأرضية المتحركة للطيران</w:t>
      </w:r>
      <w:r w:rsidR="00474E2D">
        <w:rPr>
          <w:rFonts w:eastAsia="SimSun" w:hint="cs"/>
          <w:rtl/>
        </w:rPr>
        <w:t xml:space="preserve">، عند التزامها بحدود كثافة تدفق القدرة، </w:t>
      </w:r>
      <w:r w:rsidR="00B02650">
        <w:rPr>
          <w:rFonts w:eastAsia="SimSun" w:hint="cs"/>
          <w:rtl/>
        </w:rPr>
        <w:t xml:space="preserve">يتغير بشكل كبير مع تغير المعلمات المذكورة وغير المذكورة أعلاه. ويساهم كل عنصر من العناصر </w:t>
      </w:r>
      <w:r w:rsidR="004A04B0">
        <w:rPr>
          <w:rFonts w:eastAsia="SimSun" w:hint="cs"/>
          <w:rtl/>
        </w:rPr>
        <w:t xml:space="preserve">من أ) إلى د) أعلاه بشكل </w:t>
      </w:r>
      <w:r w:rsidR="003C0D03">
        <w:rPr>
          <w:rFonts w:eastAsia="SimSun" w:hint="cs"/>
          <w:rtl/>
        </w:rPr>
        <w:t>منفرد</w:t>
      </w:r>
      <w:r w:rsidR="004A04B0">
        <w:rPr>
          <w:rFonts w:eastAsia="SimSun" w:hint="cs"/>
          <w:rtl/>
        </w:rPr>
        <w:t xml:space="preserve"> في تجاوز </w:t>
      </w:r>
      <w:r w:rsidR="002258A9">
        <w:rPr>
          <w:rFonts w:eastAsia="SimSun" w:hint="cs"/>
          <w:rtl/>
        </w:rPr>
        <w:t xml:space="preserve">في </w:t>
      </w:r>
      <w:r w:rsidR="002206C4">
        <w:rPr>
          <w:rFonts w:eastAsia="SimSun" w:hint="cs"/>
          <w:rtl/>
        </w:rPr>
        <w:t xml:space="preserve">تقدير قيمة كثافة تدفق القدرة المحسوبة، وتؤدي هذه العناصر مجتمعةً إلى </w:t>
      </w:r>
      <w:r w:rsidR="002E2F3F">
        <w:rPr>
          <w:rFonts w:eastAsia="SimSun" w:hint="cs"/>
          <w:rtl/>
        </w:rPr>
        <w:t xml:space="preserve">مستويات </w:t>
      </w:r>
      <w:r w:rsidR="002258A9">
        <w:rPr>
          <w:rFonts w:eastAsia="SimSun" w:hint="cs"/>
          <w:rtl/>
        </w:rPr>
        <w:t>أعلى مادياً لكثافة تدفق القدرة</w:t>
      </w:r>
      <w:r w:rsidR="002E2F3F">
        <w:rPr>
          <w:rFonts w:eastAsia="SimSun" w:hint="cs"/>
          <w:rtl/>
        </w:rPr>
        <w:t xml:space="preserve"> </w:t>
      </w:r>
      <w:r w:rsidR="002258A9">
        <w:rPr>
          <w:rFonts w:eastAsia="SimSun" w:hint="cs"/>
          <w:rtl/>
        </w:rPr>
        <w:t xml:space="preserve">المحسوبة </w:t>
      </w:r>
      <w:r w:rsidR="002258A9" w:rsidRPr="002258A9">
        <w:rPr>
          <w:rFonts w:eastAsia="SimSun"/>
          <w:rtl/>
        </w:rPr>
        <w:t xml:space="preserve">ومستويات تتجاوز أي افتراضات </w:t>
      </w:r>
      <w:r w:rsidR="00086C9E">
        <w:rPr>
          <w:rFonts w:eastAsia="SimSun" w:hint="cs"/>
          <w:rtl/>
        </w:rPr>
        <w:t>ل</w:t>
      </w:r>
      <w:r w:rsidR="002258A9" w:rsidRPr="002258A9">
        <w:rPr>
          <w:rFonts w:eastAsia="SimSun"/>
          <w:rtl/>
        </w:rPr>
        <w:t xml:space="preserve">أسوأ </w:t>
      </w:r>
      <w:r w:rsidR="00086C9E">
        <w:rPr>
          <w:rFonts w:eastAsia="SimSun" w:hint="cs"/>
          <w:rtl/>
        </w:rPr>
        <w:t>ال</w:t>
      </w:r>
      <w:r w:rsidR="002258A9" w:rsidRPr="002258A9">
        <w:rPr>
          <w:rFonts w:eastAsia="SimSun"/>
          <w:rtl/>
        </w:rPr>
        <w:t xml:space="preserve">حالات </w:t>
      </w:r>
      <w:r w:rsidR="00086C9E">
        <w:rPr>
          <w:rFonts w:eastAsia="SimSun" w:hint="cs"/>
          <w:rtl/>
        </w:rPr>
        <w:t>ال</w:t>
      </w:r>
      <w:r w:rsidR="002258A9" w:rsidRPr="002258A9">
        <w:rPr>
          <w:rFonts w:eastAsia="SimSun"/>
          <w:rtl/>
        </w:rPr>
        <w:t>واقعية ولا تع</w:t>
      </w:r>
      <w:r w:rsidR="00086C9E">
        <w:rPr>
          <w:rFonts w:eastAsia="SimSun" w:hint="cs"/>
          <w:rtl/>
        </w:rPr>
        <w:t>بر عن</w:t>
      </w:r>
      <w:r w:rsidR="002258A9" w:rsidRPr="002258A9">
        <w:rPr>
          <w:rFonts w:eastAsia="SimSun"/>
          <w:rtl/>
        </w:rPr>
        <w:t xml:space="preserve"> معلمات أو عمليات فعلية</w:t>
      </w:r>
      <w:r w:rsidR="00086C9E">
        <w:rPr>
          <w:rFonts w:eastAsia="SimSun" w:hint="cs"/>
          <w:rtl/>
        </w:rPr>
        <w:t xml:space="preserve"> للمحطة الأرضية المتحركة للطيران.</w:t>
      </w:r>
      <w:r w:rsidR="00C5263E">
        <w:rPr>
          <w:rFonts w:eastAsia="SimSun" w:hint="cs"/>
          <w:rtl/>
        </w:rPr>
        <w:t xml:space="preserve"> </w:t>
      </w:r>
      <w:r w:rsidR="009B6559">
        <w:rPr>
          <w:rFonts w:eastAsia="SimSun" w:hint="cs"/>
          <w:rtl/>
        </w:rPr>
        <w:t>ويرى</w:t>
      </w:r>
      <w:r w:rsidR="00C5263E">
        <w:rPr>
          <w:rFonts w:eastAsia="SimSun" w:hint="cs"/>
          <w:rtl/>
        </w:rPr>
        <w:t xml:space="preserve"> </w:t>
      </w:r>
      <w:r w:rsidR="00C5263E" w:rsidRPr="00EB18E9">
        <w:rPr>
          <w:rFonts w:eastAsia="SimSun" w:hint="cs"/>
          <w:rtl/>
        </w:rPr>
        <w:t>العنصر ه</w:t>
      </w:r>
      <w:r w:rsidR="004450EB">
        <w:rPr>
          <w:rFonts w:eastAsia="SimSun" w:hint="cs"/>
          <w:rtl/>
          <w:lang w:bidi="ar-EG"/>
        </w:rPr>
        <w:t>‍</w:t>
      </w:r>
      <w:r w:rsidR="00C5263E" w:rsidRPr="00EB18E9">
        <w:rPr>
          <w:rFonts w:eastAsia="SimSun" w:hint="cs"/>
          <w:rtl/>
        </w:rPr>
        <w:t>)</w:t>
      </w:r>
      <w:r w:rsidR="00C5263E">
        <w:rPr>
          <w:rFonts w:eastAsia="SimSun" w:hint="cs"/>
          <w:rtl/>
        </w:rPr>
        <w:t xml:space="preserve"> أعلاه أن اعتماد حد للارتفاع استناداً إلى تحليل أسوأ الحالات </w:t>
      </w:r>
      <w:r w:rsidR="009B6559">
        <w:rPr>
          <w:rFonts w:eastAsia="SimSun" w:hint="cs"/>
          <w:rtl/>
        </w:rPr>
        <w:t>من شأنه أن يقيد بشكل كبير تشغيل المحطة الأرضية المتحركة</w:t>
      </w:r>
      <w:r w:rsidR="00A123B3">
        <w:rPr>
          <w:rFonts w:eastAsia="SimSun" w:hint="cs"/>
          <w:rtl/>
        </w:rPr>
        <w:t xml:space="preserve"> للطيران</w:t>
      </w:r>
      <w:r w:rsidR="00026290">
        <w:rPr>
          <w:rFonts w:eastAsia="SimSun" w:hint="cs"/>
          <w:rtl/>
        </w:rPr>
        <w:t>،</w:t>
      </w:r>
      <w:r w:rsidR="009B6559">
        <w:rPr>
          <w:rFonts w:eastAsia="SimSun" w:hint="cs"/>
          <w:rtl/>
        </w:rPr>
        <w:t xml:space="preserve"> </w:t>
      </w:r>
      <w:r w:rsidR="00026290">
        <w:rPr>
          <w:rFonts w:eastAsia="SimSun" w:hint="cs"/>
          <w:rtl/>
        </w:rPr>
        <w:t>وأن لا مبرر لذلك؛ فتطبيق حد لكثافة تدفق القدرة في حد ذاته يحمي خدمات الأرض العاملة على نفس</w:t>
      </w:r>
      <w:r w:rsidR="00DC6A7A">
        <w:rPr>
          <w:rFonts w:eastAsia="SimSun" w:hint="eastAsia"/>
          <w:rtl/>
        </w:rPr>
        <w:t> </w:t>
      </w:r>
      <w:r w:rsidR="00026290">
        <w:rPr>
          <w:rFonts w:eastAsia="SimSun" w:hint="cs"/>
          <w:rtl/>
        </w:rPr>
        <w:t>الترددات.</w:t>
      </w:r>
    </w:p>
    <w:p w14:paraId="263D611B" w14:textId="2CF6B603" w:rsidR="00C317E5" w:rsidRPr="00A64A51" w:rsidRDefault="00026290" w:rsidP="00C317E5">
      <w:pPr>
        <w:rPr>
          <w:rFonts w:eastAsia="SimSun"/>
          <w:rtl/>
          <w:lang w:bidi="ar-EG"/>
        </w:rPr>
      </w:pPr>
      <w:r>
        <w:rPr>
          <w:rFonts w:eastAsia="SimSun" w:hint="cs"/>
          <w:rtl/>
        </w:rPr>
        <w:t xml:space="preserve">وتشمل </w:t>
      </w:r>
      <w:r w:rsidRPr="00026290">
        <w:rPr>
          <w:rFonts w:eastAsia="SimSun" w:hint="cs"/>
          <w:rtl/>
        </w:rPr>
        <w:t>الوثيقة</w:t>
      </w:r>
      <w:r w:rsidRPr="004228C0">
        <w:rPr>
          <w:rFonts w:eastAsia="SimSun" w:hint="cs"/>
          <w:b/>
          <w:bCs/>
          <w:rtl/>
        </w:rPr>
        <w:t xml:space="preserve"> </w:t>
      </w:r>
      <w:r w:rsidRPr="004450EB">
        <w:rPr>
          <w:rFonts w:eastAsia="SimSun"/>
        </w:rPr>
        <w:t>61</w:t>
      </w:r>
      <w:r w:rsidRPr="004228C0">
        <w:rPr>
          <w:rFonts w:eastAsia="SimSun" w:hint="cs"/>
          <w:b/>
          <w:bCs/>
          <w:rtl/>
          <w:lang w:bidi="ar-EG"/>
        </w:rPr>
        <w:t xml:space="preserve"> </w:t>
      </w:r>
      <w:r w:rsidRPr="00026290">
        <w:rPr>
          <w:rFonts w:eastAsia="SimSun" w:hint="cs"/>
          <w:rtl/>
          <w:lang w:bidi="ar-EG"/>
        </w:rPr>
        <w:t xml:space="preserve">(الإضافة </w:t>
      </w:r>
      <w:r w:rsidRPr="004450EB">
        <w:rPr>
          <w:rFonts w:eastAsia="SimSun"/>
          <w:lang w:bidi="ar-EG"/>
        </w:rPr>
        <w:t>5</w:t>
      </w:r>
      <w:r w:rsidRPr="00026290">
        <w:rPr>
          <w:rFonts w:eastAsia="SimSun" w:hint="cs"/>
          <w:rtl/>
          <w:lang w:bidi="ar-EG"/>
        </w:rPr>
        <w:t>)</w:t>
      </w:r>
      <w:r>
        <w:rPr>
          <w:rFonts w:eastAsia="SimSun" w:hint="cs"/>
          <w:rtl/>
          <w:lang w:bidi="ar-EG"/>
        </w:rPr>
        <w:t xml:space="preserve"> أربع حالات</w:t>
      </w:r>
      <w:r w:rsidR="00543F1D">
        <w:rPr>
          <w:rFonts w:eastAsia="SimSun" w:hint="cs"/>
          <w:rtl/>
          <w:lang w:bidi="ar-EG"/>
        </w:rPr>
        <w:t xml:space="preserve"> ل</w:t>
      </w:r>
      <w:r>
        <w:rPr>
          <w:rFonts w:eastAsia="SimSun" w:hint="cs"/>
          <w:rtl/>
          <w:lang w:bidi="ar-EG"/>
        </w:rPr>
        <w:t>كل</w:t>
      </w:r>
      <w:r w:rsidR="00543F1D">
        <w:rPr>
          <w:rFonts w:eastAsia="SimSun" w:hint="cs"/>
          <w:rtl/>
          <w:lang w:bidi="ar-EG"/>
        </w:rPr>
        <w:t xml:space="preserve">ٍّ منها </w:t>
      </w:r>
      <w:proofErr w:type="gramStart"/>
      <w:r w:rsidR="00543F1D">
        <w:rPr>
          <w:rFonts w:eastAsia="SimSun" w:hint="cs"/>
          <w:rtl/>
          <w:lang w:bidi="ar-EG"/>
        </w:rPr>
        <w:t>خمسة</w:t>
      </w:r>
      <w:proofErr w:type="gramEnd"/>
      <w:r w:rsidR="00543F1D">
        <w:rPr>
          <w:rFonts w:eastAsia="SimSun" w:hint="cs"/>
          <w:rtl/>
          <w:lang w:bidi="ar-EG"/>
        </w:rPr>
        <w:t xml:space="preserve"> </w:t>
      </w:r>
      <w:r w:rsidR="00DC6A7A">
        <w:rPr>
          <w:rFonts w:eastAsia="SimSun" w:hint="cs"/>
          <w:rtl/>
          <w:lang w:bidi="ar-EG"/>
        </w:rPr>
        <w:t>تبديلات</w:t>
      </w:r>
      <w:r w:rsidR="00543F1D">
        <w:rPr>
          <w:rFonts w:eastAsia="SimSun" w:hint="cs"/>
          <w:rtl/>
          <w:lang w:bidi="ar-EG"/>
        </w:rPr>
        <w:t xml:space="preserve">. </w:t>
      </w:r>
      <w:r w:rsidR="00652C44">
        <w:rPr>
          <w:rFonts w:eastAsia="SimSun" w:hint="cs"/>
          <w:rtl/>
          <w:lang w:bidi="ar-EG"/>
        </w:rPr>
        <w:t xml:space="preserve">ويُفترض في الحالات من </w:t>
      </w:r>
      <w:r w:rsidR="00652C44" w:rsidRPr="004450EB">
        <w:rPr>
          <w:rFonts w:eastAsia="SimSun"/>
          <w:lang w:bidi="ar-EG"/>
        </w:rPr>
        <w:t>1</w:t>
      </w:r>
      <w:r w:rsidR="00652C44">
        <w:rPr>
          <w:rFonts w:eastAsia="SimSun" w:hint="cs"/>
          <w:rtl/>
          <w:lang w:bidi="ar-EG"/>
        </w:rPr>
        <w:t xml:space="preserve"> إلى </w:t>
      </w:r>
      <w:r w:rsidR="00652C44" w:rsidRPr="004450EB">
        <w:rPr>
          <w:rFonts w:eastAsia="SimSun"/>
          <w:lang w:bidi="ar-EG"/>
        </w:rPr>
        <w:t>4</w:t>
      </w:r>
      <w:r w:rsidR="00652C44">
        <w:rPr>
          <w:rFonts w:eastAsia="SimSun" w:hint="cs"/>
          <w:rtl/>
          <w:lang w:bidi="ar-EG"/>
        </w:rPr>
        <w:t xml:space="preserve"> أن </w:t>
      </w:r>
      <w:r w:rsidR="00091457">
        <w:rPr>
          <w:rFonts w:eastAsia="SimSun" w:hint="cs"/>
          <w:rtl/>
          <w:lang w:bidi="ar-EG"/>
        </w:rPr>
        <w:t xml:space="preserve">المحطة الأرضية المتحركة </w:t>
      </w:r>
      <w:r w:rsidR="00A123B3">
        <w:rPr>
          <w:rFonts w:eastAsia="SimSun" w:hint="cs"/>
          <w:rtl/>
          <w:lang w:bidi="ar-EG"/>
        </w:rPr>
        <w:t xml:space="preserve">للطيران </w:t>
      </w:r>
      <w:r w:rsidR="00091457">
        <w:rPr>
          <w:rFonts w:eastAsia="SimSun" w:hint="cs"/>
          <w:rtl/>
          <w:lang w:bidi="ar-EG"/>
        </w:rPr>
        <w:t xml:space="preserve">تعمل بزوايا ارتفاع </w:t>
      </w:r>
      <w:r w:rsidR="00091457">
        <w:rPr>
          <w:rFonts w:hint="cs"/>
          <w:rtl/>
          <w:lang w:bidi="ar-EG"/>
        </w:rPr>
        <w:t xml:space="preserve">بقيم </w:t>
      </w:r>
      <w:r w:rsidR="00091457" w:rsidRPr="004450EB">
        <w:rPr>
          <w:lang w:bidi="ar-EG"/>
        </w:rPr>
        <w:t>20</w:t>
      </w:r>
      <w:r w:rsidR="00091457">
        <w:rPr>
          <w:rFonts w:hint="cs"/>
          <w:rtl/>
          <w:lang w:val="en-GB" w:bidi="ar-EG"/>
        </w:rPr>
        <w:t xml:space="preserve"> و</w:t>
      </w:r>
      <w:r w:rsidR="00091457" w:rsidRPr="004450EB">
        <w:rPr>
          <w:lang w:bidi="ar-EG"/>
        </w:rPr>
        <w:t>15</w:t>
      </w:r>
      <w:r w:rsidR="00091457">
        <w:rPr>
          <w:rFonts w:hint="cs"/>
          <w:rtl/>
          <w:lang w:val="en-GB" w:bidi="ar-EG"/>
        </w:rPr>
        <w:t xml:space="preserve"> درجة</w:t>
      </w:r>
      <w:r w:rsidR="00091457">
        <w:rPr>
          <w:lang w:bidi="ar-EG"/>
        </w:rPr>
        <w:t xml:space="preserve"> </w:t>
      </w:r>
      <w:r w:rsidR="00091457">
        <w:rPr>
          <w:rFonts w:hint="cs"/>
          <w:rtl/>
          <w:lang w:val="en-GB" w:bidi="ar-EG"/>
        </w:rPr>
        <w:t>و</w:t>
      </w:r>
      <w:r w:rsidR="00091457" w:rsidRPr="004450EB">
        <w:rPr>
          <w:lang w:bidi="ar-EG"/>
        </w:rPr>
        <w:t>10</w:t>
      </w:r>
      <w:r w:rsidR="00091457">
        <w:rPr>
          <w:rFonts w:hint="cs"/>
          <w:rtl/>
          <w:lang w:bidi="ar-EG"/>
        </w:rPr>
        <w:t xml:space="preserve"> </w:t>
      </w:r>
      <w:r w:rsidR="00091457">
        <w:rPr>
          <w:rtl/>
          <w:lang w:bidi="ar-EG"/>
        </w:rPr>
        <w:t>و</w:t>
      </w:r>
      <w:r w:rsidR="00091457" w:rsidRPr="004450EB">
        <w:rPr>
          <w:lang w:bidi="ar-EG"/>
        </w:rPr>
        <w:t>5</w:t>
      </w:r>
      <w:r w:rsidR="00091457">
        <w:rPr>
          <w:rFonts w:hint="cs"/>
          <w:rtl/>
          <w:lang w:bidi="ar-EG"/>
        </w:rPr>
        <w:t xml:space="preserve"> درجات</w:t>
      </w:r>
      <w:r w:rsidR="00704753">
        <w:rPr>
          <w:rFonts w:hint="cs"/>
          <w:rtl/>
          <w:lang w:bidi="ar-EG"/>
        </w:rPr>
        <w:t xml:space="preserve"> </w:t>
      </w:r>
      <w:r w:rsidR="0040504C">
        <w:rPr>
          <w:rFonts w:hint="cs"/>
          <w:rtl/>
          <w:lang w:bidi="ar-EG"/>
        </w:rPr>
        <w:t>على التوالي ب</w:t>
      </w:r>
      <w:r w:rsidR="00704753">
        <w:rPr>
          <w:rFonts w:hint="cs"/>
          <w:rtl/>
          <w:lang w:bidi="ar-EG"/>
        </w:rPr>
        <w:t xml:space="preserve">اتجاه </w:t>
      </w:r>
      <w:r w:rsidR="0040504C">
        <w:rPr>
          <w:rFonts w:hint="cs"/>
          <w:rtl/>
          <w:lang w:bidi="ar-EG"/>
        </w:rPr>
        <w:t>ساتل الاستقبال المستقر بالنسبة إلى الأرض في</w:t>
      </w:r>
      <w:r w:rsidR="004450EB">
        <w:rPr>
          <w:rFonts w:hint="eastAsia"/>
          <w:rtl/>
          <w:lang w:bidi="ar-EG"/>
        </w:rPr>
        <w:t> </w:t>
      </w:r>
      <w:r w:rsidR="0040504C">
        <w:rPr>
          <w:rFonts w:hint="cs"/>
          <w:rtl/>
          <w:lang w:bidi="ar-EG"/>
        </w:rPr>
        <w:t xml:space="preserve">الخدمة الثابتة </w:t>
      </w:r>
      <w:proofErr w:type="spellStart"/>
      <w:r w:rsidR="0040504C">
        <w:rPr>
          <w:rFonts w:hint="cs"/>
          <w:rtl/>
          <w:lang w:bidi="ar-EG"/>
        </w:rPr>
        <w:t>الساتلية</w:t>
      </w:r>
      <w:proofErr w:type="spellEnd"/>
      <w:r w:rsidR="0040504C">
        <w:rPr>
          <w:rFonts w:hint="cs"/>
          <w:rtl/>
          <w:lang w:bidi="ar-EG"/>
        </w:rPr>
        <w:t xml:space="preserve">. </w:t>
      </w:r>
      <w:r w:rsidR="00A123B3">
        <w:rPr>
          <w:rFonts w:hint="cs"/>
          <w:rtl/>
          <w:lang w:bidi="ar-EG"/>
        </w:rPr>
        <w:t xml:space="preserve">وتراعى في </w:t>
      </w:r>
      <w:r w:rsidR="00DC6A7A">
        <w:rPr>
          <w:rFonts w:hint="cs"/>
          <w:rtl/>
          <w:lang w:bidi="ar-EG"/>
        </w:rPr>
        <w:t>تبديلات</w:t>
      </w:r>
      <w:r w:rsidR="00A123B3">
        <w:rPr>
          <w:rFonts w:hint="cs"/>
          <w:rtl/>
          <w:lang w:bidi="ar-EG"/>
        </w:rPr>
        <w:t xml:space="preserve"> كل حالة </w:t>
      </w:r>
      <w:proofErr w:type="gramStart"/>
      <w:r w:rsidR="00A123B3">
        <w:rPr>
          <w:rFonts w:hint="cs"/>
          <w:rtl/>
          <w:lang w:bidi="ar-EG"/>
        </w:rPr>
        <w:t>خمسة</w:t>
      </w:r>
      <w:proofErr w:type="gramEnd"/>
      <w:r w:rsidR="004450EB">
        <w:rPr>
          <w:rFonts w:hint="cs"/>
          <w:rtl/>
          <w:lang w:bidi="ar-EG"/>
        </w:rPr>
        <w:t xml:space="preserve"> </w:t>
      </w:r>
      <w:r w:rsidR="00A123B3">
        <w:rPr>
          <w:rFonts w:hint="cs"/>
          <w:rtl/>
          <w:lang w:bidi="ar-EG"/>
        </w:rPr>
        <w:t>ارتفاعات</w:t>
      </w:r>
      <w:r w:rsidR="00936D18">
        <w:rPr>
          <w:rFonts w:hint="cs"/>
          <w:rtl/>
          <w:lang w:bidi="ar-EG"/>
        </w:rPr>
        <w:t xml:space="preserve"> </w:t>
      </w:r>
      <w:r w:rsidR="00A123B3">
        <w:rPr>
          <w:rFonts w:hint="cs"/>
          <w:rtl/>
          <w:lang w:bidi="ar-EG"/>
        </w:rPr>
        <w:t xml:space="preserve">مختلفة لتشغيل المحطة الأرضية المتحركة للطيران </w:t>
      </w:r>
      <w:r w:rsidR="003C3B4D">
        <w:rPr>
          <w:rFonts w:hint="cs"/>
          <w:rtl/>
          <w:lang w:bidi="ar-EG"/>
        </w:rPr>
        <w:t xml:space="preserve">وخمس مسافات مختلفة </w:t>
      </w:r>
      <w:r w:rsidR="00FB286B">
        <w:rPr>
          <w:rFonts w:hint="cs"/>
          <w:rtl/>
          <w:lang w:bidi="ar-EG"/>
        </w:rPr>
        <w:t xml:space="preserve">عن محطة الأرض. </w:t>
      </w:r>
      <w:r w:rsidR="003C3B4D">
        <w:rPr>
          <w:rFonts w:hint="cs"/>
          <w:rtl/>
          <w:lang w:bidi="ar-EG"/>
        </w:rPr>
        <w:t xml:space="preserve">وتتراوح الارتفاعات بين </w:t>
      </w:r>
      <w:r w:rsidR="003C3B4D" w:rsidRPr="004450EB">
        <w:rPr>
          <w:lang w:bidi="ar-EG"/>
        </w:rPr>
        <w:t>8</w:t>
      </w:r>
      <w:r w:rsidR="004450EB">
        <w:rPr>
          <w:lang w:bidi="ar-EG"/>
        </w:rPr>
        <w:t> </w:t>
      </w:r>
      <w:r w:rsidR="003C3B4D" w:rsidRPr="004450EB">
        <w:rPr>
          <w:lang w:bidi="ar-EG"/>
        </w:rPr>
        <w:t>715</w:t>
      </w:r>
      <w:r w:rsidR="003C3B4D">
        <w:rPr>
          <w:rFonts w:hint="cs"/>
          <w:rtl/>
          <w:lang w:bidi="ar-EG"/>
        </w:rPr>
        <w:t xml:space="preserve"> </w:t>
      </w:r>
      <w:r w:rsidR="003C3B4D" w:rsidRPr="00E0557D">
        <w:t>m</w:t>
      </w:r>
      <w:r w:rsidR="003C3B4D">
        <w:rPr>
          <w:rFonts w:hint="cs"/>
          <w:rtl/>
        </w:rPr>
        <w:t xml:space="preserve"> و</w:t>
      </w:r>
      <w:r w:rsidR="003C3B4D" w:rsidRPr="004450EB">
        <w:t>872</w:t>
      </w:r>
      <w:r w:rsidR="003C3B4D">
        <w:rPr>
          <w:rFonts w:hint="cs"/>
          <w:rtl/>
        </w:rPr>
        <w:t xml:space="preserve"> </w:t>
      </w:r>
      <w:r w:rsidR="003D10BD" w:rsidRPr="00E0557D">
        <w:t>m</w:t>
      </w:r>
      <w:r w:rsidR="003D10BD">
        <w:rPr>
          <w:rFonts w:hint="cs"/>
          <w:rtl/>
        </w:rPr>
        <w:t xml:space="preserve"> وتتراوح المسافات المرتبطة بها بين </w:t>
      </w:r>
      <w:r w:rsidR="003D10BD" w:rsidRPr="00E0557D">
        <w:t>m</w:t>
      </w:r>
      <w:r w:rsidR="004450EB">
        <w:t> </w:t>
      </w:r>
      <w:r w:rsidR="004450EB" w:rsidRPr="004450EB">
        <w:t>100</w:t>
      </w:r>
      <w:r w:rsidR="004450EB">
        <w:t> </w:t>
      </w:r>
      <w:r w:rsidR="004450EB" w:rsidRPr="004450EB">
        <w:t>000</w:t>
      </w:r>
      <w:r w:rsidR="003D10BD">
        <w:rPr>
          <w:rFonts w:hint="cs"/>
          <w:rtl/>
          <w:lang w:bidi="ar-EG"/>
        </w:rPr>
        <w:t xml:space="preserve"> و</w:t>
      </w:r>
      <w:r w:rsidR="003D10BD" w:rsidRPr="00E0557D">
        <w:t>m</w:t>
      </w:r>
      <w:r w:rsidR="004450EB">
        <w:t> </w:t>
      </w:r>
      <w:r w:rsidR="004450EB" w:rsidRPr="004450EB">
        <w:rPr>
          <w:lang w:bidi="ar-EG"/>
        </w:rPr>
        <w:t>10</w:t>
      </w:r>
      <w:r w:rsidR="004450EB">
        <w:rPr>
          <w:lang w:bidi="ar-EG"/>
        </w:rPr>
        <w:t xml:space="preserve"> </w:t>
      </w:r>
      <w:r w:rsidR="004450EB" w:rsidRPr="004450EB">
        <w:rPr>
          <w:lang w:bidi="ar-EG"/>
        </w:rPr>
        <w:t>000</w:t>
      </w:r>
      <w:r w:rsidR="003D10BD">
        <w:rPr>
          <w:rFonts w:hint="cs"/>
          <w:rtl/>
        </w:rPr>
        <w:t xml:space="preserve">. </w:t>
      </w:r>
      <w:r w:rsidR="00F3098E">
        <w:rPr>
          <w:rFonts w:hint="cs"/>
          <w:rtl/>
        </w:rPr>
        <w:t xml:space="preserve">وفي كل حالة، زاوية وصول الإرسال من </w:t>
      </w:r>
      <w:r w:rsidR="00A64A51">
        <w:rPr>
          <w:rFonts w:hint="cs"/>
          <w:rtl/>
        </w:rPr>
        <w:t xml:space="preserve">المحطة الأرضية المتحركة للطيران هي </w:t>
      </w:r>
      <w:r w:rsidR="00A64A51" w:rsidRPr="004450EB">
        <w:t>5</w:t>
      </w:r>
      <w:r w:rsidR="00A64A51">
        <w:rPr>
          <w:rFonts w:hint="cs"/>
          <w:rtl/>
          <w:lang w:bidi="ar-EG"/>
        </w:rPr>
        <w:t xml:space="preserve"> درجات </w:t>
      </w:r>
      <w:r w:rsidR="00CD7C42">
        <w:rPr>
          <w:rFonts w:hint="cs"/>
          <w:rtl/>
          <w:lang w:bidi="ar-EG"/>
        </w:rPr>
        <w:t>فوق المستوى الأفقي.</w:t>
      </w:r>
    </w:p>
    <w:p w14:paraId="25016F6A" w14:textId="0235C662" w:rsidR="00C317E5" w:rsidRPr="000B39C7" w:rsidRDefault="003E3978" w:rsidP="00C317E5">
      <w:pPr>
        <w:rPr>
          <w:rFonts w:eastAsia="SimSun"/>
          <w:rtl/>
        </w:rPr>
      </w:pPr>
      <w:r>
        <w:rPr>
          <w:rFonts w:eastAsia="SimSun" w:hint="cs"/>
          <w:rtl/>
        </w:rPr>
        <w:t xml:space="preserve">ولم يطبَّق التوهين الجوي في هذه الحسابات. ومع ذلك فإن </w:t>
      </w:r>
      <w:r w:rsidRPr="00026290">
        <w:rPr>
          <w:rFonts w:eastAsia="SimSun" w:hint="cs"/>
          <w:rtl/>
        </w:rPr>
        <w:t>الوثيقة</w:t>
      </w:r>
      <w:r w:rsidRPr="004228C0">
        <w:rPr>
          <w:rFonts w:eastAsia="SimSun" w:hint="cs"/>
          <w:b/>
          <w:bCs/>
          <w:rtl/>
        </w:rPr>
        <w:t xml:space="preserve"> </w:t>
      </w:r>
      <w:r w:rsidRPr="004450EB">
        <w:rPr>
          <w:rFonts w:eastAsia="SimSun"/>
        </w:rPr>
        <w:t>61</w:t>
      </w:r>
      <w:r w:rsidRPr="004228C0">
        <w:rPr>
          <w:rFonts w:eastAsia="SimSun" w:hint="cs"/>
          <w:b/>
          <w:bCs/>
          <w:rtl/>
          <w:lang w:bidi="ar-EG"/>
        </w:rPr>
        <w:t xml:space="preserve"> </w:t>
      </w:r>
      <w:r w:rsidRPr="00026290">
        <w:rPr>
          <w:rFonts w:eastAsia="SimSun" w:hint="cs"/>
          <w:rtl/>
          <w:lang w:bidi="ar-EG"/>
        </w:rPr>
        <w:t xml:space="preserve">(الإضافة </w:t>
      </w:r>
      <w:r w:rsidRPr="004450EB">
        <w:rPr>
          <w:rFonts w:eastAsia="SimSun"/>
          <w:lang w:bidi="ar-EG"/>
        </w:rPr>
        <w:t>5</w:t>
      </w:r>
      <w:r w:rsidRPr="00026290">
        <w:rPr>
          <w:rFonts w:eastAsia="SimSun" w:hint="cs"/>
          <w:rtl/>
          <w:lang w:bidi="ar-EG"/>
        </w:rPr>
        <w:t>)</w:t>
      </w:r>
      <w:r>
        <w:rPr>
          <w:rFonts w:eastAsia="SimSun" w:hint="cs"/>
          <w:rtl/>
          <w:lang w:bidi="ar-EG"/>
        </w:rPr>
        <w:t xml:space="preserve"> تعترف في خلاصة تحليلها بأن </w:t>
      </w:r>
      <w:r w:rsidR="00CD7C5C">
        <w:rPr>
          <w:rFonts w:eastAsia="SimSun" w:hint="cs"/>
          <w:rtl/>
          <w:lang w:bidi="ar-EG"/>
        </w:rPr>
        <w:t xml:space="preserve">كثافة تدفق القدرة </w:t>
      </w:r>
      <w:r w:rsidR="009F56FC">
        <w:rPr>
          <w:rFonts w:eastAsia="SimSun" w:hint="cs"/>
          <w:rtl/>
          <w:lang w:bidi="ar-EG"/>
        </w:rPr>
        <w:t xml:space="preserve">التي تشعها المحطة الأرضية المتحركة للطيران كانت </w:t>
      </w:r>
      <w:r w:rsidR="000B39C7">
        <w:rPr>
          <w:rFonts w:eastAsia="SimSun" w:hint="cs"/>
          <w:rtl/>
          <w:lang w:bidi="ar-EG"/>
        </w:rPr>
        <w:t xml:space="preserve">ستفي </w:t>
      </w:r>
      <w:r w:rsidR="009F56FC">
        <w:rPr>
          <w:rFonts w:eastAsia="SimSun" w:hint="cs"/>
          <w:rtl/>
          <w:lang w:bidi="ar-EG"/>
        </w:rPr>
        <w:t xml:space="preserve">فعلاً </w:t>
      </w:r>
      <w:r w:rsidR="000B39C7">
        <w:rPr>
          <w:rFonts w:eastAsia="SimSun" w:hint="cs"/>
          <w:rtl/>
          <w:lang w:bidi="ar-EG"/>
        </w:rPr>
        <w:t xml:space="preserve">بقناع كثافة تدفق القدرة الوارد في الخيارين </w:t>
      </w:r>
      <w:r w:rsidR="000B39C7" w:rsidRPr="004450EB">
        <w:rPr>
          <w:rFonts w:eastAsia="SimSun"/>
          <w:lang w:bidi="ar-EG"/>
        </w:rPr>
        <w:t>1</w:t>
      </w:r>
      <w:r w:rsidR="000B39C7">
        <w:rPr>
          <w:rFonts w:eastAsia="SimSun" w:hint="cs"/>
          <w:rtl/>
          <w:lang w:bidi="ar-EG"/>
        </w:rPr>
        <w:t xml:space="preserve"> و</w:t>
      </w:r>
      <w:r w:rsidR="000B39C7" w:rsidRPr="004450EB">
        <w:rPr>
          <w:rFonts w:eastAsia="SimSun"/>
          <w:lang w:bidi="ar-EG"/>
        </w:rPr>
        <w:t>2</w:t>
      </w:r>
      <w:r w:rsidR="009F56FC">
        <w:rPr>
          <w:rFonts w:eastAsia="SimSun" w:hint="cs"/>
          <w:rtl/>
          <w:lang w:bidi="ar-EG"/>
        </w:rPr>
        <w:t xml:space="preserve">، </w:t>
      </w:r>
      <w:r w:rsidR="00CF3D4B">
        <w:rPr>
          <w:rFonts w:eastAsia="SimSun" w:hint="cs"/>
          <w:rtl/>
          <w:lang w:bidi="ar-EG"/>
        </w:rPr>
        <w:t>لو</w:t>
      </w:r>
      <w:r w:rsidR="004450EB">
        <w:rPr>
          <w:rFonts w:eastAsia="SimSun" w:hint="eastAsia"/>
          <w:rtl/>
          <w:lang w:bidi="ar-EG"/>
        </w:rPr>
        <w:t> </w:t>
      </w:r>
      <w:r w:rsidR="00CF3D4B">
        <w:rPr>
          <w:rFonts w:eastAsia="SimSun" w:hint="cs"/>
          <w:rtl/>
          <w:lang w:bidi="ar-EG"/>
        </w:rPr>
        <w:t xml:space="preserve">أن </w:t>
      </w:r>
      <w:r w:rsidR="009F56FC">
        <w:rPr>
          <w:rFonts w:eastAsia="SimSun" w:hint="cs"/>
          <w:rtl/>
          <w:lang w:bidi="ar-EG"/>
        </w:rPr>
        <w:t xml:space="preserve">خصائص </w:t>
      </w:r>
      <w:r w:rsidR="00CF3D4B">
        <w:rPr>
          <w:rFonts w:eastAsia="SimSun" w:hint="cs"/>
          <w:rtl/>
          <w:lang w:bidi="ar-EG"/>
        </w:rPr>
        <w:t>التوهين الجوي قد أُدرجت</w:t>
      </w:r>
      <w:r w:rsidR="002925CA">
        <w:rPr>
          <w:rFonts w:eastAsia="SimSun" w:hint="cs"/>
          <w:rtl/>
          <w:lang w:bidi="ar-EG"/>
        </w:rPr>
        <w:t xml:space="preserve"> في الحساب</w:t>
      </w:r>
      <w:r w:rsidR="00CF3D4B">
        <w:rPr>
          <w:rFonts w:eastAsia="SimSun" w:hint="cs"/>
          <w:rtl/>
          <w:lang w:bidi="ar-EG"/>
        </w:rPr>
        <w:t>. و</w:t>
      </w:r>
      <w:r w:rsidR="00A03EDA">
        <w:rPr>
          <w:rFonts w:eastAsia="SimSun" w:hint="cs"/>
          <w:rtl/>
          <w:lang w:bidi="ar-EG"/>
        </w:rPr>
        <w:t>يكتسي هذا العنصر غير المدرج أهمية بالغة.</w:t>
      </w:r>
    </w:p>
    <w:p w14:paraId="2332C149" w14:textId="1C6303CD" w:rsidR="00C317E5" w:rsidRDefault="00A03EDA" w:rsidP="00C317E5">
      <w:pPr>
        <w:rPr>
          <w:rtl/>
        </w:rPr>
      </w:pPr>
      <w:r>
        <w:rPr>
          <w:rFonts w:eastAsia="SimSun" w:hint="cs"/>
          <w:rtl/>
        </w:rPr>
        <w:t>ويُعتبر التوهين الجوي</w:t>
      </w:r>
      <w:r w:rsidR="000449E7">
        <w:rPr>
          <w:rFonts w:eastAsia="SimSun" w:hint="cs"/>
          <w:rtl/>
        </w:rPr>
        <w:t xml:space="preserve">، في الاتحاد الدولي للاتصالات، عنصراً مهماً لحساب كثافة تدفق القدرة. وأي نتيجة بشأن كثافة تدفق القدرة يتم التوصل إليها دون مراعاة </w:t>
      </w:r>
      <w:r w:rsidR="00BB17D6">
        <w:rPr>
          <w:rFonts w:eastAsia="SimSun" w:hint="cs"/>
          <w:rtl/>
        </w:rPr>
        <w:t>التوهين الجوي وفقاً لتوصيات قطاع الاتصالات الراديوية، خاصةً في نطاقات الموجات الم</w:t>
      </w:r>
      <w:r w:rsidR="00BB17D6">
        <w:rPr>
          <w:rFonts w:eastAsia="SimSun" w:hint="cs"/>
          <w:rtl/>
          <w:lang w:bidi="ar-EG"/>
        </w:rPr>
        <w:t>ي</w:t>
      </w:r>
      <w:proofErr w:type="spellStart"/>
      <w:r w:rsidR="00BB17D6">
        <w:rPr>
          <w:rFonts w:eastAsia="SimSun" w:hint="cs"/>
          <w:rtl/>
        </w:rPr>
        <w:t>ليمترية</w:t>
      </w:r>
      <w:proofErr w:type="spellEnd"/>
      <w:r w:rsidR="00BB17D6">
        <w:rPr>
          <w:rFonts w:eastAsia="SimSun" w:hint="cs"/>
          <w:rtl/>
        </w:rPr>
        <w:t xml:space="preserve"> مثل النطاق </w:t>
      </w:r>
      <w:r w:rsidR="00BB17D6" w:rsidRPr="004450EB">
        <w:rPr>
          <w:rFonts w:eastAsia="SimSun"/>
        </w:rPr>
        <w:t>29</w:t>
      </w:r>
      <w:r w:rsidR="00BB17D6">
        <w:rPr>
          <w:rFonts w:eastAsia="SimSun"/>
        </w:rPr>
        <w:t>,</w:t>
      </w:r>
      <w:r w:rsidR="00BB17D6" w:rsidRPr="004450EB">
        <w:rPr>
          <w:rFonts w:eastAsia="SimSun"/>
        </w:rPr>
        <w:t>5</w:t>
      </w:r>
      <w:r w:rsidR="00BB17D6">
        <w:rPr>
          <w:rFonts w:eastAsia="SimSun"/>
        </w:rPr>
        <w:t>-</w:t>
      </w:r>
      <w:r w:rsidR="00BB17D6" w:rsidRPr="004450EB">
        <w:rPr>
          <w:rFonts w:eastAsia="SimSun"/>
        </w:rPr>
        <w:t>27</w:t>
      </w:r>
      <w:r w:rsidR="00BB17D6">
        <w:rPr>
          <w:rFonts w:eastAsia="SimSun"/>
        </w:rPr>
        <w:t>,</w:t>
      </w:r>
      <w:r w:rsidR="00BB17D6" w:rsidRPr="004450EB">
        <w:rPr>
          <w:rFonts w:eastAsia="SimSun"/>
        </w:rPr>
        <w:t>5</w:t>
      </w:r>
      <w:r w:rsidR="00BB17D6">
        <w:rPr>
          <w:rFonts w:eastAsia="SimSun" w:hint="cs"/>
          <w:rtl/>
          <w:lang w:bidi="ar-EG"/>
        </w:rPr>
        <w:t xml:space="preserve"> </w:t>
      </w:r>
      <w:r w:rsidR="00BB17D6" w:rsidRPr="00E0557D">
        <w:t>GHz</w:t>
      </w:r>
      <w:r w:rsidR="003C51BE">
        <w:rPr>
          <w:rFonts w:hint="cs"/>
          <w:rtl/>
        </w:rPr>
        <w:t>، تُعتبر ذات قيمة محدودة أو لا قيمة لها.</w:t>
      </w:r>
    </w:p>
    <w:p w14:paraId="1D959F93" w14:textId="69D4976C" w:rsidR="003C51BE" w:rsidRDefault="003C51BE" w:rsidP="00C317E5">
      <w:pPr>
        <w:rPr>
          <w:rtl/>
          <w:lang w:bidi="ar-EG"/>
        </w:rPr>
      </w:pPr>
      <w:r>
        <w:rPr>
          <w:rFonts w:hint="cs"/>
          <w:rtl/>
        </w:rPr>
        <w:t xml:space="preserve">وعلى النحو المبين </w:t>
      </w:r>
      <w:r w:rsidR="00B7256D">
        <w:rPr>
          <w:rFonts w:hint="cs"/>
          <w:rtl/>
        </w:rPr>
        <w:t xml:space="preserve">أدناه، </w:t>
      </w:r>
      <w:r w:rsidR="001D705E">
        <w:rPr>
          <w:rFonts w:hint="cs"/>
          <w:rtl/>
        </w:rPr>
        <w:t>عند</w:t>
      </w:r>
      <w:r w:rsidR="00B7256D">
        <w:rPr>
          <w:rFonts w:hint="cs"/>
          <w:rtl/>
        </w:rPr>
        <w:t xml:space="preserve"> إدراج عامل التوهين الجوي وفقاً لتوصيات قطاع الاتصالات الراديوية (بما في ذلك التوصية </w:t>
      </w:r>
      <w:r w:rsidR="00B7256D" w:rsidRPr="00E0557D">
        <w:t>ITU</w:t>
      </w:r>
      <w:r w:rsidR="004450EB">
        <w:noBreakHyphen/>
      </w:r>
      <w:r w:rsidR="00B7256D" w:rsidRPr="00E0557D">
        <w:t>R</w:t>
      </w:r>
      <w:r w:rsidR="004450EB">
        <w:t> </w:t>
      </w:r>
      <w:r w:rsidR="00B7256D" w:rsidRPr="00E0557D">
        <w:t>P.</w:t>
      </w:r>
      <w:r w:rsidR="00B7256D" w:rsidRPr="004450EB">
        <w:t>676</w:t>
      </w:r>
      <w:r w:rsidR="00B7256D">
        <w:rPr>
          <w:rFonts w:hint="cs"/>
          <w:rtl/>
        </w:rPr>
        <w:t xml:space="preserve"> بشأن الانتشار)، </w:t>
      </w:r>
      <w:r w:rsidR="001D705E">
        <w:rPr>
          <w:rFonts w:hint="cs"/>
          <w:rtl/>
        </w:rPr>
        <w:t xml:space="preserve">وبعد إجراء </w:t>
      </w:r>
      <w:r w:rsidR="00470410">
        <w:rPr>
          <w:rFonts w:hint="cs"/>
          <w:rtl/>
        </w:rPr>
        <w:t>عمليات الضبط</w:t>
      </w:r>
      <w:r w:rsidR="001D705E">
        <w:rPr>
          <w:rFonts w:hint="cs"/>
          <w:rtl/>
        </w:rPr>
        <w:t xml:space="preserve"> المناسبة </w:t>
      </w:r>
      <w:r w:rsidR="00470410">
        <w:rPr>
          <w:rFonts w:hint="cs"/>
          <w:rtl/>
        </w:rPr>
        <w:t xml:space="preserve">لزاوية الوصول والزوايا </w:t>
      </w:r>
      <w:r w:rsidR="00262DF6">
        <w:rPr>
          <w:rFonts w:hint="cs"/>
          <w:rtl/>
        </w:rPr>
        <w:t>تحت</w:t>
      </w:r>
      <w:r w:rsidR="00470410">
        <w:rPr>
          <w:rFonts w:hint="cs"/>
          <w:rtl/>
        </w:rPr>
        <w:t xml:space="preserve"> المستوى الأفقي، </w:t>
      </w:r>
      <w:r w:rsidR="00F47155">
        <w:rPr>
          <w:rFonts w:hint="cs"/>
          <w:rtl/>
        </w:rPr>
        <w:t xml:space="preserve">تتحسن </w:t>
      </w:r>
      <w:r w:rsidR="0097157E">
        <w:rPr>
          <w:rFonts w:hint="cs"/>
          <w:rtl/>
        </w:rPr>
        <w:t xml:space="preserve">كثيراً </w:t>
      </w:r>
      <w:r w:rsidR="00470410">
        <w:rPr>
          <w:rFonts w:hint="cs"/>
          <w:rtl/>
        </w:rPr>
        <w:t>قدرة المحطات الأرضية المتحركة على الوفاء بمختلف الأقنعة المقترحة، أي أقنعة كثافة تدفق القدرة الواردة في الخيار</w:t>
      </w:r>
      <w:r w:rsidR="00E859D8">
        <w:rPr>
          <w:rFonts w:hint="cs"/>
          <w:rtl/>
        </w:rPr>
        <w:t xml:space="preserve">ين </w:t>
      </w:r>
      <w:r w:rsidR="00E859D8" w:rsidRPr="004450EB">
        <w:t>1</w:t>
      </w:r>
      <w:r w:rsidR="00E859D8">
        <w:rPr>
          <w:rFonts w:hint="cs"/>
          <w:rtl/>
          <w:lang w:bidi="ar-EG"/>
        </w:rPr>
        <w:t xml:space="preserve"> و</w:t>
      </w:r>
      <w:r w:rsidR="00E859D8" w:rsidRPr="004450EB">
        <w:rPr>
          <w:lang w:bidi="ar-EG"/>
        </w:rPr>
        <w:t>2</w:t>
      </w:r>
      <w:r w:rsidR="00E859D8">
        <w:rPr>
          <w:rFonts w:hint="cs"/>
          <w:rtl/>
          <w:lang w:bidi="ar-EG"/>
        </w:rPr>
        <w:t xml:space="preserve">، وكذلك قناع كثافة تدفق القدرة الوارد في </w:t>
      </w:r>
      <w:r w:rsidR="00C668FF">
        <w:rPr>
          <w:rFonts w:hint="cs"/>
          <w:rtl/>
          <w:lang w:bidi="ar-EG"/>
        </w:rPr>
        <w:t xml:space="preserve">مقترح لجنة البلدان الأمريكية للاتصالات (الوثيقة </w:t>
      </w:r>
      <w:r w:rsidR="00C668FF" w:rsidRPr="004450EB">
        <w:rPr>
          <w:lang w:bidi="ar-EG"/>
        </w:rPr>
        <w:t>11</w:t>
      </w:r>
      <w:r w:rsidR="00C668FF">
        <w:rPr>
          <w:rFonts w:hint="cs"/>
          <w:rtl/>
          <w:lang w:bidi="ar-EG"/>
        </w:rPr>
        <w:t xml:space="preserve">، الإضافة </w:t>
      </w:r>
      <w:r w:rsidR="00C668FF" w:rsidRPr="004450EB">
        <w:rPr>
          <w:lang w:bidi="ar-EG"/>
        </w:rPr>
        <w:t>5</w:t>
      </w:r>
      <w:r w:rsidR="00C668FF">
        <w:rPr>
          <w:rFonts w:hint="cs"/>
          <w:rtl/>
          <w:lang w:bidi="ar-EG"/>
        </w:rPr>
        <w:t>)</w:t>
      </w:r>
      <w:r w:rsidR="00C66774">
        <w:rPr>
          <w:rFonts w:hint="cs"/>
          <w:rtl/>
          <w:lang w:bidi="ar-EG"/>
        </w:rPr>
        <w:t xml:space="preserve"> ("قناع كثافة تدفق القدرة وفقاً لمقترح لجنة البلدان الأمريكية للاتصالات</w:t>
      </w:r>
      <w:r w:rsidR="00F47155">
        <w:rPr>
          <w:rFonts w:hint="cs"/>
          <w:rtl/>
          <w:lang w:bidi="ar-EG"/>
        </w:rPr>
        <w:t>"</w:t>
      </w:r>
      <w:r w:rsidR="00C66774">
        <w:rPr>
          <w:rFonts w:hint="cs"/>
          <w:rtl/>
          <w:lang w:bidi="ar-EG"/>
        </w:rPr>
        <w:t>)</w:t>
      </w:r>
      <w:r w:rsidR="0097157E">
        <w:rPr>
          <w:rFonts w:hint="cs"/>
          <w:rtl/>
          <w:lang w:bidi="ar-EG"/>
        </w:rPr>
        <w:t xml:space="preserve">. </w:t>
      </w:r>
      <w:r w:rsidR="0097157E" w:rsidRPr="0097157E">
        <w:rPr>
          <w:rtl/>
          <w:lang w:bidi="ar-EG"/>
        </w:rPr>
        <w:t>ويلاح</w:t>
      </w:r>
      <w:r w:rsidR="0097157E">
        <w:rPr>
          <w:rFonts w:hint="cs"/>
          <w:rtl/>
          <w:lang w:bidi="ar-EG"/>
        </w:rPr>
        <w:t>َ</w:t>
      </w:r>
      <w:r w:rsidR="0097157E" w:rsidRPr="0097157E">
        <w:rPr>
          <w:rtl/>
          <w:lang w:bidi="ar-EG"/>
        </w:rPr>
        <w:t xml:space="preserve">ظ أن مدى </w:t>
      </w:r>
      <w:r w:rsidR="0097157E">
        <w:rPr>
          <w:rFonts w:hint="cs"/>
          <w:rtl/>
          <w:lang w:bidi="ar-EG"/>
        </w:rPr>
        <w:t xml:space="preserve">إمكانية الوفاء </w:t>
      </w:r>
      <w:r w:rsidR="00F564E3">
        <w:rPr>
          <w:rFonts w:hint="cs"/>
          <w:rtl/>
          <w:lang w:bidi="ar-EG"/>
        </w:rPr>
        <w:t>ب</w:t>
      </w:r>
      <w:r w:rsidR="0097157E" w:rsidRPr="0097157E">
        <w:rPr>
          <w:rtl/>
          <w:lang w:bidi="ar-EG"/>
        </w:rPr>
        <w:t xml:space="preserve">قناع معين </w:t>
      </w:r>
      <w:r w:rsidR="00F564E3">
        <w:rPr>
          <w:rFonts w:hint="cs"/>
          <w:rtl/>
          <w:lang w:bidi="ar-EG"/>
        </w:rPr>
        <w:t>يتوقف</w:t>
      </w:r>
      <w:r w:rsidR="0097157E" w:rsidRPr="0097157E">
        <w:rPr>
          <w:rtl/>
          <w:lang w:bidi="ar-EG"/>
        </w:rPr>
        <w:t xml:space="preserve"> على </w:t>
      </w:r>
      <w:r w:rsidR="00F564E3">
        <w:rPr>
          <w:rFonts w:hint="cs"/>
          <w:rtl/>
          <w:lang w:bidi="ar-EG"/>
        </w:rPr>
        <w:t>مميزات</w:t>
      </w:r>
      <w:r w:rsidR="0097157E" w:rsidRPr="0097157E">
        <w:rPr>
          <w:rtl/>
          <w:lang w:bidi="ar-EG"/>
        </w:rPr>
        <w:t xml:space="preserve"> القناع ويختلف </w:t>
      </w:r>
      <w:r w:rsidR="00F564E3">
        <w:rPr>
          <w:rFonts w:hint="cs"/>
          <w:rtl/>
          <w:lang w:bidi="ar-EG"/>
        </w:rPr>
        <w:t>حسب</w:t>
      </w:r>
      <w:r w:rsidR="0097157E" w:rsidRPr="0097157E">
        <w:rPr>
          <w:rtl/>
          <w:lang w:bidi="ar-EG"/>
        </w:rPr>
        <w:t xml:space="preserve"> خصائص </w:t>
      </w:r>
      <w:proofErr w:type="spellStart"/>
      <w:r w:rsidR="0097157E" w:rsidRPr="0097157E">
        <w:rPr>
          <w:rtl/>
          <w:lang w:bidi="ar-EG"/>
        </w:rPr>
        <w:t>مطراف</w:t>
      </w:r>
      <w:proofErr w:type="spellEnd"/>
      <w:r w:rsidR="0097157E" w:rsidRPr="0097157E">
        <w:rPr>
          <w:rtl/>
          <w:lang w:bidi="ar-EG"/>
        </w:rPr>
        <w:t xml:space="preserve"> </w:t>
      </w:r>
      <w:r w:rsidR="00F564E3">
        <w:rPr>
          <w:rFonts w:hint="cs"/>
          <w:rtl/>
          <w:lang w:bidi="ar-EG"/>
        </w:rPr>
        <w:t>المحطة الأرضية المتحركة</w:t>
      </w:r>
      <w:r w:rsidR="0097157E" w:rsidRPr="0097157E">
        <w:rPr>
          <w:rtl/>
          <w:lang w:bidi="ar-EG"/>
        </w:rPr>
        <w:t xml:space="preserve"> وموقعه</w:t>
      </w:r>
      <w:r w:rsidR="00F564E3">
        <w:rPr>
          <w:rFonts w:hint="cs"/>
          <w:rtl/>
          <w:lang w:bidi="ar-EG"/>
        </w:rPr>
        <w:t>ا</w:t>
      </w:r>
      <w:r w:rsidR="0097157E" w:rsidRPr="0097157E">
        <w:rPr>
          <w:rtl/>
          <w:lang w:bidi="ar-EG"/>
        </w:rPr>
        <w:t xml:space="preserve"> في أي وقت محدد.</w:t>
      </w:r>
    </w:p>
    <w:p w14:paraId="6C22D9D7" w14:textId="42DE3155" w:rsidR="00BA01EE" w:rsidRDefault="00BB2937" w:rsidP="00C317E5">
      <w:pPr>
        <w:rPr>
          <w:rFonts w:eastAsia="SimSun"/>
          <w:rtl/>
          <w:lang w:bidi="ar-EG"/>
        </w:rPr>
      </w:pPr>
      <w:r>
        <w:rPr>
          <w:rFonts w:hint="cs"/>
          <w:rtl/>
          <w:lang w:bidi="ar-EG"/>
        </w:rPr>
        <w:t>و</w:t>
      </w:r>
      <w:r w:rsidR="00BA01EE">
        <w:rPr>
          <w:rFonts w:hint="cs"/>
          <w:rtl/>
          <w:lang w:bidi="ar-EG"/>
        </w:rPr>
        <w:t xml:space="preserve">عند استعمال مخططات </w:t>
      </w:r>
      <w:r w:rsidR="00B66372">
        <w:rPr>
          <w:rFonts w:hint="cs"/>
          <w:rtl/>
          <w:lang w:bidi="ar-EG"/>
        </w:rPr>
        <w:t xml:space="preserve">الإشعاع الحقيقي </w:t>
      </w:r>
      <w:r w:rsidR="00BA01EE">
        <w:rPr>
          <w:rFonts w:hint="cs"/>
          <w:rtl/>
          <w:lang w:bidi="ar-EG"/>
        </w:rPr>
        <w:t>لهوائي ال</w:t>
      </w:r>
      <w:r w:rsidR="00B66372">
        <w:rPr>
          <w:rFonts w:hint="cs"/>
          <w:rtl/>
          <w:lang w:bidi="ar-EG"/>
        </w:rPr>
        <w:t xml:space="preserve">محطة الأرضية المتحركة للطيران، </w:t>
      </w:r>
      <w:r w:rsidR="008C3D57">
        <w:rPr>
          <w:rFonts w:hint="cs"/>
          <w:rtl/>
          <w:lang w:bidi="ar-EG"/>
        </w:rPr>
        <w:t>يمكن</w:t>
      </w:r>
      <w:r>
        <w:rPr>
          <w:rFonts w:hint="cs"/>
          <w:rtl/>
          <w:lang w:bidi="ar-EG"/>
        </w:rPr>
        <w:t xml:space="preserve"> </w:t>
      </w:r>
      <w:r w:rsidR="008C3D57">
        <w:rPr>
          <w:rFonts w:hint="cs"/>
          <w:rtl/>
          <w:lang w:bidi="ar-EG"/>
        </w:rPr>
        <w:t>ل</w:t>
      </w:r>
      <w:r>
        <w:rPr>
          <w:rFonts w:hint="cs"/>
          <w:rtl/>
          <w:lang w:bidi="ar-EG"/>
        </w:rPr>
        <w:t xml:space="preserve">هذه المحطة الوفاء بحدود كثافة تدفق القدرة على ارتفاعات منخفضة. وبالمثل، </w:t>
      </w:r>
      <w:r w:rsidR="00521E3D">
        <w:rPr>
          <w:rFonts w:hint="cs"/>
          <w:rtl/>
          <w:lang w:bidi="ar-EG"/>
        </w:rPr>
        <w:t xml:space="preserve">ستكون زوايا الارتفاع النمطية للتشغيل أكبر </w:t>
      </w:r>
      <w:r w:rsidR="003A561D">
        <w:rPr>
          <w:rFonts w:hint="cs"/>
          <w:rtl/>
          <w:lang w:bidi="ar-EG"/>
        </w:rPr>
        <w:t>من زوايا الارتفاع ال</w:t>
      </w:r>
      <w:r w:rsidR="008C3D57">
        <w:rPr>
          <w:rFonts w:hint="cs"/>
          <w:rtl/>
          <w:lang w:bidi="ar-EG"/>
        </w:rPr>
        <w:t>مأخوذة في الاعتبار في</w:t>
      </w:r>
      <w:r w:rsidR="004450EB">
        <w:rPr>
          <w:rFonts w:hint="eastAsia"/>
          <w:rtl/>
          <w:lang w:bidi="ar-EG"/>
        </w:rPr>
        <w:t> </w:t>
      </w:r>
      <w:r w:rsidR="008C3D57" w:rsidRPr="00026290">
        <w:rPr>
          <w:rFonts w:eastAsia="SimSun" w:hint="cs"/>
          <w:rtl/>
        </w:rPr>
        <w:t>الوثيقة</w:t>
      </w:r>
      <w:r w:rsidR="004450EB">
        <w:rPr>
          <w:rFonts w:eastAsia="SimSun" w:hint="eastAsia"/>
          <w:b/>
          <w:bCs/>
          <w:rtl/>
        </w:rPr>
        <w:t> </w:t>
      </w:r>
      <w:r w:rsidR="008C3D57" w:rsidRPr="004450EB">
        <w:rPr>
          <w:rFonts w:eastAsia="SimSun"/>
        </w:rPr>
        <w:t>61</w:t>
      </w:r>
      <w:r w:rsidR="008C3D57" w:rsidRPr="004228C0">
        <w:rPr>
          <w:rFonts w:eastAsia="SimSun" w:hint="cs"/>
          <w:b/>
          <w:bCs/>
          <w:rtl/>
          <w:lang w:bidi="ar-EG"/>
        </w:rPr>
        <w:t xml:space="preserve"> </w:t>
      </w:r>
      <w:r w:rsidR="008C3D57" w:rsidRPr="00026290">
        <w:rPr>
          <w:rFonts w:eastAsia="SimSun" w:hint="cs"/>
          <w:rtl/>
          <w:lang w:bidi="ar-EG"/>
        </w:rPr>
        <w:t xml:space="preserve">(الإضافة </w:t>
      </w:r>
      <w:r w:rsidR="008C3D57" w:rsidRPr="004450EB">
        <w:rPr>
          <w:rFonts w:eastAsia="SimSun"/>
          <w:lang w:bidi="ar-EG"/>
        </w:rPr>
        <w:t>5</w:t>
      </w:r>
      <w:r w:rsidR="008C3D57" w:rsidRPr="00026290">
        <w:rPr>
          <w:rFonts w:eastAsia="SimSun" w:hint="cs"/>
          <w:rtl/>
          <w:lang w:bidi="ar-EG"/>
        </w:rPr>
        <w:t>)</w:t>
      </w:r>
      <w:r w:rsidR="008C3D57">
        <w:rPr>
          <w:rFonts w:eastAsia="SimSun" w:hint="cs"/>
          <w:rtl/>
          <w:lang w:bidi="ar-EG"/>
        </w:rPr>
        <w:t xml:space="preserve">، </w:t>
      </w:r>
      <w:r w:rsidR="00DA2613">
        <w:rPr>
          <w:rFonts w:eastAsia="SimSun" w:hint="cs"/>
          <w:rtl/>
          <w:lang w:bidi="ar-EG"/>
        </w:rPr>
        <w:t>مما يحسّن أيضاً من إمكانية الوفاء بأقنعة كثافة تدفق القدرة. وترد أدناه أمثلة عن ذلك.</w:t>
      </w:r>
    </w:p>
    <w:p w14:paraId="0A26D939" w14:textId="173E644C" w:rsidR="00DA2613" w:rsidRDefault="00DA2613" w:rsidP="00C317E5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lastRenderedPageBreak/>
        <w:t xml:space="preserve">وإضافةً إلى ذلك، </w:t>
      </w:r>
      <w:r w:rsidR="00864553">
        <w:rPr>
          <w:rFonts w:eastAsia="SimSun" w:hint="cs"/>
          <w:rtl/>
          <w:lang w:bidi="ar-EG"/>
        </w:rPr>
        <w:t xml:space="preserve">لا تحدث عمليات المحطات الأرضية المتحركة للطيران دائماً عند </w:t>
      </w:r>
      <w:r w:rsidR="00BD5E10">
        <w:rPr>
          <w:rFonts w:eastAsia="SimSun" w:hint="cs"/>
          <w:rtl/>
          <w:lang w:bidi="ar-EG"/>
        </w:rPr>
        <w:t xml:space="preserve">أقصى كثافة لقدرة الإرسال. </w:t>
      </w:r>
      <w:r w:rsidR="002925CA">
        <w:rPr>
          <w:rFonts w:eastAsia="SimSun" w:hint="cs"/>
          <w:rtl/>
          <w:lang w:bidi="ar-EG"/>
        </w:rPr>
        <w:t>و</w:t>
      </w:r>
      <w:r w:rsidR="002925CA" w:rsidRPr="002925CA">
        <w:rPr>
          <w:rFonts w:eastAsia="SimSun"/>
          <w:rtl/>
          <w:lang w:bidi="ar-EG"/>
        </w:rPr>
        <w:t xml:space="preserve">في الواقع، </w:t>
      </w:r>
      <w:r w:rsidR="00260A0F">
        <w:rPr>
          <w:rFonts w:eastAsia="SimSun" w:hint="cs"/>
          <w:rtl/>
          <w:lang w:bidi="ar-EG"/>
        </w:rPr>
        <w:t>يستخدم</w:t>
      </w:r>
      <w:r w:rsidR="002925CA" w:rsidRPr="002925CA">
        <w:rPr>
          <w:rFonts w:eastAsia="SimSun"/>
          <w:rtl/>
          <w:lang w:bidi="ar-EG"/>
        </w:rPr>
        <w:t xml:space="preserve"> مشغل شبكة </w:t>
      </w:r>
      <w:r w:rsidR="00F5720C">
        <w:rPr>
          <w:rFonts w:eastAsia="SimSun" w:hint="cs"/>
          <w:rtl/>
          <w:lang w:bidi="ar-EG"/>
        </w:rPr>
        <w:t>المحطات الأرضية المتحركة للطيران</w:t>
      </w:r>
      <w:r w:rsidR="002925CA" w:rsidRPr="002925CA">
        <w:rPr>
          <w:rFonts w:eastAsia="SimSun"/>
          <w:rtl/>
          <w:lang w:bidi="ar-EG"/>
        </w:rPr>
        <w:t xml:space="preserve"> </w:t>
      </w:r>
      <w:r w:rsidR="00F5720C" w:rsidRPr="002925CA">
        <w:rPr>
          <w:rFonts w:eastAsia="SimSun"/>
          <w:rtl/>
          <w:lang w:bidi="ar-EG"/>
        </w:rPr>
        <w:t xml:space="preserve">مجموعة متنوعة من </w:t>
      </w:r>
      <w:r w:rsidR="00703839">
        <w:rPr>
          <w:rFonts w:eastAsia="SimSun" w:hint="cs"/>
          <w:rtl/>
          <w:lang w:bidi="ar-EG"/>
        </w:rPr>
        <w:t>الحلول التفضيلية</w:t>
      </w:r>
      <w:r w:rsidR="00F5720C" w:rsidRPr="002925CA">
        <w:rPr>
          <w:rFonts w:eastAsia="SimSun"/>
          <w:rtl/>
          <w:lang w:bidi="ar-EG"/>
        </w:rPr>
        <w:t xml:space="preserve"> </w:t>
      </w:r>
      <w:r w:rsidR="00F5720C">
        <w:rPr>
          <w:rFonts w:eastAsia="SimSun" w:hint="cs"/>
          <w:rtl/>
          <w:lang w:bidi="ar-EG"/>
        </w:rPr>
        <w:t>ل</w:t>
      </w:r>
      <w:r w:rsidR="002925CA" w:rsidRPr="002925CA">
        <w:rPr>
          <w:rFonts w:eastAsia="SimSun"/>
          <w:rtl/>
          <w:lang w:bidi="ar-EG"/>
        </w:rPr>
        <w:t xml:space="preserve">تحسين أداء شبكة </w:t>
      </w:r>
      <w:r w:rsidR="009A313B">
        <w:rPr>
          <w:rFonts w:eastAsia="SimSun" w:hint="cs"/>
          <w:rtl/>
          <w:lang w:bidi="ar-EG"/>
        </w:rPr>
        <w:t>المحطات الأرضية المتحركة</w:t>
      </w:r>
      <w:r w:rsidR="002925CA" w:rsidRPr="002925CA">
        <w:rPr>
          <w:rFonts w:eastAsia="SimSun"/>
          <w:rtl/>
          <w:lang w:bidi="ar-EG"/>
        </w:rPr>
        <w:t xml:space="preserve">، </w:t>
      </w:r>
      <w:r w:rsidR="007A433B">
        <w:rPr>
          <w:rFonts w:eastAsia="SimSun" w:hint="cs"/>
          <w:rtl/>
          <w:lang w:bidi="ar-EG"/>
        </w:rPr>
        <w:t>منها</w:t>
      </w:r>
      <w:r w:rsidR="002925CA" w:rsidRPr="002925CA">
        <w:rPr>
          <w:rFonts w:eastAsia="SimSun"/>
          <w:rtl/>
          <w:lang w:bidi="ar-EG"/>
        </w:rPr>
        <w:t xml:space="preserve"> ضبط كثافة قدرة الإرسال لضمان الامتثال لقناع كثافة تدفق القدرة عند ارتفاعات منخفضة.</w:t>
      </w:r>
    </w:p>
    <w:p w14:paraId="4F9A76EC" w14:textId="1FD6D396" w:rsidR="00703839" w:rsidRPr="00A67927" w:rsidRDefault="00703839" w:rsidP="00C317E5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 xml:space="preserve">وفيما يتعلق بالعوامل المتبقية، لا </w:t>
      </w:r>
      <w:r w:rsidR="00DD6A4C">
        <w:rPr>
          <w:rFonts w:eastAsia="SimSun" w:hint="cs"/>
          <w:rtl/>
          <w:lang w:bidi="ar-EG"/>
        </w:rPr>
        <w:t>يتناسب</w:t>
      </w:r>
      <w:r>
        <w:rPr>
          <w:rFonts w:eastAsia="SimSun" w:hint="cs"/>
          <w:rtl/>
          <w:lang w:bidi="ar-EG"/>
        </w:rPr>
        <w:t xml:space="preserve"> استعمال قيمة </w:t>
      </w:r>
      <w:r w:rsidRPr="004450EB">
        <w:rPr>
          <w:rFonts w:eastAsia="SimSun"/>
          <w:lang w:bidi="ar-EG"/>
        </w:rPr>
        <w:t>5</w:t>
      </w:r>
      <w:r>
        <w:rPr>
          <w:rFonts w:eastAsia="SimSun" w:hint="cs"/>
          <w:rtl/>
          <w:lang w:bidi="ar-EG"/>
        </w:rPr>
        <w:t xml:space="preserve"> درجات </w:t>
      </w:r>
      <w:r w:rsidR="00DD6A4C">
        <w:rPr>
          <w:rFonts w:eastAsia="SimSun" w:hint="cs"/>
          <w:rtl/>
          <w:lang w:bidi="ar-EG"/>
        </w:rPr>
        <w:t xml:space="preserve">لزاوية الوصول مع الارتفاع والمسافة المنصوص عليهما في </w:t>
      </w:r>
      <w:r w:rsidR="00DC6A7A">
        <w:rPr>
          <w:rFonts w:eastAsia="SimSun" w:hint="cs"/>
          <w:rtl/>
          <w:lang w:bidi="ar-EG"/>
        </w:rPr>
        <w:t>التبديلات</w:t>
      </w:r>
      <w:r w:rsidR="00DD6A4C">
        <w:rPr>
          <w:rFonts w:eastAsia="SimSun" w:hint="cs"/>
          <w:rtl/>
          <w:lang w:bidi="ar-EG"/>
        </w:rPr>
        <w:t xml:space="preserve"> المبينة. </w:t>
      </w:r>
      <w:r w:rsidR="00047CA5">
        <w:rPr>
          <w:rFonts w:eastAsia="SimSun" w:hint="cs"/>
          <w:rtl/>
          <w:lang w:bidi="ar-EG"/>
        </w:rPr>
        <w:t xml:space="preserve">ويبدو أن </w:t>
      </w:r>
      <w:r w:rsidR="00047CA5" w:rsidRPr="00026290">
        <w:rPr>
          <w:rFonts w:eastAsia="SimSun" w:hint="cs"/>
          <w:rtl/>
        </w:rPr>
        <w:t>الوثيقة</w:t>
      </w:r>
      <w:r w:rsidR="00047CA5" w:rsidRPr="004228C0">
        <w:rPr>
          <w:rFonts w:eastAsia="SimSun" w:hint="cs"/>
          <w:b/>
          <w:bCs/>
          <w:rtl/>
        </w:rPr>
        <w:t xml:space="preserve"> </w:t>
      </w:r>
      <w:r w:rsidR="00047CA5" w:rsidRPr="004450EB">
        <w:rPr>
          <w:rFonts w:eastAsia="SimSun"/>
        </w:rPr>
        <w:t>61</w:t>
      </w:r>
      <w:r w:rsidR="00047CA5" w:rsidRPr="004228C0">
        <w:rPr>
          <w:rFonts w:eastAsia="SimSun" w:hint="cs"/>
          <w:b/>
          <w:bCs/>
          <w:rtl/>
          <w:lang w:bidi="ar-EG"/>
        </w:rPr>
        <w:t xml:space="preserve"> </w:t>
      </w:r>
      <w:r w:rsidR="00047CA5" w:rsidRPr="00026290">
        <w:rPr>
          <w:rFonts w:eastAsia="SimSun" w:hint="cs"/>
          <w:rtl/>
          <w:lang w:bidi="ar-EG"/>
        </w:rPr>
        <w:t xml:space="preserve">(الإضافة </w:t>
      </w:r>
      <w:r w:rsidR="00047CA5" w:rsidRPr="004450EB">
        <w:rPr>
          <w:rFonts w:eastAsia="SimSun"/>
          <w:lang w:bidi="ar-EG"/>
        </w:rPr>
        <w:t>5</w:t>
      </w:r>
      <w:r w:rsidR="00047CA5" w:rsidRPr="00026290">
        <w:rPr>
          <w:rFonts w:eastAsia="SimSun" w:hint="cs"/>
          <w:rtl/>
          <w:lang w:bidi="ar-EG"/>
        </w:rPr>
        <w:t>)</w:t>
      </w:r>
      <w:r w:rsidR="00047CA5">
        <w:rPr>
          <w:rFonts w:eastAsia="SimSun" w:hint="cs"/>
          <w:rtl/>
          <w:lang w:bidi="ar-EG"/>
        </w:rPr>
        <w:t xml:space="preserve"> لا تستخدم </w:t>
      </w:r>
      <w:r w:rsidR="00297B0F">
        <w:rPr>
          <w:rFonts w:eastAsia="SimSun" w:hint="cs"/>
          <w:rtl/>
          <w:lang w:bidi="ar-EG"/>
        </w:rPr>
        <w:t>الطريقة</w:t>
      </w:r>
      <w:r w:rsidR="00047CA5">
        <w:rPr>
          <w:rFonts w:eastAsia="SimSun" w:hint="cs"/>
          <w:rtl/>
          <w:lang w:bidi="ar-EG"/>
        </w:rPr>
        <w:t xml:space="preserve"> الوارد</w:t>
      </w:r>
      <w:r w:rsidR="00297B0F">
        <w:rPr>
          <w:rFonts w:eastAsia="SimSun" w:hint="cs"/>
          <w:rtl/>
          <w:lang w:bidi="ar-EG"/>
        </w:rPr>
        <w:t>ة</w:t>
      </w:r>
      <w:r w:rsidR="00047CA5">
        <w:rPr>
          <w:rFonts w:eastAsia="SimSun" w:hint="cs"/>
          <w:rtl/>
          <w:lang w:bidi="ar-EG"/>
        </w:rPr>
        <w:t xml:space="preserve"> في التوصية </w:t>
      </w:r>
      <w:r w:rsidR="00047CA5" w:rsidRPr="00555590">
        <w:t>ITU-R M.</w:t>
      </w:r>
      <w:r w:rsidR="00047CA5" w:rsidRPr="004450EB">
        <w:t>1643</w:t>
      </w:r>
      <w:r w:rsidR="00047CA5">
        <w:rPr>
          <w:rFonts w:hint="cs"/>
          <w:rtl/>
        </w:rPr>
        <w:t xml:space="preserve"> لحساب زاوية الوصول. وتقدم هذه التوصية </w:t>
      </w:r>
      <w:r w:rsidR="00297B0F">
        <w:rPr>
          <w:rFonts w:hint="cs"/>
          <w:rtl/>
        </w:rPr>
        <w:t>طريقةً</w:t>
      </w:r>
      <w:r w:rsidR="00047CA5">
        <w:rPr>
          <w:rFonts w:hint="cs"/>
          <w:rtl/>
        </w:rPr>
        <w:t xml:space="preserve"> لحساب </w:t>
      </w:r>
      <w:r w:rsidR="00297B0F">
        <w:rPr>
          <w:rFonts w:hint="cs"/>
          <w:rtl/>
        </w:rPr>
        <w:t xml:space="preserve">الزاوية </w:t>
      </w:r>
      <w:r w:rsidR="00262DF6">
        <w:rPr>
          <w:rFonts w:hint="cs"/>
          <w:rtl/>
        </w:rPr>
        <w:t>تحت</w:t>
      </w:r>
      <w:r w:rsidR="00297B0F">
        <w:rPr>
          <w:rFonts w:hint="cs"/>
          <w:rtl/>
        </w:rPr>
        <w:t xml:space="preserve"> المستوى الأفقي </w:t>
      </w:r>
      <w:r w:rsidR="00023801">
        <w:rPr>
          <w:rFonts w:hint="cs"/>
          <w:rtl/>
        </w:rPr>
        <w:t xml:space="preserve">من المحطة الأرضية على متن الطائرة </w:t>
      </w:r>
      <w:r w:rsidR="00023801" w:rsidRPr="00555590">
        <w:t>(</w:t>
      </w:r>
      <w:r w:rsidR="00023801" w:rsidRPr="00555590">
        <w:rPr>
          <w:rFonts w:ascii="Cambria Math" w:hAnsi="Cambria Math" w:cs="Cambria Math"/>
        </w:rPr>
        <w:t>𝛾</w:t>
      </w:r>
      <w:r w:rsidR="00023801" w:rsidRPr="00555590">
        <w:t>)</w:t>
      </w:r>
      <w:r w:rsidR="00023801">
        <w:rPr>
          <w:rFonts w:hint="cs"/>
          <w:rtl/>
        </w:rPr>
        <w:t xml:space="preserve"> وزاوية الوصول فوق المستوى الأفقي </w:t>
      </w:r>
      <w:r w:rsidR="0089262A">
        <w:rPr>
          <w:rFonts w:hint="cs"/>
          <w:rtl/>
        </w:rPr>
        <w:t xml:space="preserve">عند المحطة على سطح الأرض </w:t>
      </w:r>
      <w:r w:rsidR="0089262A" w:rsidRPr="00555590">
        <w:t>(</w:t>
      </w:r>
      <w:r w:rsidR="0089262A" w:rsidRPr="00555590">
        <w:rPr>
          <w:rFonts w:ascii="Cambria Math" w:hAnsi="Cambria Math" w:cs="Cambria Math"/>
        </w:rPr>
        <w:t>𝜃</w:t>
      </w:r>
      <w:r w:rsidR="0089262A" w:rsidRPr="00555590">
        <w:t>)</w:t>
      </w:r>
      <w:r w:rsidR="0089262A">
        <w:rPr>
          <w:rFonts w:hint="cs"/>
          <w:rtl/>
        </w:rPr>
        <w:t xml:space="preserve">. ووفقاً للحساب الوارد في التوصية </w:t>
      </w:r>
      <w:r w:rsidR="0089262A" w:rsidRPr="00555590">
        <w:t>M.</w:t>
      </w:r>
      <w:r w:rsidR="0089262A" w:rsidRPr="004450EB">
        <w:t>1643</w:t>
      </w:r>
      <w:r w:rsidR="0089262A">
        <w:rPr>
          <w:rFonts w:hint="cs"/>
          <w:rtl/>
        </w:rPr>
        <w:t xml:space="preserve">، </w:t>
      </w:r>
      <w:r w:rsidR="00C32071">
        <w:rPr>
          <w:rFonts w:hint="cs"/>
          <w:rtl/>
        </w:rPr>
        <w:t xml:space="preserve">لا تكون الزاويتان </w:t>
      </w:r>
      <w:r w:rsidR="00C32071" w:rsidRPr="00555590">
        <w:rPr>
          <w:rFonts w:ascii="Cambria Math" w:hAnsi="Cambria Math" w:cs="Cambria Math"/>
        </w:rPr>
        <w:t>𝛾</w:t>
      </w:r>
      <w:r w:rsidR="00C32071">
        <w:rPr>
          <w:rFonts w:ascii="Cambria Math" w:hAnsi="Cambria Math" w:cs="Cambria Math" w:hint="cs"/>
          <w:rtl/>
        </w:rPr>
        <w:t xml:space="preserve"> </w:t>
      </w:r>
      <w:r w:rsidR="00C32071" w:rsidRPr="00C32071">
        <w:rPr>
          <w:rFonts w:hint="cs"/>
          <w:rtl/>
        </w:rPr>
        <w:t>و</w:t>
      </w:r>
      <w:r w:rsidR="00C32071" w:rsidRPr="00C32071">
        <w:rPr>
          <w:rFonts w:ascii="Cambria Math" w:hAnsi="Cambria Math" w:cs="Cambria Math"/>
        </w:rPr>
        <w:t>𝜃</w:t>
      </w:r>
      <w:r w:rsidR="00C32071">
        <w:rPr>
          <w:rFonts w:ascii="Cambria Math" w:hAnsi="Cambria Math" w:cs="Cambria Math" w:hint="cs"/>
          <w:rtl/>
        </w:rPr>
        <w:t xml:space="preserve"> </w:t>
      </w:r>
      <w:r w:rsidR="00C32071" w:rsidRPr="00C32071">
        <w:rPr>
          <w:rFonts w:hint="cs"/>
          <w:rtl/>
        </w:rPr>
        <w:t>متساويتين</w:t>
      </w:r>
      <w:r w:rsidR="00C32071">
        <w:rPr>
          <w:rFonts w:ascii="Cambria Math" w:hAnsi="Cambria Math" w:cs="Times New Roman" w:hint="cs"/>
          <w:rtl/>
        </w:rPr>
        <w:t xml:space="preserve"> </w:t>
      </w:r>
      <w:r w:rsidR="00C32071" w:rsidRPr="00C32071">
        <w:rPr>
          <w:rFonts w:hint="cs"/>
          <w:rtl/>
        </w:rPr>
        <w:t xml:space="preserve">في أيٍّ من الحالات </w:t>
      </w:r>
      <w:r w:rsidR="00A34147">
        <w:rPr>
          <w:rFonts w:hint="cs"/>
          <w:rtl/>
        </w:rPr>
        <w:t xml:space="preserve">المعروضة في الوثيقة </w:t>
      </w:r>
      <w:r w:rsidR="00A34147" w:rsidRPr="004450EB">
        <w:rPr>
          <w:rFonts w:eastAsia="SimSun"/>
        </w:rPr>
        <w:t>61</w:t>
      </w:r>
      <w:r w:rsidR="00A34147" w:rsidRPr="004228C0">
        <w:rPr>
          <w:rFonts w:eastAsia="SimSun" w:hint="cs"/>
          <w:b/>
          <w:bCs/>
          <w:rtl/>
          <w:lang w:bidi="ar-EG"/>
        </w:rPr>
        <w:t xml:space="preserve"> </w:t>
      </w:r>
      <w:r w:rsidR="00A34147" w:rsidRPr="00026290">
        <w:rPr>
          <w:rFonts w:eastAsia="SimSun" w:hint="cs"/>
          <w:rtl/>
          <w:lang w:bidi="ar-EG"/>
        </w:rPr>
        <w:t xml:space="preserve">(الإضافة </w:t>
      </w:r>
      <w:r w:rsidR="00A34147" w:rsidRPr="004450EB">
        <w:rPr>
          <w:rFonts w:eastAsia="SimSun"/>
          <w:lang w:bidi="ar-EG"/>
        </w:rPr>
        <w:t>5</w:t>
      </w:r>
      <w:r w:rsidR="00A34147" w:rsidRPr="00026290">
        <w:rPr>
          <w:rFonts w:eastAsia="SimSun" w:hint="cs"/>
          <w:rtl/>
          <w:lang w:bidi="ar-EG"/>
        </w:rPr>
        <w:t>)</w:t>
      </w:r>
      <w:r w:rsidR="00A34147">
        <w:rPr>
          <w:rFonts w:eastAsia="SimSun" w:hint="cs"/>
          <w:rtl/>
          <w:lang w:bidi="ar-EG"/>
        </w:rPr>
        <w:t xml:space="preserve">. </w:t>
      </w:r>
      <w:r w:rsidR="004A2CA1">
        <w:rPr>
          <w:rFonts w:eastAsia="SimSun" w:hint="cs"/>
          <w:rtl/>
          <w:lang w:bidi="ar-EG"/>
        </w:rPr>
        <w:t>وفي</w:t>
      </w:r>
      <w:r w:rsidR="00474368">
        <w:rPr>
          <w:rFonts w:eastAsia="SimSun" w:hint="cs"/>
          <w:rtl/>
          <w:lang w:bidi="ar-EG"/>
        </w:rPr>
        <w:t xml:space="preserve"> </w:t>
      </w:r>
      <w:r w:rsidR="00A34147">
        <w:rPr>
          <w:rFonts w:eastAsia="SimSun" w:hint="cs"/>
          <w:rtl/>
          <w:lang w:bidi="ar-EG"/>
        </w:rPr>
        <w:t xml:space="preserve">المعادلة المستخدمة في الشكل </w:t>
      </w:r>
      <w:r w:rsidR="00A34147" w:rsidRPr="004450EB">
        <w:rPr>
          <w:rFonts w:eastAsia="SimSun"/>
          <w:lang w:bidi="ar-EG"/>
        </w:rPr>
        <w:t>1</w:t>
      </w:r>
      <w:r w:rsidR="00A34147">
        <w:rPr>
          <w:rFonts w:eastAsia="SimSun" w:hint="cs"/>
          <w:rtl/>
          <w:lang w:bidi="ar-EG"/>
        </w:rPr>
        <w:t xml:space="preserve"> من</w:t>
      </w:r>
      <w:r w:rsidR="00A34147" w:rsidRPr="00A34147">
        <w:rPr>
          <w:rFonts w:hint="cs"/>
          <w:rtl/>
        </w:rPr>
        <w:t xml:space="preserve"> </w:t>
      </w:r>
      <w:r w:rsidR="00A34147">
        <w:rPr>
          <w:rFonts w:hint="cs"/>
          <w:rtl/>
        </w:rPr>
        <w:t xml:space="preserve">الوثيقة </w:t>
      </w:r>
      <w:r w:rsidR="00A34147" w:rsidRPr="004450EB">
        <w:rPr>
          <w:rFonts w:eastAsia="SimSun"/>
        </w:rPr>
        <w:t>61</w:t>
      </w:r>
      <w:r w:rsidR="00A34147" w:rsidRPr="004228C0">
        <w:rPr>
          <w:rFonts w:eastAsia="SimSun" w:hint="cs"/>
          <w:b/>
          <w:bCs/>
          <w:rtl/>
          <w:lang w:bidi="ar-EG"/>
        </w:rPr>
        <w:t xml:space="preserve"> </w:t>
      </w:r>
      <w:r w:rsidR="00A34147" w:rsidRPr="00026290">
        <w:rPr>
          <w:rFonts w:eastAsia="SimSun" w:hint="cs"/>
          <w:rtl/>
          <w:lang w:bidi="ar-EG"/>
        </w:rPr>
        <w:t xml:space="preserve">(الإضافة </w:t>
      </w:r>
      <w:r w:rsidR="00A34147" w:rsidRPr="004450EB">
        <w:rPr>
          <w:rFonts w:eastAsia="SimSun"/>
          <w:lang w:bidi="ar-EG"/>
        </w:rPr>
        <w:t>5</w:t>
      </w:r>
      <w:r w:rsidR="00A34147" w:rsidRPr="00026290">
        <w:rPr>
          <w:rFonts w:eastAsia="SimSun" w:hint="cs"/>
          <w:rtl/>
          <w:lang w:bidi="ar-EG"/>
        </w:rPr>
        <w:t>)</w:t>
      </w:r>
      <w:r w:rsidR="004A2CA1">
        <w:rPr>
          <w:rFonts w:eastAsia="SimSun" w:hint="cs"/>
          <w:rtl/>
          <w:lang w:bidi="ar-EG"/>
        </w:rPr>
        <w:t xml:space="preserve">، يُفترض </w:t>
      </w:r>
      <w:r w:rsidR="00474368">
        <w:rPr>
          <w:rFonts w:eastAsia="SimSun" w:hint="cs"/>
          <w:rtl/>
          <w:lang w:bidi="ar-EG"/>
        </w:rPr>
        <w:t xml:space="preserve">أن زاوية الوصول لكثافة تدفق القدرة </w:t>
      </w:r>
      <w:r w:rsidR="00EA5BA8">
        <w:rPr>
          <w:rFonts w:eastAsia="SimSun" w:hint="cs"/>
          <w:rtl/>
          <w:lang w:bidi="ar-EG"/>
        </w:rPr>
        <w:t xml:space="preserve">على سطح الأرض من المحطة الأرضية المتحركة للطيران </w:t>
      </w:r>
      <w:r w:rsidR="004A2CA1">
        <w:rPr>
          <w:rFonts w:eastAsia="SimSun" w:hint="cs"/>
          <w:rtl/>
          <w:lang w:bidi="ar-EG"/>
        </w:rPr>
        <w:t xml:space="preserve">متساوية مع </w:t>
      </w:r>
      <w:r w:rsidR="00EA5BA8">
        <w:rPr>
          <w:rFonts w:eastAsia="SimSun" w:hint="cs"/>
          <w:rtl/>
          <w:lang w:bidi="ar-EG"/>
        </w:rPr>
        <w:t xml:space="preserve">زاوية المغادرة </w:t>
      </w:r>
      <w:r w:rsidR="00262DF6">
        <w:rPr>
          <w:rFonts w:eastAsia="SimSun" w:hint="cs"/>
          <w:rtl/>
          <w:lang w:bidi="ar-EG"/>
        </w:rPr>
        <w:t>تحت المستوى الأفقي من المحطة الأرضية المتحركة للطيران باتجاه سطح الأرض</w:t>
      </w:r>
      <w:r w:rsidR="004A2CA1">
        <w:rPr>
          <w:rFonts w:eastAsia="SimSun" w:hint="cs"/>
          <w:rtl/>
          <w:lang w:bidi="ar-EG"/>
        </w:rPr>
        <w:t>. ولا ينطبق ذلك على المحطات الأرضية المتحركة للطيران</w:t>
      </w:r>
      <w:r w:rsidR="0025063A">
        <w:rPr>
          <w:rFonts w:eastAsia="SimSun" w:hint="cs"/>
          <w:rtl/>
          <w:lang w:bidi="ar-EG"/>
        </w:rPr>
        <w:t>، ويؤدي هذا الافتراض الذي لا أساس له إلى قيمة غير صحيحة ل</w:t>
      </w:r>
      <w:r w:rsidR="00CF282B">
        <w:rPr>
          <w:rFonts w:eastAsia="SimSun" w:hint="cs"/>
          <w:rtl/>
          <w:lang w:bidi="ar-EG"/>
        </w:rPr>
        <w:t xml:space="preserve">لزاويتين </w:t>
      </w:r>
      <w:r w:rsidR="00CF282B" w:rsidRPr="003E7148">
        <w:rPr>
          <w:rFonts w:ascii="Cambria Math" w:eastAsia="SimSun" w:hAnsi="Cambria Math" w:cs="Cambria Math"/>
          <w:lang w:bidi="ar-EG"/>
        </w:rPr>
        <w:t>𝛾</w:t>
      </w:r>
      <w:r w:rsidR="00CF282B" w:rsidRPr="003E7148">
        <w:rPr>
          <w:rFonts w:eastAsia="SimSun" w:hint="cs"/>
          <w:rtl/>
          <w:lang w:bidi="ar-EG"/>
        </w:rPr>
        <w:t xml:space="preserve"> و</w:t>
      </w:r>
      <w:r w:rsidR="00CF282B" w:rsidRPr="003E7148">
        <w:rPr>
          <w:rFonts w:ascii="Cambria Math" w:eastAsia="SimSun" w:hAnsi="Cambria Math" w:cs="Cambria Math"/>
          <w:lang w:bidi="ar-EG"/>
        </w:rPr>
        <w:t>𝜃</w:t>
      </w:r>
      <w:r w:rsidR="004450EB">
        <w:rPr>
          <w:rFonts w:eastAsia="SimSun" w:hint="cs"/>
          <w:rtl/>
          <w:lang w:bidi="ar-EG"/>
        </w:rPr>
        <w:t xml:space="preserve"> </w:t>
      </w:r>
      <w:r w:rsidR="00CF282B" w:rsidRPr="00CF282B">
        <w:rPr>
          <w:rFonts w:eastAsia="SimSun" w:hint="cs"/>
          <w:rtl/>
          <w:lang w:bidi="ar-EG"/>
        </w:rPr>
        <w:t>(</w:t>
      </w:r>
      <w:r w:rsidR="00CF282B">
        <w:rPr>
          <w:rFonts w:eastAsia="SimSun" w:hint="cs"/>
          <w:rtl/>
          <w:lang w:bidi="ar-EG"/>
        </w:rPr>
        <w:t xml:space="preserve">ترد </w:t>
      </w:r>
      <w:r w:rsidR="00CF282B" w:rsidRPr="003E7148">
        <w:rPr>
          <w:rFonts w:ascii="Cambria Math" w:eastAsia="SimSun" w:hAnsi="Cambria Math" w:cs="Cambria Math"/>
          <w:lang w:bidi="ar-EG"/>
        </w:rPr>
        <w:t>𝜃</w:t>
      </w:r>
      <w:r w:rsidR="00CF282B" w:rsidRPr="003E7148">
        <w:rPr>
          <w:rFonts w:eastAsia="SimSun" w:hint="cs"/>
          <w:rtl/>
          <w:lang w:bidi="ar-EG"/>
        </w:rPr>
        <w:t xml:space="preserve"> </w:t>
      </w:r>
      <w:r w:rsidR="003E7148">
        <w:rPr>
          <w:rFonts w:eastAsia="SimSun" w:hint="cs"/>
          <w:rtl/>
          <w:lang w:bidi="ar-EG"/>
        </w:rPr>
        <w:t>بالرمز</w:t>
      </w:r>
      <w:r w:rsidR="00CF282B" w:rsidRPr="003E7148">
        <w:rPr>
          <w:rFonts w:eastAsia="SimSun" w:hint="cs"/>
          <w:rtl/>
          <w:lang w:bidi="ar-EG"/>
        </w:rPr>
        <w:t xml:space="preserve"> </w:t>
      </w:r>
      <w:r w:rsidR="00CF282B" w:rsidRPr="003E7148">
        <w:rPr>
          <w:rFonts w:ascii="Cambria Math" w:eastAsia="SimSun" w:hAnsi="Cambria Math" w:cs="Cambria Math"/>
          <w:lang w:bidi="ar-EG"/>
        </w:rPr>
        <w:t>𝛿</w:t>
      </w:r>
      <w:r w:rsidR="00CF282B" w:rsidRPr="003E7148">
        <w:rPr>
          <w:rFonts w:eastAsia="SimSun" w:hint="cs"/>
          <w:rtl/>
          <w:lang w:bidi="ar-EG"/>
        </w:rPr>
        <w:t xml:space="preserve"> في </w:t>
      </w:r>
      <w:r w:rsidR="003E7148">
        <w:rPr>
          <w:rFonts w:eastAsia="SimSun" w:hint="cs"/>
          <w:rtl/>
          <w:lang w:bidi="ar-EG"/>
        </w:rPr>
        <w:t xml:space="preserve">الشكل </w:t>
      </w:r>
      <w:r w:rsidR="003E7148" w:rsidRPr="004450EB">
        <w:rPr>
          <w:rFonts w:eastAsia="SimSun"/>
          <w:lang w:bidi="ar-EG"/>
        </w:rPr>
        <w:t>1</w:t>
      </w:r>
      <w:r w:rsidR="003E7148">
        <w:rPr>
          <w:rFonts w:eastAsia="SimSun" w:hint="cs"/>
          <w:rtl/>
          <w:lang w:bidi="ar-EG"/>
        </w:rPr>
        <w:t xml:space="preserve"> من</w:t>
      </w:r>
      <w:r w:rsidR="003E7148" w:rsidRPr="003E7148">
        <w:rPr>
          <w:rFonts w:eastAsia="SimSun" w:hint="cs"/>
          <w:rtl/>
          <w:lang w:bidi="ar-EG"/>
        </w:rPr>
        <w:t xml:space="preserve"> الوثيقة </w:t>
      </w:r>
      <w:r w:rsidR="003E7148" w:rsidRPr="004450EB">
        <w:rPr>
          <w:rFonts w:eastAsia="SimSun"/>
          <w:lang w:bidi="ar-EG"/>
        </w:rPr>
        <w:t>61</w:t>
      </w:r>
      <w:r w:rsidR="003E7148" w:rsidRPr="003E7148">
        <w:rPr>
          <w:rFonts w:eastAsia="SimSun" w:hint="cs"/>
          <w:rtl/>
          <w:lang w:bidi="ar-EG"/>
        </w:rPr>
        <w:t xml:space="preserve"> </w:t>
      </w:r>
      <w:r w:rsidR="003E7148" w:rsidRPr="00026290">
        <w:rPr>
          <w:rFonts w:eastAsia="SimSun" w:hint="cs"/>
          <w:rtl/>
          <w:lang w:bidi="ar-EG"/>
        </w:rPr>
        <w:t xml:space="preserve">(الإضافة </w:t>
      </w:r>
      <w:r w:rsidR="003E7148" w:rsidRPr="004450EB">
        <w:rPr>
          <w:rFonts w:eastAsia="SimSun"/>
          <w:lang w:bidi="ar-EG"/>
        </w:rPr>
        <w:t>5</w:t>
      </w:r>
      <w:r w:rsidR="003E7148" w:rsidRPr="00026290">
        <w:rPr>
          <w:rFonts w:eastAsia="SimSun" w:hint="cs"/>
          <w:rtl/>
          <w:lang w:bidi="ar-EG"/>
        </w:rPr>
        <w:t>)</w:t>
      </w:r>
      <w:r w:rsidR="00CF282B" w:rsidRPr="00CF282B">
        <w:rPr>
          <w:rFonts w:eastAsia="SimSun" w:hint="cs"/>
          <w:rtl/>
          <w:lang w:bidi="ar-EG"/>
        </w:rPr>
        <w:t>)</w:t>
      </w:r>
      <w:r w:rsidR="003E7148">
        <w:rPr>
          <w:rFonts w:eastAsia="SimSun" w:hint="cs"/>
          <w:rtl/>
          <w:lang w:bidi="ar-EG"/>
        </w:rPr>
        <w:t xml:space="preserve">. ونتيجة لذلك، </w:t>
      </w:r>
      <w:r w:rsidR="004B6797">
        <w:rPr>
          <w:rFonts w:eastAsia="SimSun" w:hint="cs"/>
          <w:rtl/>
          <w:lang w:bidi="ar-EG"/>
        </w:rPr>
        <w:t>بالغت</w:t>
      </w:r>
      <w:r w:rsidR="003E7148">
        <w:rPr>
          <w:rFonts w:eastAsia="SimSun" w:hint="cs"/>
          <w:rtl/>
          <w:lang w:bidi="ar-EG"/>
        </w:rPr>
        <w:t xml:space="preserve"> </w:t>
      </w:r>
      <w:r w:rsidR="00B1088E">
        <w:rPr>
          <w:rFonts w:eastAsia="SimSun" w:hint="cs"/>
          <w:rtl/>
          <w:lang w:bidi="ar-EG"/>
        </w:rPr>
        <w:t xml:space="preserve">الوثيقة </w:t>
      </w:r>
      <w:r w:rsidR="00B1088E" w:rsidRPr="004450EB">
        <w:rPr>
          <w:rFonts w:eastAsia="SimSun"/>
        </w:rPr>
        <w:t>61</w:t>
      </w:r>
      <w:r w:rsidR="00B1088E" w:rsidRPr="004228C0">
        <w:rPr>
          <w:rFonts w:eastAsia="SimSun" w:hint="cs"/>
          <w:b/>
          <w:bCs/>
          <w:rtl/>
          <w:lang w:bidi="ar-EG"/>
        </w:rPr>
        <w:t xml:space="preserve"> </w:t>
      </w:r>
      <w:r w:rsidR="00B1088E" w:rsidRPr="00026290">
        <w:rPr>
          <w:rFonts w:eastAsia="SimSun" w:hint="cs"/>
          <w:rtl/>
          <w:lang w:bidi="ar-EG"/>
        </w:rPr>
        <w:t xml:space="preserve">(الإضافة </w:t>
      </w:r>
      <w:r w:rsidR="00B1088E" w:rsidRPr="004450EB">
        <w:rPr>
          <w:rFonts w:eastAsia="SimSun"/>
          <w:lang w:bidi="ar-EG"/>
        </w:rPr>
        <w:t>5</w:t>
      </w:r>
      <w:r w:rsidR="00B1088E" w:rsidRPr="00026290">
        <w:rPr>
          <w:rFonts w:eastAsia="SimSun" w:hint="cs"/>
          <w:rtl/>
          <w:lang w:bidi="ar-EG"/>
        </w:rPr>
        <w:t>)</w:t>
      </w:r>
      <w:r w:rsidR="00B1088E">
        <w:rPr>
          <w:rFonts w:eastAsia="SimSun" w:hint="cs"/>
          <w:rtl/>
          <w:lang w:bidi="ar-EG"/>
        </w:rPr>
        <w:t xml:space="preserve"> </w:t>
      </w:r>
      <w:r w:rsidR="004B6797">
        <w:rPr>
          <w:rFonts w:eastAsia="SimSun" w:hint="cs"/>
          <w:rtl/>
          <w:lang w:bidi="ar-EG"/>
        </w:rPr>
        <w:t xml:space="preserve">في حساب </w:t>
      </w:r>
      <w:r w:rsidR="00B1088E">
        <w:rPr>
          <w:rFonts w:eastAsia="SimSun" w:hint="cs"/>
          <w:rtl/>
          <w:lang w:bidi="ar-EG"/>
        </w:rPr>
        <w:t xml:space="preserve">قيمة كثافة القدرة المشعة المكافئة </w:t>
      </w:r>
      <w:proofErr w:type="spellStart"/>
      <w:r w:rsidR="00B1088E">
        <w:rPr>
          <w:rFonts w:eastAsia="SimSun" w:hint="cs"/>
          <w:rtl/>
          <w:lang w:bidi="ar-EG"/>
        </w:rPr>
        <w:t>المتناحية</w:t>
      </w:r>
      <w:proofErr w:type="spellEnd"/>
      <w:r w:rsidR="00B1088E">
        <w:rPr>
          <w:rFonts w:eastAsia="SimSun" w:hint="cs"/>
          <w:rtl/>
          <w:lang w:bidi="ar-EG"/>
        </w:rPr>
        <w:t xml:space="preserve"> بحوالي عُشر </w:t>
      </w:r>
      <w:r w:rsidR="004B6797">
        <w:rPr>
          <w:rFonts w:eastAsia="SimSun" w:hint="cs"/>
          <w:rtl/>
          <w:lang w:bidi="ar-EG"/>
        </w:rPr>
        <w:t xml:space="preserve">ديسيبل </w:t>
      </w:r>
      <w:r w:rsidR="004B6797">
        <w:rPr>
          <w:rFonts w:eastAsia="SimSun"/>
          <w:lang w:bidi="ar-EG"/>
        </w:rPr>
        <w:t>(</w:t>
      </w:r>
      <w:r w:rsidR="004B6797" w:rsidRPr="00555590">
        <w:t>dB</w:t>
      </w:r>
      <w:r w:rsidR="004B6797">
        <w:rPr>
          <w:rFonts w:eastAsia="SimSun"/>
          <w:lang w:bidi="ar-EG"/>
        </w:rPr>
        <w:t>)</w:t>
      </w:r>
      <w:r w:rsidR="004B6797">
        <w:rPr>
          <w:rFonts w:eastAsia="SimSun" w:hint="cs"/>
          <w:rtl/>
          <w:lang w:bidi="ar-EG"/>
        </w:rPr>
        <w:t xml:space="preserve">. وبما أن قيمة زاوية الوصول محسوبة </w:t>
      </w:r>
      <w:r w:rsidR="00672F40">
        <w:rPr>
          <w:rFonts w:eastAsia="SimSun" w:hint="cs"/>
          <w:rtl/>
          <w:lang w:bidi="ar-EG"/>
        </w:rPr>
        <w:t xml:space="preserve">بطريقة خاطئة، فإن ذلك يؤدي أيضاً إلى </w:t>
      </w:r>
      <w:r w:rsidR="00B17879">
        <w:rPr>
          <w:rFonts w:eastAsia="SimSun" w:hint="cs"/>
          <w:rtl/>
          <w:lang w:bidi="ar-EG"/>
        </w:rPr>
        <w:t xml:space="preserve">الخطأ في </w:t>
      </w:r>
      <w:r w:rsidR="00C06C3D">
        <w:rPr>
          <w:rFonts w:eastAsia="SimSun" w:hint="cs"/>
          <w:rtl/>
          <w:lang w:bidi="ar-EG"/>
        </w:rPr>
        <w:t xml:space="preserve">حساب حد كثافة تدفق القدرة </w:t>
      </w:r>
      <w:r w:rsidR="00B17879">
        <w:rPr>
          <w:rFonts w:eastAsia="SimSun" w:hint="cs"/>
          <w:rtl/>
          <w:lang w:bidi="ar-EG"/>
        </w:rPr>
        <w:t>المطبق في</w:t>
      </w:r>
      <w:r w:rsidR="004450EB">
        <w:rPr>
          <w:rFonts w:eastAsia="SimSun" w:hint="eastAsia"/>
          <w:rtl/>
          <w:lang w:bidi="ar-EG"/>
        </w:rPr>
        <w:t> </w:t>
      </w:r>
      <w:r w:rsidR="00B17879">
        <w:rPr>
          <w:rFonts w:eastAsia="SimSun" w:hint="cs"/>
          <w:rtl/>
          <w:lang w:bidi="ar-EG"/>
        </w:rPr>
        <w:t xml:space="preserve">الخيار </w:t>
      </w:r>
      <w:r w:rsidR="00B17879" w:rsidRPr="004450EB">
        <w:rPr>
          <w:rFonts w:eastAsia="SimSun"/>
          <w:lang w:bidi="ar-EG"/>
        </w:rPr>
        <w:t>2</w:t>
      </w:r>
      <w:r w:rsidR="00B17879">
        <w:rPr>
          <w:rFonts w:eastAsia="SimSun" w:hint="cs"/>
          <w:rtl/>
          <w:lang w:bidi="ar-EG"/>
        </w:rPr>
        <w:t xml:space="preserve"> </w:t>
      </w:r>
      <w:r w:rsidR="00003F6F">
        <w:rPr>
          <w:rFonts w:eastAsia="SimSun" w:hint="cs"/>
          <w:rtl/>
          <w:lang w:bidi="ar-EG"/>
        </w:rPr>
        <w:t xml:space="preserve">كقيمة ثابتة بمقدار </w:t>
      </w:r>
      <w:r w:rsidR="00003F6F" w:rsidRPr="004450EB">
        <w:rPr>
          <w:rFonts w:eastAsia="SimSun"/>
          <w:lang w:bidi="ar-EG"/>
        </w:rPr>
        <w:t>118</w:t>
      </w:r>
      <w:r w:rsidR="00003F6F">
        <w:rPr>
          <w:rFonts w:eastAsia="SimSun"/>
          <w:lang w:bidi="ar-EG"/>
        </w:rPr>
        <w:t>,</w:t>
      </w:r>
      <w:r w:rsidR="00003F6F" w:rsidRPr="004450EB">
        <w:rPr>
          <w:rFonts w:eastAsia="SimSun"/>
          <w:lang w:bidi="ar-EG"/>
        </w:rPr>
        <w:t>1</w:t>
      </w:r>
      <w:r w:rsidR="00DC6A7A">
        <w:rPr>
          <w:rFonts w:ascii="Traditional Arabic" w:eastAsia="SimSun" w:hAnsi="Traditional Arabic"/>
          <w:lang w:bidi="ar-EG"/>
        </w:rPr>
        <w:t>-</w:t>
      </w:r>
      <w:r w:rsidR="00003F6F">
        <w:rPr>
          <w:rFonts w:eastAsia="SimSun" w:hint="cs"/>
          <w:rtl/>
          <w:lang w:bidi="ar-EG"/>
        </w:rPr>
        <w:t xml:space="preserve"> </w:t>
      </w:r>
      <w:r w:rsidR="00003F6F" w:rsidRPr="00555590">
        <w:t>dB(W/(m</w:t>
      </w:r>
      <w:r w:rsidR="00003F6F" w:rsidRPr="004450EB">
        <w:rPr>
          <w:vertAlign w:val="superscript"/>
        </w:rPr>
        <w:t>2</w:t>
      </w:r>
      <w:r w:rsidR="00003F6F" w:rsidRPr="00555590">
        <w:t>*MHz))</w:t>
      </w:r>
      <w:r w:rsidR="00003F6F">
        <w:rPr>
          <w:rFonts w:hint="cs"/>
          <w:rtl/>
        </w:rPr>
        <w:t xml:space="preserve"> لكل تبديل، في حين </w:t>
      </w:r>
      <w:r w:rsidR="00D10BAF">
        <w:rPr>
          <w:rFonts w:hint="cs"/>
          <w:rtl/>
        </w:rPr>
        <w:t xml:space="preserve">تتغير قيمة الحد الفعلي المحسوب لكثافة تدفق القدرة في الخيار </w:t>
      </w:r>
      <w:r w:rsidR="00D10BAF" w:rsidRPr="004450EB">
        <w:t>2</w:t>
      </w:r>
      <w:r w:rsidR="00D10BAF">
        <w:rPr>
          <w:rFonts w:hint="cs"/>
          <w:rtl/>
          <w:lang w:bidi="ar-EG"/>
        </w:rPr>
        <w:t xml:space="preserve"> بين </w:t>
      </w:r>
      <w:r w:rsidR="00D10BAF" w:rsidRPr="004450EB">
        <w:rPr>
          <w:lang w:bidi="ar-EG"/>
        </w:rPr>
        <w:t>118</w:t>
      </w:r>
      <w:r w:rsidR="00D10BAF">
        <w:rPr>
          <w:lang w:bidi="ar-EG"/>
        </w:rPr>
        <w:t>,</w:t>
      </w:r>
      <w:r w:rsidR="00D10BAF" w:rsidRPr="004450EB">
        <w:rPr>
          <w:lang w:bidi="ar-EG"/>
        </w:rPr>
        <w:t>8</w:t>
      </w:r>
      <w:r w:rsidR="00DC6A7A">
        <w:rPr>
          <w:rFonts w:ascii="Traditional Arabic" w:eastAsia="SimSun" w:hAnsi="Traditional Arabic"/>
          <w:lang w:bidi="ar-EG"/>
        </w:rPr>
        <w:t>-</w:t>
      </w:r>
      <w:r w:rsidR="00D10BAF">
        <w:rPr>
          <w:rFonts w:hint="cs"/>
          <w:rtl/>
          <w:lang w:bidi="ar-EG"/>
        </w:rPr>
        <w:t xml:space="preserve"> و</w:t>
      </w:r>
      <w:r w:rsidR="00D10BAF" w:rsidRPr="004450EB">
        <w:rPr>
          <w:lang w:bidi="ar-EG"/>
        </w:rPr>
        <w:t>118</w:t>
      </w:r>
      <w:r w:rsidR="00D10BAF">
        <w:rPr>
          <w:lang w:bidi="ar-EG"/>
        </w:rPr>
        <w:t>,</w:t>
      </w:r>
      <w:r w:rsidR="00D10BAF" w:rsidRPr="004450EB">
        <w:rPr>
          <w:lang w:bidi="ar-EG"/>
        </w:rPr>
        <w:t>3</w:t>
      </w:r>
      <w:r w:rsidR="00DC6A7A">
        <w:rPr>
          <w:rFonts w:ascii="Traditional Arabic" w:eastAsia="SimSun" w:hAnsi="Traditional Arabic"/>
          <w:lang w:bidi="ar-EG"/>
        </w:rPr>
        <w:t>-</w:t>
      </w:r>
      <w:r w:rsidR="00D10BAF">
        <w:rPr>
          <w:rFonts w:hint="cs"/>
          <w:rtl/>
          <w:lang w:bidi="ar-EG"/>
        </w:rPr>
        <w:t xml:space="preserve"> </w:t>
      </w:r>
      <w:r w:rsidR="00D10BAF" w:rsidRPr="00555590">
        <w:t>dB(W/(m</w:t>
      </w:r>
      <w:r w:rsidR="00D10BAF" w:rsidRPr="004450EB">
        <w:rPr>
          <w:vertAlign w:val="superscript"/>
        </w:rPr>
        <w:t>2</w:t>
      </w:r>
      <w:r w:rsidR="00D10BAF" w:rsidRPr="00555590">
        <w:t>*MHz)</w:t>
      </w:r>
      <w:proofErr w:type="gramStart"/>
      <w:r w:rsidR="00D10BAF" w:rsidRPr="00555590">
        <w:t xml:space="preserve">) </w:t>
      </w:r>
      <w:r w:rsidR="00D10BAF">
        <w:rPr>
          <w:rFonts w:hint="cs"/>
          <w:rtl/>
        </w:rPr>
        <w:t>.</w:t>
      </w:r>
      <w:proofErr w:type="gramEnd"/>
      <w:r w:rsidR="00D10BAF">
        <w:rPr>
          <w:rFonts w:hint="cs"/>
          <w:rtl/>
        </w:rPr>
        <w:t xml:space="preserve"> </w:t>
      </w:r>
      <w:r w:rsidR="0078282A">
        <w:rPr>
          <w:rFonts w:eastAsia="SimSun" w:hint="cs"/>
          <w:rtl/>
          <w:lang w:bidi="ar-EG"/>
        </w:rPr>
        <w:t xml:space="preserve">وتتراوح الاختلافات بين </w:t>
      </w:r>
      <w:r w:rsidR="0078282A" w:rsidRPr="004450EB">
        <w:rPr>
          <w:rFonts w:eastAsia="SimSun"/>
          <w:lang w:bidi="ar-EG"/>
        </w:rPr>
        <w:t>0</w:t>
      </w:r>
      <w:r w:rsidR="0078282A">
        <w:rPr>
          <w:rFonts w:eastAsia="SimSun"/>
          <w:lang w:bidi="ar-EG"/>
        </w:rPr>
        <w:t>,</w:t>
      </w:r>
      <w:r w:rsidR="0078282A" w:rsidRPr="004450EB">
        <w:rPr>
          <w:rFonts w:eastAsia="SimSun"/>
          <w:lang w:bidi="ar-EG"/>
        </w:rPr>
        <w:t>7</w:t>
      </w:r>
      <w:r w:rsidR="00DC6A7A">
        <w:rPr>
          <w:rFonts w:ascii="Traditional Arabic" w:eastAsia="SimSun" w:hAnsi="Traditional Arabic"/>
          <w:lang w:bidi="ar-EG"/>
        </w:rPr>
        <w:t>-</w:t>
      </w:r>
      <w:r w:rsidR="0078282A">
        <w:rPr>
          <w:rFonts w:eastAsia="SimSun" w:hint="cs"/>
          <w:rtl/>
          <w:lang w:bidi="ar-EG"/>
        </w:rPr>
        <w:t xml:space="preserve"> </w:t>
      </w:r>
      <w:r w:rsidR="00A67927">
        <w:rPr>
          <w:rFonts w:eastAsia="SimSun" w:hint="cs"/>
          <w:rtl/>
          <w:lang w:bidi="ar-EG"/>
        </w:rPr>
        <w:t>و</w:t>
      </w:r>
      <w:r w:rsidR="00A67927" w:rsidRPr="004450EB">
        <w:rPr>
          <w:rFonts w:eastAsia="SimSun"/>
          <w:lang w:bidi="ar-EG"/>
        </w:rPr>
        <w:t>0</w:t>
      </w:r>
      <w:r w:rsidR="00A67927">
        <w:rPr>
          <w:rFonts w:eastAsia="SimSun"/>
          <w:lang w:bidi="ar-EG"/>
        </w:rPr>
        <w:t>,</w:t>
      </w:r>
      <w:r w:rsidR="00A67927" w:rsidRPr="004450EB">
        <w:rPr>
          <w:rFonts w:eastAsia="SimSun"/>
          <w:lang w:bidi="ar-EG"/>
        </w:rPr>
        <w:t>3</w:t>
      </w:r>
      <w:r w:rsidR="00DC6A7A">
        <w:rPr>
          <w:rFonts w:ascii="Traditional Arabic" w:eastAsia="SimSun" w:hAnsi="Traditional Arabic"/>
          <w:lang w:bidi="ar-EG"/>
        </w:rPr>
        <w:t>-</w:t>
      </w:r>
      <w:r w:rsidR="00A67927">
        <w:rPr>
          <w:rFonts w:eastAsia="SimSun" w:hint="cs"/>
          <w:rtl/>
          <w:lang w:bidi="ar-EG"/>
        </w:rPr>
        <w:t xml:space="preserve"> </w:t>
      </w:r>
      <w:r w:rsidR="00A67927" w:rsidRPr="00555590">
        <w:t>dB</w:t>
      </w:r>
      <w:r w:rsidR="00A67927">
        <w:rPr>
          <w:rFonts w:hint="cs"/>
          <w:rtl/>
        </w:rPr>
        <w:t xml:space="preserve"> في هذه الأمثلة، ولكن المنهجية المستخدمة في الوثيقة </w:t>
      </w:r>
      <w:r w:rsidR="00A67927" w:rsidRPr="004450EB">
        <w:rPr>
          <w:rFonts w:eastAsia="SimSun"/>
        </w:rPr>
        <w:t>61</w:t>
      </w:r>
      <w:r w:rsidR="00A67927" w:rsidRPr="004228C0">
        <w:rPr>
          <w:rFonts w:eastAsia="SimSun" w:hint="cs"/>
          <w:b/>
          <w:bCs/>
          <w:rtl/>
          <w:lang w:bidi="ar-EG"/>
        </w:rPr>
        <w:t xml:space="preserve"> </w:t>
      </w:r>
      <w:r w:rsidR="00A67927" w:rsidRPr="00026290">
        <w:rPr>
          <w:rFonts w:eastAsia="SimSun" w:hint="cs"/>
          <w:rtl/>
          <w:lang w:bidi="ar-EG"/>
        </w:rPr>
        <w:t xml:space="preserve">(الإضافة </w:t>
      </w:r>
      <w:r w:rsidR="00A67927" w:rsidRPr="004450EB">
        <w:rPr>
          <w:rFonts w:eastAsia="SimSun"/>
          <w:lang w:bidi="ar-EG"/>
        </w:rPr>
        <w:t>5</w:t>
      </w:r>
      <w:r w:rsidR="00A67927" w:rsidRPr="00026290">
        <w:rPr>
          <w:rFonts w:eastAsia="SimSun" w:hint="cs"/>
          <w:rtl/>
          <w:lang w:bidi="ar-EG"/>
        </w:rPr>
        <w:t>)</w:t>
      </w:r>
      <w:r w:rsidR="00A67927">
        <w:rPr>
          <w:rFonts w:eastAsia="SimSun" w:hint="cs"/>
          <w:rtl/>
          <w:lang w:bidi="ar-EG"/>
        </w:rPr>
        <w:t xml:space="preserve"> يمكن أن تؤدي إلى خطأ أكبر في الحساب </w:t>
      </w:r>
      <w:r w:rsidR="00CD74AD">
        <w:rPr>
          <w:rFonts w:eastAsia="SimSun" w:hint="cs"/>
          <w:rtl/>
          <w:lang w:bidi="ar-EG"/>
        </w:rPr>
        <w:t xml:space="preserve">لتوليفات أخرى من الارتفاع والمسافة غير التوليفات المستخدمة في التوصية </w:t>
      </w:r>
      <w:r w:rsidR="00CD74AD" w:rsidRPr="00555590">
        <w:t>ITU-R M.</w:t>
      </w:r>
      <w:r w:rsidR="00CD74AD" w:rsidRPr="004450EB">
        <w:t>1643</w:t>
      </w:r>
      <w:r w:rsidR="00CD74AD">
        <w:rPr>
          <w:rFonts w:hint="cs"/>
          <w:rtl/>
        </w:rPr>
        <w:t>.</w:t>
      </w:r>
    </w:p>
    <w:p w14:paraId="13D55453" w14:textId="28E0BBB0" w:rsidR="00C317E5" w:rsidRPr="00C32071" w:rsidRDefault="00FC4E03" w:rsidP="00C317E5">
      <w:pPr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Pr="00FC4E03">
        <w:rPr>
          <w:rtl/>
          <w:lang w:bidi="ar-EG"/>
        </w:rPr>
        <w:t xml:space="preserve">بدءاً من الافتراضات الأولية الواردة في الوثيقة </w:t>
      </w:r>
      <w:r w:rsidRPr="004450EB">
        <w:rPr>
          <w:rFonts w:eastAsia="SimSun"/>
        </w:rPr>
        <w:t>61</w:t>
      </w:r>
      <w:r w:rsidRPr="004228C0">
        <w:rPr>
          <w:rFonts w:eastAsia="SimSun" w:hint="cs"/>
          <w:b/>
          <w:bCs/>
          <w:rtl/>
          <w:lang w:bidi="ar-EG"/>
        </w:rPr>
        <w:t xml:space="preserve"> </w:t>
      </w:r>
      <w:r w:rsidRPr="00026290">
        <w:rPr>
          <w:rFonts w:eastAsia="SimSun" w:hint="cs"/>
          <w:rtl/>
          <w:lang w:bidi="ar-EG"/>
        </w:rPr>
        <w:t xml:space="preserve">(الإضافة </w:t>
      </w:r>
      <w:r w:rsidRPr="004450EB">
        <w:rPr>
          <w:rFonts w:eastAsia="SimSun"/>
          <w:lang w:bidi="ar-EG"/>
        </w:rPr>
        <w:t>5</w:t>
      </w:r>
      <w:r w:rsidRPr="00026290">
        <w:rPr>
          <w:rFonts w:eastAsia="SimSun" w:hint="cs"/>
          <w:rtl/>
          <w:lang w:bidi="ar-EG"/>
        </w:rPr>
        <w:t>)</w:t>
      </w:r>
      <w:r w:rsidRPr="00FC4E03">
        <w:rPr>
          <w:rtl/>
          <w:lang w:bidi="ar-EG"/>
        </w:rPr>
        <w:t xml:space="preserve">، يقدم </w:t>
      </w:r>
      <w:r w:rsidR="00C23E9A">
        <w:rPr>
          <w:rFonts w:hint="cs"/>
          <w:rtl/>
          <w:lang w:bidi="ar-EG"/>
        </w:rPr>
        <w:t>في</w:t>
      </w:r>
      <w:r w:rsidRPr="00FC4E03">
        <w:rPr>
          <w:rtl/>
          <w:lang w:bidi="ar-EG"/>
        </w:rPr>
        <w:t xml:space="preserve">ما يلي تحليل خطوة بخطوة </w:t>
      </w:r>
      <w:r w:rsidR="00C23E9A">
        <w:rPr>
          <w:rFonts w:hint="cs"/>
          <w:rtl/>
          <w:lang w:bidi="ar-EG"/>
        </w:rPr>
        <w:t>لأثر</w:t>
      </w:r>
      <w:r w:rsidRPr="00FC4E03">
        <w:rPr>
          <w:rtl/>
          <w:lang w:bidi="ar-EG"/>
        </w:rPr>
        <w:t xml:space="preserve"> إدراج العوامل الإضافية والتحسينات التي </w:t>
      </w:r>
      <w:r w:rsidR="00C23E9A">
        <w:rPr>
          <w:rFonts w:hint="cs"/>
          <w:rtl/>
          <w:lang w:bidi="ar-EG"/>
        </w:rPr>
        <w:t>نوقشت</w:t>
      </w:r>
      <w:r w:rsidRPr="00FC4E03">
        <w:rPr>
          <w:rtl/>
          <w:lang w:bidi="ar-EG"/>
        </w:rPr>
        <w:t xml:space="preserve"> أعلاه على الامتثال لكل </w:t>
      </w:r>
      <w:r w:rsidR="00FA7F19">
        <w:rPr>
          <w:rFonts w:hint="cs"/>
          <w:rtl/>
          <w:lang w:bidi="ar-EG"/>
        </w:rPr>
        <w:t>قناع لكثافة تدفق القدرة وارد في مقترح لجنة البلدان الأمريكية للاتصالات في</w:t>
      </w:r>
      <w:r w:rsidR="004450EB">
        <w:rPr>
          <w:rFonts w:hint="eastAsia"/>
          <w:rtl/>
          <w:lang w:bidi="ar-EG"/>
        </w:rPr>
        <w:t> </w:t>
      </w:r>
      <w:r w:rsidR="00FA7F19">
        <w:rPr>
          <w:rFonts w:hint="cs"/>
          <w:rtl/>
          <w:lang w:bidi="ar-EG"/>
        </w:rPr>
        <w:t>إطار</w:t>
      </w:r>
      <w:r w:rsidRPr="00FC4E03">
        <w:rPr>
          <w:rtl/>
          <w:lang w:bidi="ar-EG"/>
        </w:rPr>
        <w:t xml:space="preserve"> الخيار</w:t>
      </w:r>
      <w:r w:rsidR="00C61C39">
        <w:rPr>
          <w:rFonts w:hint="cs"/>
          <w:rtl/>
          <w:lang w:bidi="ar-EG"/>
        </w:rPr>
        <w:t xml:space="preserve">ين </w:t>
      </w:r>
      <w:r w:rsidR="00C61C39" w:rsidRPr="004450EB">
        <w:rPr>
          <w:lang w:bidi="ar-EG"/>
        </w:rPr>
        <w:t>1</w:t>
      </w:r>
      <w:r w:rsidR="00C61C39">
        <w:rPr>
          <w:rFonts w:hint="cs"/>
          <w:rtl/>
          <w:lang w:bidi="ar-EG"/>
        </w:rPr>
        <w:t xml:space="preserve"> و</w:t>
      </w:r>
      <w:r w:rsidR="00C61C39" w:rsidRPr="004450EB">
        <w:rPr>
          <w:lang w:bidi="ar-EG"/>
        </w:rPr>
        <w:t>2</w:t>
      </w:r>
      <w:r w:rsidR="00C61C39">
        <w:rPr>
          <w:rFonts w:hint="cs"/>
          <w:rtl/>
          <w:lang w:bidi="ar-EG"/>
        </w:rPr>
        <w:t xml:space="preserve">، </w:t>
      </w:r>
      <w:r w:rsidRPr="00FC4E03">
        <w:rPr>
          <w:rtl/>
          <w:lang w:bidi="ar-EG"/>
        </w:rPr>
        <w:t xml:space="preserve">دون الحاجة إلى </w:t>
      </w:r>
      <w:r w:rsidR="00C61C39">
        <w:rPr>
          <w:rFonts w:hint="cs"/>
          <w:rtl/>
          <w:lang w:bidi="ar-EG"/>
        </w:rPr>
        <w:t xml:space="preserve">تطبيق </w:t>
      </w:r>
      <w:r w:rsidRPr="00FC4E03">
        <w:rPr>
          <w:rtl/>
          <w:lang w:bidi="ar-EG"/>
        </w:rPr>
        <w:t xml:space="preserve">حد </w:t>
      </w:r>
      <w:r w:rsidR="00C61C39">
        <w:rPr>
          <w:rFonts w:hint="cs"/>
          <w:rtl/>
          <w:lang w:bidi="ar-EG"/>
        </w:rPr>
        <w:t>ل</w:t>
      </w:r>
      <w:r w:rsidRPr="00FC4E03">
        <w:rPr>
          <w:rtl/>
          <w:lang w:bidi="ar-EG"/>
        </w:rPr>
        <w:t xml:space="preserve">لارتفاع </w:t>
      </w:r>
      <w:r w:rsidR="00C61C39">
        <w:rPr>
          <w:rFonts w:hint="cs"/>
          <w:rtl/>
          <w:lang w:bidi="ar-EG"/>
        </w:rPr>
        <w:t>أو ل</w:t>
      </w:r>
      <w:r w:rsidRPr="00FC4E03">
        <w:rPr>
          <w:rtl/>
          <w:lang w:bidi="ar-EG"/>
        </w:rPr>
        <w:t>زاوية الارتفاع.</w:t>
      </w:r>
    </w:p>
    <w:p w14:paraId="78C83455" w14:textId="77777777" w:rsidR="00DF38CA" w:rsidRPr="00DF38CA" w:rsidRDefault="00DF38CA" w:rsidP="00DF38CA">
      <w:pPr>
        <w:rPr>
          <w:rFonts w:eastAsia="SimSun"/>
          <w:lang w:val="en-GB"/>
        </w:rPr>
      </w:pPr>
      <w:r w:rsidRPr="00DF38CA">
        <w:rPr>
          <w:rFonts w:eastAsia="SimSun"/>
          <w:lang w:val="en-GB"/>
        </w:rPr>
        <w:t>*  *  *  *  *</w:t>
      </w:r>
    </w:p>
    <w:p w14:paraId="6ADC2A17" w14:textId="645B60F5" w:rsidR="00C317E5" w:rsidRPr="00EB18E9" w:rsidRDefault="00B037D1" w:rsidP="00C317E5">
      <w:pPr>
        <w:rPr>
          <w:rFonts w:eastAsia="SimSun"/>
          <w:rtl/>
          <w:lang w:val="en-GB"/>
        </w:rPr>
      </w:pPr>
      <w:r>
        <w:rPr>
          <w:rFonts w:eastAsia="SimSun" w:hint="cs"/>
          <w:rtl/>
        </w:rPr>
        <w:t>فيما يخص</w:t>
      </w:r>
      <w:r w:rsidR="00EB18E9">
        <w:rPr>
          <w:rFonts w:eastAsia="SimSun" w:hint="cs"/>
          <w:rtl/>
        </w:rPr>
        <w:t xml:space="preserve"> </w:t>
      </w:r>
      <w:r w:rsidR="00DC6A7A">
        <w:rPr>
          <w:rFonts w:eastAsia="SimSun" w:hint="cs"/>
          <w:rtl/>
        </w:rPr>
        <w:t>التبديلات</w:t>
      </w:r>
      <w:r w:rsidR="00EB18E9">
        <w:rPr>
          <w:rFonts w:eastAsia="SimSun" w:hint="cs"/>
          <w:rtl/>
        </w:rPr>
        <w:t xml:space="preserve"> الخمسة للارتفاع والمسافة الواردة في الوثيقة </w:t>
      </w:r>
      <w:r w:rsidR="00EB18E9" w:rsidRPr="004450EB">
        <w:rPr>
          <w:rFonts w:eastAsia="SimSun"/>
        </w:rPr>
        <w:t>61</w:t>
      </w:r>
      <w:r w:rsidR="00EB18E9">
        <w:rPr>
          <w:rFonts w:eastAsia="SimSun" w:hint="cs"/>
          <w:rtl/>
          <w:lang w:val="en-GB"/>
        </w:rPr>
        <w:t xml:space="preserve"> (الإضافة </w:t>
      </w:r>
      <w:r w:rsidR="00EB18E9" w:rsidRPr="004450EB">
        <w:rPr>
          <w:rFonts w:eastAsia="SimSun"/>
        </w:rPr>
        <w:t>5</w:t>
      </w:r>
      <w:r w:rsidR="00EB18E9">
        <w:rPr>
          <w:rFonts w:eastAsia="SimSun" w:hint="cs"/>
          <w:rtl/>
          <w:lang w:val="en-GB"/>
        </w:rPr>
        <w:t xml:space="preserve">)، يقدم الجدول أدناه الخسائر الجوية المحسوبة باستعمال التوصية </w:t>
      </w:r>
      <w:r w:rsidR="00EB18E9">
        <w:rPr>
          <w:rFonts w:eastAsia="SimSun"/>
          <w:lang w:val="en-GB"/>
        </w:rPr>
        <w:t>ITU-R P.</w:t>
      </w:r>
      <w:r w:rsidR="00EB18E9" w:rsidRPr="004450EB">
        <w:rPr>
          <w:rFonts w:eastAsia="SimSun"/>
        </w:rPr>
        <w:t>626</w:t>
      </w:r>
      <w:r w:rsidR="00EB18E9">
        <w:rPr>
          <w:rFonts w:eastAsia="SimSun" w:hint="cs"/>
          <w:rtl/>
          <w:lang w:val="en-GB"/>
        </w:rPr>
        <w:t xml:space="preserve"> فيما </w:t>
      </w:r>
      <w:r>
        <w:rPr>
          <w:rFonts w:eastAsia="SimSun" w:hint="cs"/>
          <w:rtl/>
          <w:lang w:val="en-GB"/>
        </w:rPr>
        <w:t>يتعلق</w:t>
      </w:r>
      <w:r w:rsidR="00EB18E9">
        <w:rPr>
          <w:rFonts w:eastAsia="SimSun" w:hint="cs"/>
          <w:rtl/>
          <w:lang w:val="en-GB"/>
        </w:rPr>
        <w:t xml:space="preserve"> </w:t>
      </w:r>
      <w:r>
        <w:rPr>
          <w:rFonts w:eastAsia="SimSun" w:hint="cs"/>
          <w:rtl/>
          <w:lang w:val="en-GB"/>
        </w:rPr>
        <w:t>ب</w:t>
      </w:r>
      <w:r w:rsidR="00EB18E9">
        <w:rPr>
          <w:rFonts w:eastAsia="SimSun" w:hint="cs"/>
          <w:rtl/>
          <w:lang w:val="en-GB"/>
        </w:rPr>
        <w:t>موقع نمطي في آسيا.</w:t>
      </w:r>
    </w:p>
    <w:p w14:paraId="4EA7D6E7" w14:textId="77777777" w:rsidR="004450EB" w:rsidRDefault="00C317E5" w:rsidP="004450EB">
      <w:pPr>
        <w:pStyle w:val="TableNo"/>
        <w:rPr>
          <w:rFonts w:eastAsia="SimSun"/>
          <w:rtl/>
          <w:lang w:bidi="ar-EG"/>
        </w:rPr>
      </w:pPr>
      <w:r w:rsidRPr="00605B6E">
        <w:rPr>
          <w:rFonts w:eastAsia="SimSun" w:hint="cs"/>
          <w:rtl/>
        </w:rPr>
        <w:t xml:space="preserve">الجدول </w:t>
      </w:r>
      <w:r w:rsidRPr="004450EB">
        <w:rPr>
          <w:rFonts w:eastAsia="SimSun"/>
        </w:rPr>
        <w:t>1</w:t>
      </w:r>
    </w:p>
    <w:p w14:paraId="00CDE0A0" w14:textId="3A469378" w:rsidR="00C317E5" w:rsidRDefault="00EB18E9" w:rsidP="004450EB">
      <w:pPr>
        <w:pStyle w:val="Tabletitle"/>
        <w:rPr>
          <w:rFonts w:eastAsia="SimSun"/>
          <w:rtl/>
          <w:lang w:bidi="ar-EG"/>
        </w:rPr>
      </w:pPr>
      <w:r w:rsidRPr="00605B6E">
        <w:rPr>
          <w:rFonts w:eastAsia="SimSun" w:hint="cs"/>
          <w:rtl/>
          <w:lang w:bidi="ar-EG"/>
        </w:rPr>
        <w:t>الخسائر الجوية المتعلق</w:t>
      </w:r>
      <w:r w:rsidR="00B037D1">
        <w:rPr>
          <w:rFonts w:eastAsia="SimSun" w:hint="cs"/>
          <w:rtl/>
          <w:lang w:bidi="ar-EG"/>
        </w:rPr>
        <w:t>ة</w:t>
      </w:r>
      <w:r w:rsidRPr="00605B6E">
        <w:rPr>
          <w:rFonts w:eastAsia="SimSun" w:hint="cs"/>
          <w:rtl/>
          <w:lang w:bidi="ar-EG"/>
        </w:rPr>
        <w:t xml:space="preserve"> </w:t>
      </w:r>
      <w:r w:rsidR="0007453C" w:rsidRPr="00605B6E">
        <w:rPr>
          <w:rFonts w:eastAsia="SimSun" w:hint="cs"/>
          <w:rtl/>
          <w:lang w:bidi="ar-EG"/>
        </w:rPr>
        <w:t>ب</w:t>
      </w:r>
      <w:r w:rsidR="00DC6A7A">
        <w:rPr>
          <w:rFonts w:eastAsia="SimSun" w:hint="cs"/>
          <w:rtl/>
          <w:lang w:bidi="ar-EG"/>
        </w:rPr>
        <w:t>التبديلات</w:t>
      </w:r>
      <w:r w:rsidRPr="00605B6E">
        <w:rPr>
          <w:rFonts w:eastAsia="SimSun" w:hint="cs"/>
          <w:rtl/>
          <w:lang w:bidi="ar-EG"/>
        </w:rPr>
        <w:t xml:space="preserve"> </w:t>
      </w:r>
      <w:r w:rsidRPr="004450EB">
        <w:rPr>
          <w:rFonts w:eastAsia="SimSun"/>
          <w:lang w:bidi="ar-EG"/>
        </w:rPr>
        <w:t>5</w:t>
      </w:r>
      <w:r w:rsidRPr="00605B6E">
        <w:rPr>
          <w:rFonts w:eastAsia="SimSun"/>
          <w:lang w:val="en-GB" w:bidi="ar-EG"/>
        </w:rPr>
        <w:t>-</w:t>
      </w:r>
      <w:r w:rsidRPr="004450EB">
        <w:rPr>
          <w:rFonts w:eastAsia="SimSun"/>
          <w:lang w:bidi="ar-EG"/>
        </w:rPr>
        <w:t>1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871"/>
        <w:gridCol w:w="1531"/>
        <w:gridCol w:w="1531"/>
        <w:gridCol w:w="1531"/>
        <w:gridCol w:w="1531"/>
        <w:gridCol w:w="1531"/>
      </w:tblGrid>
      <w:tr w:rsidR="004450EB" w14:paraId="311ED048" w14:textId="77777777" w:rsidTr="00E1646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4253" w14:textId="77777777" w:rsidR="004450EB" w:rsidRPr="00E16464" w:rsidRDefault="004450EB" w:rsidP="00E16464">
            <w:pPr>
              <w:rPr>
                <w:lang w:eastAsia="zh-CN" w:bidi="ar-EG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1FF4" w14:textId="7CAE5703" w:rsidR="004450EB" w:rsidRPr="00E16464" w:rsidRDefault="00E16464" w:rsidP="00E16464">
            <w:pPr>
              <w:pStyle w:val="Tablehead"/>
            </w:pPr>
            <w:r w:rsidRPr="00E16464">
              <w:rPr>
                <w:rFonts w:hint="cs"/>
                <w:rtl/>
              </w:rPr>
              <w:t>التبديل-</w:t>
            </w:r>
            <w:r w:rsidR="004450EB" w:rsidRPr="00E16464"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9727" w14:textId="00309717" w:rsidR="004450EB" w:rsidRPr="00E16464" w:rsidRDefault="00E16464" w:rsidP="00E16464">
            <w:pPr>
              <w:pStyle w:val="Tablehead"/>
              <w:rPr>
                <w:lang w:val="en-GB"/>
              </w:rPr>
            </w:pPr>
            <w:r w:rsidRPr="00E16464">
              <w:rPr>
                <w:rFonts w:hint="cs"/>
                <w:rtl/>
              </w:rPr>
              <w:t>التبديل-</w:t>
            </w:r>
            <w:r>
              <w:rPr>
                <w:lang w:val="en-GB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8B66" w14:textId="44089F27" w:rsidR="004450EB" w:rsidRPr="00E16464" w:rsidRDefault="00E16464" w:rsidP="00E16464">
            <w:pPr>
              <w:pStyle w:val="Tablehead"/>
              <w:rPr>
                <w:lang w:val="en-GB"/>
              </w:rPr>
            </w:pPr>
            <w:r w:rsidRPr="00E16464">
              <w:rPr>
                <w:rFonts w:hint="cs"/>
                <w:rtl/>
              </w:rPr>
              <w:t>التبديل-</w:t>
            </w:r>
            <w:r>
              <w:rPr>
                <w:lang w:val="en-GB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8A2E" w14:textId="1E7D35A5" w:rsidR="004450EB" w:rsidRPr="00E16464" w:rsidRDefault="00E16464" w:rsidP="00E16464">
            <w:pPr>
              <w:pStyle w:val="Tablehead"/>
              <w:rPr>
                <w:rtl/>
                <w:lang w:val="en-GB"/>
              </w:rPr>
            </w:pPr>
            <w:r w:rsidRPr="00E16464">
              <w:rPr>
                <w:rFonts w:hint="cs"/>
                <w:rtl/>
              </w:rPr>
              <w:t>التبديل-</w:t>
            </w:r>
            <w:r>
              <w:rPr>
                <w:lang w:val="en-GB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D8CC" w14:textId="73FF31C3" w:rsidR="004450EB" w:rsidRPr="00E16464" w:rsidRDefault="00E16464" w:rsidP="00E16464">
            <w:pPr>
              <w:pStyle w:val="Tablehead"/>
              <w:rPr>
                <w:lang w:val="en-GB"/>
              </w:rPr>
            </w:pPr>
            <w:r w:rsidRPr="00E16464">
              <w:rPr>
                <w:rFonts w:hint="cs"/>
                <w:rtl/>
              </w:rPr>
              <w:t>التبديل-</w:t>
            </w:r>
            <w:r>
              <w:rPr>
                <w:lang w:val="en-GB"/>
              </w:rPr>
              <w:t>5</w:t>
            </w:r>
          </w:p>
        </w:tc>
      </w:tr>
      <w:tr w:rsidR="004450EB" w14:paraId="58643533" w14:textId="77777777" w:rsidTr="00E1646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24E7" w14:textId="4478B01F" w:rsidR="004450EB" w:rsidRPr="00E16464" w:rsidRDefault="00E16464" w:rsidP="00E16464">
            <w:pPr>
              <w:pStyle w:val="Tabletext"/>
            </w:pPr>
            <w:r>
              <w:rPr>
                <w:rFonts w:hint="cs"/>
                <w:rtl/>
              </w:rPr>
              <w:t xml:space="preserve">مسافة </w:t>
            </w:r>
            <w:r w:rsidR="004450EB" w:rsidRPr="00E16464">
              <w:t>(m)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595D" w14:textId="77777777" w:rsidR="004450EB" w:rsidRPr="00E16464" w:rsidRDefault="004450EB" w:rsidP="00E16464">
            <w:pPr>
              <w:pStyle w:val="Tabletext"/>
            </w:pPr>
            <w:r w:rsidRPr="00E16464">
              <w:t>100 000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4A20" w14:textId="77777777" w:rsidR="004450EB" w:rsidRPr="00E16464" w:rsidRDefault="004450EB" w:rsidP="00E16464">
            <w:pPr>
              <w:pStyle w:val="Tabletext"/>
            </w:pPr>
            <w:r w:rsidRPr="00E16464">
              <w:t>68 850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56C3" w14:textId="77777777" w:rsidR="004450EB" w:rsidRPr="00E16464" w:rsidRDefault="004450EB" w:rsidP="00E16464">
            <w:pPr>
              <w:pStyle w:val="Tabletext"/>
            </w:pPr>
            <w:r w:rsidRPr="00E16464">
              <w:t>50 000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45F6" w14:textId="77777777" w:rsidR="004450EB" w:rsidRPr="00E16464" w:rsidRDefault="004450EB" w:rsidP="00E16464">
            <w:pPr>
              <w:pStyle w:val="Tabletext"/>
            </w:pPr>
            <w:r w:rsidRPr="00E16464">
              <w:t>40 000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E761" w14:textId="77777777" w:rsidR="004450EB" w:rsidRPr="00E16464" w:rsidRDefault="004450EB" w:rsidP="00E16464">
            <w:pPr>
              <w:pStyle w:val="Tabletext"/>
            </w:pPr>
            <w:r w:rsidRPr="00E16464">
              <w:t>10 000</w:t>
            </w:r>
          </w:p>
        </w:tc>
      </w:tr>
      <w:tr w:rsidR="004450EB" w14:paraId="6234E877" w14:textId="77777777" w:rsidTr="00E1646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D1E0" w14:textId="549BF8B0" w:rsidR="004450EB" w:rsidRPr="00E16464" w:rsidRDefault="00E16464" w:rsidP="00E16464">
            <w:pPr>
              <w:pStyle w:val="Tabletext"/>
            </w:pPr>
            <w:r>
              <w:rPr>
                <w:rFonts w:hint="cs"/>
                <w:rtl/>
                <w:lang w:bidi="ar-EG"/>
              </w:rPr>
              <w:t xml:space="preserve">ارتفاع </w:t>
            </w:r>
            <w:r w:rsidR="004450EB" w:rsidRPr="00E16464">
              <w:t>(m)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4AE0" w14:textId="77777777" w:rsidR="004450EB" w:rsidRPr="00E16464" w:rsidRDefault="004450EB" w:rsidP="00E16464">
            <w:pPr>
              <w:pStyle w:val="Tabletext"/>
            </w:pPr>
            <w:r w:rsidRPr="00E16464">
              <w:t>8 715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5EAB" w14:textId="77777777" w:rsidR="004450EB" w:rsidRPr="00E16464" w:rsidRDefault="004450EB" w:rsidP="00E16464">
            <w:pPr>
              <w:pStyle w:val="Tabletext"/>
            </w:pPr>
            <w:r w:rsidRPr="00E16464">
              <w:t>6 000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CA85" w14:textId="77777777" w:rsidR="004450EB" w:rsidRPr="00E16464" w:rsidRDefault="004450EB" w:rsidP="00E16464">
            <w:pPr>
              <w:pStyle w:val="Tabletext"/>
            </w:pPr>
            <w:r w:rsidRPr="00E16464">
              <w:t>4 358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28A9" w14:textId="77777777" w:rsidR="004450EB" w:rsidRPr="00E16464" w:rsidRDefault="004450EB" w:rsidP="00E16464">
            <w:pPr>
              <w:pStyle w:val="Tabletext"/>
            </w:pPr>
            <w:r w:rsidRPr="00E16464">
              <w:t>3 486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94CA" w14:textId="77777777" w:rsidR="004450EB" w:rsidRPr="00E16464" w:rsidRDefault="004450EB" w:rsidP="00E16464">
            <w:pPr>
              <w:pStyle w:val="Tabletext"/>
            </w:pPr>
            <w:r w:rsidRPr="00E16464">
              <w:t>872</w:t>
            </w:r>
          </w:p>
        </w:tc>
      </w:tr>
      <w:tr w:rsidR="004450EB" w14:paraId="6C751A96" w14:textId="77777777" w:rsidTr="00E1646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0A54" w14:textId="7B88CB46" w:rsidR="004450EB" w:rsidRPr="00E16464" w:rsidRDefault="00E16464" w:rsidP="00E16464">
            <w:pPr>
              <w:pStyle w:val="Tabletext"/>
            </w:pPr>
            <w:r>
              <w:rPr>
                <w:rFonts w:hint="cs"/>
                <w:rtl/>
              </w:rPr>
              <w:t xml:space="preserve">جوي </w:t>
            </w:r>
            <w:r w:rsidR="004450EB" w:rsidRPr="00E16464">
              <w:t>(dB)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FDF9" w14:textId="1D88E33A" w:rsidR="004450EB" w:rsidRPr="00E16464" w:rsidRDefault="004450EB" w:rsidP="00E16464">
            <w:pPr>
              <w:pStyle w:val="Tabletext"/>
              <w:rPr>
                <w:rtl/>
                <w:lang w:bidi="ar-EG"/>
              </w:rPr>
            </w:pPr>
            <w:r w:rsidRPr="00E16464">
              <w:t>30</w:t>
            </w:r>
            <w:r w:rsidR="00E16464">
              <w:t>,</w:t>
            </w:r>
            <w:r w:rsidRPr="00E16464"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21E8" w14:textId="3EE3F819" w:rsidR="004450EB" w:rsidRPr="00E16464" w:rsidRDefault="004450EB" w:rsidP="00E16464">
            <w:pPr>
              <w:pStyle w:val="Tabletext"/>
              <w:rPr>
                <w:rtl/>
                <w:lang w:bidi="ar-EG"/>
              </w:rPr>
            </w:pPr>
            <w:r w:rsidRPr="00E16464">
              <w:t>20</w:t>
            </w:r>
            <w:r w:rsidR="00E16464">
              <w:t>,</w:t>
            </w:r>
            <w:r w:rsidRPr="00E16464"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A310" w14:textId="1B4DBCE5" w:rsidR="004450EB" w:rsidRPr="00E16464" w:rsidRDefault="004450EB" w:rsidP="00E16464">
            <w:pPr>
              <w:pStyle w:val="Tabletext"/>
              <w:rPr>
                <w:rtl/>
                <w:lang w:bidi="ar-EG"/>
              </w:rPr>
            </w:pPr>
            <w:r w:rsidRPr="00E16464">
              <w:t>15</w:t>
            </w:r>
            <w:r w:rsidR="00E16464">
              <w:t>,</w:t>
            </w:r>
            <w:r w:rsidRPr="00E16464"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784D" w14:textId="106AA1FB" w:rsidR="004450EB" w:rsidRPr="00E16464" w:rsidRDefault="004450EB" w:rsidP="00E16464">
            <w:pPr>
              <w:pStyle w:val="Tabletext"/>
              <w:rPr>
                <w:rtl/>
                <w:lang w:bidi="ar-EG"/>
              </w:rPr>
            </w:pPr>
            <w:r w:rsidRPr="00E16464">
              <w:t>12</w:t>
            </w:r>
            <w:r w:rsidR="00E16464">
              <w:t>,</w:t>
            </w:r>
            <w:r w:rsidRPr="00E16464"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F37E" w14:textId="5E515DBE" w:rsidR="004450EB" w:rsidRPr="00E16464" w:rsidRDefault="004450EB" w:rsidP="00E16464">
            <w:pPr>
              <w:pStyle w:val="Tabletext"/>
            </w:pPr>
            <w:r w:rsidRPr="00E16464">
              <w:t>2</w:t>
            </w:r>
            <w:r w:rsidR="00E16464">
              <w:t>,</w:t>
            </w:r>
            <w:r w:rsidRPr="00E16464">
              <w:t>9</w:t>
            </w:r>
          </w:p>
        </w:tc>
      </w:tr>
    </w:tbl>
    <w:p w14:paraId="36A6DBC5" w14:textId="0EC5E3B1" w:rsidR="00C317E5" w:rsidRPr="0007453C" w:rsidRDefault="0007453C" w:rsidP="00C317E5">
      <w:pPr>
        <w:rPr>
          <w:rFonts w:eastAsia="SimSun"/>
          <w:rtl/>
          <w:lang w:val="en-GB" w:bidi="ar-EG"/>
        </w:rPr>
      </w:pPr>
      <w:r>
        <w:rPr>
          <w:rFonts w:eastAsia="SimSun" w:hint="cs"/>
          <w:rtl/>
        </w:rPr>
        <w:t xml:space="preserve">عند إضافة الخسائر الناجمة عن التوهين والتصويبات الأخرى اللازمة لزاوية الوصول تحت زاوية الأفق، يبين الجدول </w:t>
      </w:r>
      <w:r w:rsidRPr="004450EB">
        <w:rPr>
          <w:rFonts w:eastAsia="SimSun"/>
        </w:rPr>
        <w:t>2</w:t>
      </w:r>
      <w:r>
        <w:rPr>
          <w:rFonts w:eastAsia="SimSun" w:hint="cs"/>
          <w:rtl/>
          <w:lang w:val="en-GB"/>
        </w:rPr>
        <w:t xml:space="preserve"> كثافة تدفق القدرة الناتجة </w:t>
      </w:r>
      <w:r w:rsidR="00605B6E">
        <w:rPr>
          <w:rFonts w:eastAsia="SimSun" w:hint="cs"/>
          <w:rtl/>
          <w:lang w:val="en-GB"/>
        </w:rPr>
        <w:t>فيما يتعلق</w:t>
      </w:r>
      <w:r>
        <w:rPr>
          <w:rFonts w:eastAsia="SimSun" w:hint="cs"/>
          <w:rtl/>
          <w:lang w:val="en-GB"/>
        </w:rPr>
        <w:t xml:space="preserve"> </w:t>
      </w:r>
      <w:r w:rsidR="00605B6E">
        <w:rPr>
          <w:rFonts w:eastAsia="SimSun" w:hint="cs"/>
          <w:rtl/>
          <w:lang w:val="en-GB"/>
        </w:rPr>
        <w:t>ب</w:t>
      </w:r>
      <w:r>
        <w:rPr>
          <w:rFonts w:eastAsia="SimSun" w:hint="cs"/>
          <w:rtl/>
          <w:lang w:val="en-GB"/>
        </w:rPr>
        <w:t xml:space="preserve">زاوية ارتفاع </w:t>
      </w:r>
      <w:r w:rsidR="007F51F7">
        <w:rPr>
          <w:rFonts w:eastAsia="SimSun" w:hint="cs"/>
          <w:rtl/>
          <w:lang w:val="en-GB"/>
        </w:rPr>
        <w:t>تشغيلية</w:t>
      </w:r>
      <w:r w:rsidR="009C3B5E">
        <w:rPr>
          <w:rFonts w:eastAsia="SimSun" w:hint="cs"/>
          <w:rtl/>
          <w:lang w:val="en-GB"/>
        </w:rPr>
        <w:t xml:space="preserve"> </w:t>
      </w:r>
      <w:r>
        <w:rPr>
          <w:rFonts w:eastAsia="SimSun" w:hint="cs"/>
          <w:rtl/>
          <w:lang w:val="en-GB"/>
        </w:rPr>
        <w:t xml:space="preserve">لمحطة </w:t>
      </w:r>
      <w:r>
        <w:rPr>
          <w:rFonts w:eastAsia="SimSun"/>
          <w:lang w:val="en-GB"/>
        </w:rPr>
        <w:t>A-ESIM</w:t>
      </w:r>
      <w:r>
        <w:rPr>
          <w:rFonts w:eastAsia="SimSun" w:hint="cs"/>
          <w:rtl/>
          <w:lang w:val="en-GB"/>
        </w:rPr>
        <w:t xml:space="preserve"> تبلغ </w:t>
      </w:r>
      <w:r w:rsidRPr="004450EB">
        <w:rPr>
          <w:rFonts w:eastAsia="SimSun"/>
        </w:rPr>
        <w:t>20</w:t>
      </w:r>
      <w:r>
        <w:rPr>
          <w:rFonts w:eastAsia="SimSun" w:hint="cs"/>
          <w:rtl/>
          <w:lang w:val="en-GB"/>
        </w:rPr>
        <w:t xml:space="preserve"> درجة لكل من </w:t>
      </w:r>
      <w:r w:rsidR="00DC6A7A">
        <w:rPr>
          <w:rFonts w:eastAsia="SimSun" w:hint="cs"/>
          <w:rtl/>
          <w:lang w:val="en-GB"/>
        </w:rPr>
        <w:t>التبديلات</w:t>
      </w:r>
      <w:r>
        <w:rPr>
          <w:rFonts w:eastAsia="SimSun" w:hint="cs"/>
          <w:rtl/>
          <w:lang w:val="en-GB"/>
        </w:rPr>
        <w:t xml:space="preserve"> الخمسة ويقارن النتائج ب</w:t>
      </w:r>
      <w:r w:rsidR="006E39A8">
        <w:rPr>
          <w:rFonts w:eastAsia="SimSun" w:hint="cs"/>
          <w:rtl/>
          <w:lang w:val="en-GB"/>
        </w:rPr>
        <w:t>أقنعة كثافة تدفق القدرة ل</w:t>
      </w:r>
      <w:r>
        <w:rPr>
          <w:rFonts w:eastAsia="SimSun" w:hint="cs"/>
          <w:rtl/>
          <w:lang w:val="en-GB"/>
        </w:rPr>
        <w:t xml:space="preserve">لخيار </w:t>
      </w:r>
      <w:r w:rsidRPr="004450EB">
        <w:rPr>
          <w:rFonts w:eastAsia="SimSun"/>
        </w:rPr>
        <w:t>1</w:t>
      </w:r>
      <w:r>
        <w:rPr>
          <w:rFonts w:eastAsia="SimSun" w:hint="cs"/>
          <w:rtl/>
          <w:lang w:val="en-GB"/>
        </w:rPr>
        <w:t xml:space="preserve"> والخيار </w:t>
      </w:r>
      <w:r w:rsidRPr="004450EB">
        <w:rPr>
          <w:rFonts w:eastAsia="SimSun"/>
        </w:rPr>
        <w:t>2</w:t>
      </w:r>
      <w:r>
        <w:rPr>
          <w:rFonts w:eastAsia="SimSun" w:hint="cs"/>
          <w:rtl/>
          <w:lang w:val="en-GB"/>
        </w:rPr>
        <w:t xml:space="preserve"> </w:t>
      </w:r>
      <w:r w:rsidR="006E39A8">
        <w:rPr>
          <w:rFonts w:eastAsia="SimSun" w:hint="cs"/>
          <w:rtl/>
          <w:lang w:val="en-GB"/>
        </w:rPr>
        <w:t xml:space="preserve">والمقترح </w:t>
      </w:r>
      <w:r w:rsidR="006E39A8">
        <w:rPr>
          <w:rFonts w:eastAsia="SimSun"/>
          <w:lang w:val="en-GB"/>
        </w:rPr>
        <w:t>CITEL IAP</w:t>
      </w:r>
      <w:r w:rsidR="00E16464">
        <w:rPr>
          <w:rFonts w:eastAsia="SimSun" w:hint="cs"/>
          <w:rtl/>
          <w:lang w:val="en-GB" w:bidi="ar-EG"/>
        </w:rPr>
        <w:t>.</w:t>
      </w:r>
    </w:p>
    <w:p w14:paraId="0857FBF2" w14:textId="504B70EB" w:rsidR="00C317E5" w:rsidRDefault="00C317E5" w:rsidP="00C317E5">
      <w:pPr>
        <w:rPr>
          <w:rFonts w:eastAsia="SimSun"/>
          <w:rtl/>
          <w:lang w:bidi="ar-EG"/>
        </w:rPr>
      </w:pPr>
    </w:p>
    <w:p w14:paraId="4E6C2C94" w14:textId="77777777" w:rsidR="00E16464" w:rsidRDefault="00C317E5" w:rsidP="00E16464">
      <w:pPr>
        <w:pStyle w:val="TableNo"/>
        <w:rPr>
          <w:rFonts w:eastAsia="SimSun"/>
        </w:rPr>
      </w:pPr>
      <w:r w:rsidRPr="00E16464">
        <w:rPr>
          <w:rFonts w:eastAsia="SimSun" w:hint="cs"/>
          <w:rtl/>
        </w:rPr>
        <w:lastRenderedPageBreak/>
        <w:t xml:space="preserve">الجدول </w:t>
      </w:r>
      <w:r w:rsidRPr="00E16464">
        <w:rPr>
          <w:rFonts w:eastAsia="SimSun"/>
        </w:rPr>
        <w:t>2</w:t>
      </w:r>
    </w:p>
    <w:p w14:paraId="187DA54A" w14:textId="09A51669" w:rsidR="00C317E5" w:rsidRDefault="00605B6E" w:rsidP="00E16464">
      <w:pPr>
        <w:pStyle w:val="Tabletitle"/>
        <w:rPr>
          <w:rFonts w:eastAsia="SimSun"/>
          <w:rtl/>
          <w:lang w:bidi="ar-EG"/>
        </w:rPr>
      </w:pPr>
      <w:r w:rsidRPr="00E16464">
        <w:rPr>
          <w:rFonts w:eastAsia="SimSun" w:hint="cs"/>
          <w:rtl/>
          <w:lang w:bidi="ar-EG"/>
        </w:rPr>
        <w:t xml:space="preserve">كثافة تدفق القدرة المراجعة لزاوية ارتفاع لمحطة </w:t>
      </w:r>
      <w:r w:rsidRPr="00E16464">
        <w:rPr>
          <w:rFonts w:eastAsia="SimSun"/>
          <w:lang w:bidi="ar-EG"/>
        </w:rPr>
        <w:t>A-ESIM</w:t>
      </w:r>
      <w:r w:rsidRPr="00E16464">
        <w:rPr>
          <w:rFonts w:eastAsia="SimSun" w:hint="cs"/>
          <w:rtl/>
          <w:lang w:bidi="ar-EG"/>
        </w:rPr>
        <w:t xml:space="preserve"> تبلغ </w:t>
      </w:r>
      <w:r w:rsidRPr="00E16464">
        <w:rPr>
          <w:rFonts w:eastAsia="SimSun"/>
          <w:lang w:bidi="ar-EG"/>
        </w:rPr>
        <w:t>20</w:t>
      </w:r>
      <w:r w:rsidRPr="00E16464">
        <w:rPr>
          <w:rFonts w:eastAsia="SimSun" w:hint="cs"/>
          <w:rtl/>
          <w:lang w:bidi="ar-EG"/>
        </w:rPr>
        <w:t xml:space="preserve"> درجة و</w:t>
      </w:r>
      <w:r w:rsidR="00DC6A7A">
        <w:rPr>
          <w:rFonts w:eastAsia="SimSun" w:hint="cs"/>
          <w:rtl/>
          <w:lang w:bidi="ar-EG"/>
        </w:rPr>
        <w:t>التبديلات</w:t>
      </w:r>
      <w:r w:rsidRPr="00E16464">
        <w:rPr>
          <w:rFonts w:eastAsia="SimSun" w:hint="cs"/>
          <w:rtl/>
          <w:lang w:bidi="ar-EG"/>
        </w:rPr>
        <w:t xml:space="preserve"> </w:t>
      </w:r>
      <w:r w:rsidRPr="00E16464">
        <w:rPr>
          <w:rFonts w:eastAsia="SimSun"/>
          <w:lang w:bidi="ar-EG"/>
        </w:rPr>
        <w:t>5-1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89"/>
        <w:gridCol w:w="1247"/>
        <w:gridCol w:w="1247"/>
        <w:gridCol w:w="1247"/>
        <w:gridCol w:w="1247"/>
        <w:gridCol w:w="1247"/>
      </w:tblGrid>
      <w:tr w:rsidR="00E16464" w:rsidRPr="00C317E5" w14:paraId="02AB7783" w14:textId="77777777" w:rsidTr="00E16464">
        <w:tc>
          <w:tcPr>
            <w:tcW w:w="3289" w:type="dxa"/>
          </w:tcPr>
          <w:p w14:paraId="4FA183E1" w14:textId="77777777" w:rsidR="00E16464" w:rsidRPr="00E16464" w:rsidRDefault="00E16464" w:rsidP="00E16464">
            <w:pPr>
              <w:pStyle w:val="Tablehead"/>
            </w:pPr>
          </w:p>
        </w:tc>
        <w:tc>
          <w:tcPr>
            <w:tcW w:w="1247" w:type="dxa"/>
          </w:tcPr>
          <w:p w14:paraId="024D3E29" w14:textId="74CA3375" w:rsidR="00E16464" w:rsidRPr="00E16464" w:rsidRDefault="00E16464" w:rsidP="00E16464">
            <w:pPr>
              <w:pStyle w:val="Tablehead"/>
            </w:pPr>
            <w:r w:rsidRPr="00E16464">
              <w:rPr>
                <w:rFonts w:hint="cs"/>
                <w:rtl/>
              </w:rPr>
              <w:t>التبديل-</w:t>
            </w:r>
            <w:r w:rsidRPr="00E16464">
              <w:t>1</w:t>
            </w:r>
          </w:p>
        </w:tc>
        <w:tc>
          <w:tcPr>
            <w:tcW w:w="1247" w:type="dxa"/>
          </w:tcPr>
          <w:p w14:paraId="68566231" w14:textId="03B331B2" w:rsidR="00E16464" w:rsidRPr="00E16464" w:rsidRDefault="00E16464" w:rsidP="00E16464">
            <w:pPr>
              <w:pStyle w:val="Tablehead"/>
            </w:pPr>
            <w:r w:rsidRPr="00E16464">
              <w:rPr>
                <w:rFonts w:hint="cs"/>
                <w:rtl/>
              </w:rPr>
              <w:t>التبديل-</w:t>
            </w:r>
            <w:r>
              <w:rPr>
                <w:lang w:val="en-GB"/>
              </w:rPr>
              <w:t>2</w:t>
            </w:r>
          </w:p>
        </w:tc>
        <w:tc>
          <w:tcPr>
            <w:tcW w:w="1247" w:type="dxa"/>
          </w:tcPr>
          <w:p w14:paraId="5501CD97" w14:textId="13396759" w:rsidR="00E16464" w:rsidRPr="00E16464" w:rsidRDefault="00E16464" w:rsidP="00E16464">
            <w:pPr>
              <w:pStyle w:val="Tablehead"/>
            </w:pPr>
            <w:r w:rsidRPr="00E16464">
              <w:rPr>
                <w:rFonts w:hint="cs"/>
                <w:rtl/>
              </w:rPr>
              <w:t>التبديل-</w:t>
            </w:r>
            <w:r>
              <w:rPr>
                <w:lang w:val="en-GB"/>
              </w:rPr>
              <w:t>3</w:t>
            </w:r>
          </w:p>
        </w:tc>
        <w:tc>
          <w:tcPr>
            <w:tcW w:w="1247" w:type="dxa"/>
          </w:tcPr>
          <w:p w14:paraId="4138F7E4" w14:textId="231C9A7C" w:rsidR="00E16464" w:rsidRPr="00E16464" w:rsidRDefault="00E16464" w:rsidP="00E16464">
            <w:pPr>
              <w:pStyle w:val="Tablehead"/>
            </w:pPr>
            <w:r w:rsidRPr="00E16464">
              <w:rPr>
                <w:rFonts w:hint="cs"/>
                <w:rtl/>
              </w:rPr>
              <w:t>التبديل-</w:t>
            </w:r>
            <w:r>
              <w:rPr>
                <w:lang w:val="en-GB"/>
              </w:rPr>
              <w:t>4</w:t>
            </w:r>
          </w:p>
        </w:tc>
        <w:tc>
          <w:tcPr>
            <w:tcW w:w="1247" w:type="dxa"/>
          </w:tcPr>
          <w:p w14:paraId="418ABE18" w14:textId="33292C41" w:rsidR="00E16464" w:rsidRPr="00E16464" w:rsidRDefault="00E16464" w:rsidP="00E16464">
            <w:pPr>
              <w:pStyle w:val="Tablehead"/>
            </w:pPr>
            <w:r w:rsidRPr="00E16464">
              <w:rPr>
                <w:rFonts w:hint="cs"/>
                <w:rtl/>
              </w:rPr>
              <w:t>التبديل-</w:t>
            </w:r>
            <w:r>
              <w:rPr>
                <w:lang w:val="en-GB"/>
              </w:rPr>
              <w:t>5</w:t>
            </w:r>
          </w:p>
        </w:tc>
      </w:tr>
      <w:tr w:rsidR="00E16464" w:rsidRPr="00C317E5" w14:paraId="30AB4A80" w14:textId="77777777" w:rsidTr="00E16464">
        <w:tc>
          <w:tcPr>
            <w:tcW w:w="3289" w:type="dxa"/>
          </w:tcPr>
          <w:p w14:paraId="0714996F" w14:textId="2543001E" w:rsidR="00E16464" w:rsidRPr="00E16464" w:rsidRDefault="00E16464" w:rsidP="00E16464">
            <w:pPr>
              <w:pStyle w:val="Tabletext"/>
              <w:jc w:val="left"/>
            </w:pPr>
            <w:r w:rsidRPr="00E16464">
              <w:rPr>
                <w:rFonts w:hint="cs"/>
                <w:rtl/>
              </w:rPr>
              <w:t>كثافة تدفق</w:t>
            </w:r>
            <w:r>
              <w:rPr>
                <w:rFonts w:hint="cs"/>
                <w:rtl/>
              </w:rPr>
              <w:t xml:space="preserve"> </w:t>
            </w:r>
            <w:r w:rsidRPr="00E16464">
              <w:rPr>
                <w:rFonts w:hint="cs"/>
                <w:rtl/>
              </w:rPr>
              <w:t>القدرة</w:t>
            </w:r>
            <w:r>
              <w:rPr>
                <w:rFonts w:hint="cs"/>
                <w:rtl/>
              </w:rPr>
              <w:t xml:space="preserve"> </w:t>
            </w:r>
            <w:r w:rsidRPr="00555590">
              <w:t>(dB(W/(m</w:t>
            </w:r>
            <w:r w:rsidRPr="00E16464">
              <w:t>2</w:t>
            </w:r>
            <w:r w:rsidRPr="00555590">
              <w:t>*MHz)))</w:t>
            </w:r>
          </w:p>
        </w:tc>
        <w:tc>
          <w:tcPr>
            <w:tcW w:w="1247" w:type="dxa"/>
          </w:tcPr>
          <w:p w14:paraId="3C4EFDAF" w14:textId="3B07E6FE" w:rsidR="00E16464" w:rsidRPr="00E16464" w:rsidRDefault="00E16464" w:rsidP="00E16464">
            <w:pPr>
              <w:pStyle w:val="Tabletext"/>
              <w:jc w:val="left"/>
            </w:pPr>
            <w:r w:rsidRPr="004450EB">
              <w:t>145</w:t>
            </w:r>
            <w:r w:rsidRPr="00E16464">
              <w:t>,</w:t>
            </w:r>
            <w:r w:rsidRPr="004450EB">
              <w:t>26</w:t>
            </w:r>
            <w:r w:rsidR="00DC6A7A">
              <w:rPr>
                <w:rFonts w:ascii="Traditional Arabic" w:eastAsia="SimSun" w:hAnsi="Traditional Arabic"/>
                <w:lang w:bidi="ar-EG"/>
              </w:rPr>
              <w:t>-</w:t>
            </w:r>
          </w:p>
        </w:tc>
        <w:tc>
          <w:tcPr>
            <w:tcW w:w="1247" w:type="dxa"/>
          </w:tcPr>
          <w:p w14:paraId="3D67028C" w14:textId="2E22F092" w:rsidR="00E16464" w:rsidRPr="00E16464" w:rsidRDefault="00E16464" w:rsidP="00E16464">
            <w:pPr>
              <w:pStyle w:val="Tabletext"/>
              <w:jc w:val="left"/>
            </w:pPr>
            <w:r w:rsidRPr="004450EB">
              <w:t>132</w:t>
            </w:r>
            <w:r w:rsidRPr="00E16464">
              <w:t>,</w:t>
            </w:r>
            <w:r w:rsidRPr="004450EB">
              <w:t>28</w:t>
            </w:r>
            <w:r w:rsidR="00DC6A7A">
              <w:rPr>
                <w:rFonts w:ascii="Traditional Arabic" w:eastAsia="SimSun" w:hAnsi="Traditional Arabic"/>
                <w:lang w:bidi="ar-EG"/>
              </w:rPr>
              <w:t>-</w:t>
            </w:r>
          </w:p>
        </w:tc>
        <w:tc>
          <w:tcPr>
            <w:tcW w:w="1247" w:type="dxa"/>
          </w:tcPr>
          <w:p w14:paraId="33D99990" w14:textId="4F391178" w:rsidR="00E16464" w:rsidRPr="00E16464" w:rsidRDefault="00E16464" w:rsidP="00E16464">
            <w:pPr>
              <w:pStyle w:val="Tabletext"/>
              <w:jc w:val="left"/>
            </w:pPr>
            <w:r w:rsidRPr="004450EB">
              <w:t>123</w:t>
            </w:r>
            <w:r w:rsidRPr="00E16464">
              <w:t>,</w:t>
            </w:r>
            <w:r w:rsidRPr="004450EB">
              <w:t>69</w:t>
            </w:r>
            <w:r w:rsidR="00DC6A7A">
              <w:rPr>
                <w:rFonts w:ascii="Traditional Arabic" w:eastAsia="SimSun" w:hAnsi="Traditional Arabic"/>
                <w:lang w:bidi="ar-EG"/>
              </w:rPr>
              <w:t>-</w:t>
            </w:r>
          </w:p>
        </w:tc>
        <w:tc>
          <w:tcPr>
            <w:tcW w:w="1247" w:type="dxa"/>
          </w:tcPr>
          <w:p w14:paraId="3DE507F3" w14:textId="6DA8AFAB" w:rsidR="00E16464" w:rsidRPr="00E16464" w:rsidRDefault="00E16464" w:rsidP="00E16464">
            <w:pPr>
              <w:pStyle w:val="Tabletext"/>
              <w:jc w:val="left"/>
            </w:pPr>
            <w:r w:rsidRPr="004450EB">
              <w:t>118</w:t>
            </w:r>
            <w:r w:rsidRPr="00E16464">
              <w:t>,</w:t>
            </w:r>
            <w:r w:rsidRPr="004450EB">
              <w:t>69</w:t>
            </w:r>
            <w:r w:rsidR="00DC6A7A">
              <w:rPr>
                <w:rFonts w:ascii="Traditional Arabic" w:eastAsia="SimSun" w:hAnsi="Traditional Arabic"/>
                <w:lang w:bidi="ar-EG"/>
              </w:rPr>
              <w:t>-</w:t>
            </w:r>
          </w:p>
        </w:tc>
        <w:tc>
          <w:tcPr>
            <w:tcW w:w="1247" w:type="dxa"/>
          </w:tcPr>
          <w:p w14:paraId="166EB891" w14:textId="74C0EA33" w:rsidR="00E16464" w:rsidRPr="00E16464" w:rsidRDefault="00E16464" w:rsidP="00E16464">
            <w:pPr>
              <w:pStyle w:val="Tabletext"/>
              <w:jc w:val="left"/>
            </w:pPr>
            <w:r w:rsidRPr="004450EB">
              <w:t>97</w:t>
            </w:r>
            <w:r w:rsidRPr="00E16464">
              <w:t>,</w:t>
            </w:r>
            <w:r w:rsidRPr="004450EB">
              <w:t>45</w:t>
            </w:r>
            <w:r w:rsidR="00DC6A7A">
              <w:rPr>
                <w:rFonts w:ascii="Traditional Arabic" w:eastAsia="SimSun" w:hAnsi="Traditional Arabic"/>
                <w:lang w:bidi="ar-EG"/>
              </w:rPr>
              <w:t>-</w:t>
            </w:r>
          </w:p>
        </w:tc>
      </w:tr>
      <w:tr w:rsidR="00E16464" w:rsidRPr="00C317E5" w14:paraId="74F68F08" w14:textId="77777777" w:rsidTr="00E16464">
        <w:tc>
          <w:tcPr>
            <w:tcW w:w="3289" w:type="dxa"/>
          </w:tcPr>
          <w:p w14:paraId="3655D057" w14:textId="5D4E1465" w:rsidR="00E16464" w:rsidRPr="00E16464" w:rsidRDefault="00E16464" w:rsidP="00E16464">
            <w:pPr>
              <w:pStyle w:val="Tabletext"/>
              <w:jc w:val="left"/>
            </w:pPr>
            <w:r w:rsidRPr="00E16464">
              <w:rPr>
                <w:rFonts w:hint="cs"/>
                <w:rtl/>
              </w:rPr>
              <w:t xml:space="preserve">حدود كثافة تدفق القدرة للخيار </w:t>
            </w:r>
            <w:r w:rsidRPr="004450EB">
              <w:t>1</w:t>
            </w:r>
          </w:p>
        </w:tc>
        <w:tc>
          <w:tcPr>
            <w:tcW w:w="1247" w:type="dxa"/>
          </w:tcPr>
          <w:p w14:paraId="15266A28" w14:textId="5253AD75" w:rsidR="00E16464" w:rsidRPr="00E16464" w:rsidRDefault="00E16464" w:rsidP="00E16464">
            <w:pPr>
              <w:pStyle w:val="Tabletext"/>
              <w:jc w:val="left"/>
            </w:pPr>
            <w:r w:rsidRPr="004450EB">
              <w:t>113</w:t>
            </w:r>
            <w:r w:rsidRPr="00E16464">
              <w:t>,</w:t>
            </w:r>
            <w:r w:rsidRPr="004450EB">
              <w:t>78</w:t>
            </w:r>
            <w:r w:rsidR="00DC6A7A">
              <w:rPr>
                <w:rFonts w:ascii="Traditional Arabic" w:eastAsia="SimSun" w:hAnsi="Traditional Arabic"/>
                <w:lang w:bidi="ar-EG"/>
              </w:rPr>
              <w:t>-</w:t>
            </w:r>
          </w:p>
        </w:tc>
        <w:tc>
          <w:tcPr>
            <w:tcW w:w="1247" w:type="dxa"/>
          </w:tcPr>
          <w:p w14:paraId="7DC33E1E" w14:textId="2FDECFC1" w:rsidR="00E16464" w:rsidRPr="00E16464" w:rsidRDefault="00E16464" w:rsidP="00E16464">
            <w:pPr>
              <w:pStyle w:val="Tabletext"/>
              <w:jc w:val="left"/>
            </w:pPr>
            <w:r w:rsidRPr="004450EB">
              <w:t>113</w:t>
            </w:r>
            <w:r w:rsidRPr="00E16464">
              <w:t>,</w:t>
            </w:r>
            <w:r w:rsidRPr="004450EB">
              <w:t>47</w:t>
            </w:r>
            <w:r w:rsidR="00DC6A7A">
              <w:rPr>
                <w:rFonts w:ascii="Traditional Arabic" w:eastAsia="SimSun" w:hAnsi="Traditional Arabic"/>
                <w:lang w:bidi="ar-EG"/>
              </w:rPr>
              <w:t>-</w:t>
            </w:r>
          </w:p>
        </w:tc>
        <w:tc>
          <w:tcPr>
            <w:tcW w:w="1247" w:type="dxa"/>
          </w:tcPr>
          <w:p w14:paraId="463310F0" w14:textId="10552AF4" w:rsidR="00E16464" w:rsidRPr="00E16464" w:rsidRDefault="00E16464" w:rsidP="00E16464">
            <w:pPr>
              <w:pStyle w:val="Tabletext"/>
              <w:jc w:val="left"/>
            </w:pPr>
            <w:r w:rsidRPr="004450EB">
              <w:t>113</w:t>
            </w:r>
            <w:r w:rsidRPr="00E16464">
              <w:t>,</w:t>
            </w:r>
            <w:r w:rsidRPr="004450EB">
              <w:t>30</w:t>
            </w:r>
            <w:r w:rsidR="00DC6A7A">
              <w:rPr>
                <w:rFonts w:ascii="Traditional Arabic" w:eastAsia="SimSun" w:hAnsi="Traditional Arabic"/>
                <w:lang w:bidi="ar-EG"/>
              </w:rPr>
              <w:t>-</w:t>
            </w:r>
          </w:p>
        </w:tc>
        <w:tc>
          <w:tcPr>
            <w:tcW w:w="1247" w:type="dxa"/>
          </w:tcPr>
          <w:p w14:paraId="301DB3C3" w14:textId="6823E1DC" w:rsidR="00E16464" w:rsidRPr="00E16464" w:rsidRDefault="00E16464" w:rsidP="00E16464">
            <w:pPr>
              <w:pStyle w:val="Tabletext"/>
              <w:jc w:val="left"/>
            </w:pPr>
            <w:r w:rsidRPr="004450EB">
              <w:t>113</w:t>
            </w:r>
            <w:r w:rsidRPr="00E16464">
              <w:t>,</w:t>
            </w:r>
            <w:r w:rsidRPr="004450EB">
              <w:t>23</w:t>
            </w:r>
            <w:r w:rsidR="00DC6A7A">
              <w:rPr>
                <w:rFonts w:ascii="Traditional Arabic" w:eastAsia="SimSun" w:hAnsi="Traditional Arabic"/>
                <w:lang w:bidi="ar-EG"/>
              </w:rPr>
              <w:t>-</w:t>
            </w:r>
          </w:p>
        </w:tc>
        <w:tc>
          <w:tcPr>
            <w:tcW w:w="1247" w:type="dxa"/>
          </w:tcPr>
          <w:p w14:paraId="7E85FAE1" w14:textId="2C4C12F2" w:rsidR="00E16464" w:rsidRPr="00E16464" w:rsidRDefault="00E16464" w:rsidP="00E16464">
            <w:pPr>
              <w:pStyle w:val="Tabletext"/>
              <w:jc w:val="left"/>
            </w:pPr>
            <w:r w:rsidRPr="004450EB">
              <w:t>113</w:t>
            </w:r>
            <w:r w:rsidRPr="00E16464">
              <w:t>,</w:t>
            </w:r>
            <w:r w:rsidRPr="004450EB">
              <w:t>01</w:t>
            </w:r>
            <w:r w:rsidR="00DC6A7A">
              <w:rPr>
                <w:rFonts w:ascii="Traditional Arabic" w:eastAsia="SimSun" w:hAnsi="Traditional Arabic"/>
                <w:lang w:bidi="ar-EG"/>
              </w:rPr>
              <w:t>-</w:t>
            </w:r>
          </w:p>
        </w:tc>
      </w:tr>
      <w:tr w:rsidR="00E16464" w:rsidRPr="00C317E5" w14:paraId="4BDFCF15" w14:textId="77777777" w:rsidTr="00E16464">
        <w:tc>
          <w:tcPr>
            <w:tcW w:w="3289" w:type="dxa"/>
          </w:tcPr>
          <w:p w14:paraId="31DA2B81" w14:textId="78EF18D5" w:rsidR="00E16464" w:rsidRPr="00E16464" w:rsidRDefault="00E16464" w:rsidP="00E16464">
            <w:pPr>
              <w:pStyle w:val="Tabletext"/>
              <w:jc w:val="left"/>
            </w:pPr>
            <w:r w:rsidRPr="00E16464">
              <w:rPr>
                <w:rFonts w:hint="cs"/>
                <w:rtl/>
              </w:rPr>
              <w:t xml:space="preserve">الهامش </w:t>
            </w:r>
            <w:r w:rsidRPr="00E16464">
              <w:t>(dB)</w:t>
            </w:r>
          </w:p>
        </w:tc>
        <w:tc>
          <w:tcPr>
            <w:tcW w:w="1247" w:type="dxa"/>
          </w:tcPr>
          <w:p w14:paraId="19C3C89C" w14:textId="496C8951" w:rsidR="00E16464" w:rsidRPr="00E16464" w:rsidRDefault="00E16464" w:rsidP="00E16464">
            <w:pPr>
              <w:pStyle w:val="Tabletext"/>
              <w:jc w:val="left"/>
            </w:pPr>
            <w:r w:rsidRPr="004450EB">
              <w:t>31</w:t>
            </w:r>
            <w:r w:rsidRPr="00E16464">
              <w:t>,</w:t>
            </w:r>
            <w:r w:rsidRPr="004450EB">
              <w:t>48</w:t>
            </w:r>
          </w:p>
        </w:tc>
        <w:tc>
          <w:tcPr>
            <w:tcW w:w="1247" w:type="dxa"/>
          </w:tcPr>
          <w:p w14:paraId="06F3CCDC" w14:textId="262CA6DA" w:rsidR="00E16464" w:rsidRPr="00E16464" w:rsidRDefault="00E16464" w:rsidP="00E16464">
            <w:pPr>
              <w:pStyle w:val="Tabletext"/>
              <w:jc w:val="left"/>
            </w:pPr>
            <w:r w:rsidRPr="004450EB">
              <w:t>18</w:t>
            </w:r>
            <w:r w:rsidRPr="00E16464">
              <w:t>,</w:t>
            </w:r>
            <w:r w:rsidRPr="004450EB">
              <w:t>81</w:t>
            </w:r>
          </w:p>
        </w:tc>
        <w:tc>
          <w:tcPr>
            <w:tcW w:w="1247" w:type="dxa"/>
          </w:tcPr>
          <w:p w14:paraId="5206D2A3" w14:textId="0428C682" w:rsidR="00E16464" w:rsidRPr="00E16464" w:rsidRDefault="00E16464" w:rsidP="00E16464">
            <w:pPr>
              <w:pStyle w:val="Tabletext"/>
              <w:jc w:val="left"/>
            </w:pPr>
            <w:r w:rsidRPr="004450EB">
              <w:t>10</w:t>
            </w:r>
            <w:r w:rsidRPr="00E16464">
              <w:t>,</w:t>
            </w:r>
            <w:r w:rsidRPr="004450EB">
              <w:t>39</w:t>
            </w:r>
          </w:p>
        </w:tc>
        <w:tc>
          <w:tcPr>
            <w:tcW w:w="1247" w:type="dxa"/>
          </w:tcPr>
          <w:p w14:paraId="6ACB9253" w14:textId="55429289" w:rsidR="00E16464" w:rsidRPr="00E16464" w:rsidRDefault="00E16464" w:rsidP="00E16464">
            <w:pPr>
              <w:pStyle w:val="Tabletext"/>
              <w:jc w:val="left"/>
            </w:pPr>
            <w:r w:rsidRPr="004450EB">
              <w:t>5</w:t>
            </w:r>
            <w:r w:rsidRPr="00E16464">
              <w:t>,</w:t>
            </w:r>
            <w:r w:rsidRPr="004450EB">
              <w:t>47</w:t>
            </w:r>
          </w:p>
        </w:tc>
        <w:tc>
          <w:tcPr>
            <w:tcW w:w="1247" w:type="dxa"/>
          </w:tcPr>
          <w:p w14:paraId="1EB97590" w14:textId="23FD582D" w:rsidR="00E16464" w:rsidRPr="00E16464" w:rsidRDefault="00E16464" w:rsidP="00E16464">
            <w:pPr>
              <w:pStyle w:val="Tabletext"/>
              <w:jc w:val="left"/>
            </w:pPr>
            <w:r w:rsidRPr="004450EB">
              <w:t>15</w:t>
            </w:r>
            <w:r w:rsidRPr="00E16464">
              <w:t>,</w:t>
            </w:r>
            <w:r w:rsidRPr="004450EB">
              <w:t>56</w:t>
            </w:r>
            <w:r w:rsidR="00DC6A7A">
              <w:rPr>
                <w:rFonts w:ascii="Traditional Arabic" w:eastAsia="SimSun" w:hAnsi="Traditional Arabic"/>
                <w:lang w:bidi="ar-EG"/>
              </w:rPr>
              <w:t>-</w:t>
            </w:r>
          </w:p>
        </w:tc>
      </w:tr>
      <w:tr w:rsidR="00E16464" w:rsidRPr="00C317E5" w14:paraId="0266B999" w14:textId="77777777" w:rsidTr="00E16464">
        <w:tc>
          <w:tcPr>
            <w:tcW w:w="3289" w:type="dxa"/>
          </w:tcPr>
          <w:p w14:paraId="64183430" w14:textId="6A2B780D" w:rsidR="00E16464" w:rsidRPr="00E16464" w:rsidRDefault="00E16464" w:rsidP="00E16464">
            <w:pPr>
              <w:pStyle w:val="Tabletext"/>
              <w:jc w:val="left"/>
            </w:pPr>
            <w:r w:rsidRPr="00E16464">
              <w:rPr>
                <w:rFonts w:hint="cs"/>
                <w:rtl/>
              </w:rPr>
              <w:t xml:space="preserve">حدود كثافة تدفق القدرة للخيار </w:t>
            </w:r>
            <w:r w:rsidRPr="004450EB">
              <w:t>2</w:t>
            </w:r>
          </w:p>
        </w:tc>
        <w:tc>
          <w:tcPr>
            <w:tcW w:w="1247" w:type="dxa"/>
          </w:tcPr>
          <w:p w14:paraId="0F97144B" w14:textId="7706FA86" w:rsidR="00E16464" w:rsidRPr="00E16464" w:rsidRDefault="00E16464" w:rsidP="00E16464">
            <w:pPr>
              <w:pStyle w:val="Tabletext"/>
              <w:jc w:val="left"/>
            </w:pPr>
            <w:r w:rsidRPr="004450EB">
              <w:t>118</w:t>
            </w:r>
            <w:r w:rsidRPr="00E16464">
              <w:t>,</w:t>
            </w:r>
            <w:r w:rsidRPr="004450EB">
              <w:t>79</w:t>
            </w:r>
            <w:r w:rsidR="00DC6A7A">
              <w:rPr>
                <w:rFonts w:ascii="Traditional Arabic" w:eastAsia="SimSun" w:hAnsi="Traditional Arabic"/>
                <w:lang w:bidi="ar-EG"/>
              </w:rPr>
              <w:t>-</w:t>
            </w:r>
          </w:p>
        </w:tc>
        <w:tc>
          <w:tcPr>
            <w:tcW w:w="1247" w:type="dxa"/>
          </w:tcPr>
          <w:p w14:paraId="31F24894" w14:textId="2D9F9105" w:rsidR="00E16464" w:rsidRPr="00E16464" w:rsidRDefault="00E16464" w:rsidP="00E16464">
            <w:pPr>
              <w:pStyle w:val="Tabletext"/>
              <w:jc w:val="left"/>
            </w:pPr>
            <w:r w:rsidRPr="004450EB">
              <w:t>118</w:t>
            </w:r>
            <w:r w:rsidRPr="00E16464">
              <w:t>,</w:t>
            </w:r>
            <w:r w:rsidRPr="004450EB">
              <w:t>57</w:t>
            </w:r>
            <w:r w:rsidR="00DC6A7A">
              <w:rPr>
                <w:rFonts w:ascii="Traditional Arabic" w:eastAsia="SimSun" w:hAnsi="Traditional Arabic"/>
                <w:lang w:bidi="ar-EG"/>
              </w:rPr>
              <w:t>-</w:t>
            </w:r>
          </w:p>
        </w:tc>
        <w:tc>
          <w:tcPr>
            <w:tcW w:w="1247" w:type="dxa"/>
          </w:tcPr>
          <w:p w14:paraId="36D72C9C" w14:textId="5439E6B8" w:rsidR="00E16464" w:rsidRPr="00E16464" w:rsidRDefault="00E16464" w:rsidP="00E16464">
            <w:pPr>
              <w:pStyle w:val="Tabletext"/>
              <w:jc w:val="left"/>
            </w:pPr>
            <w:r w:rsidRPr="004450EB">
              <w:t>118</w:t>
            </w:r>
            <w:r w:rsidRPr="00E16464">
              <w:t>,</w:t>
            </w:r>
            <w:r w:rsidRPr="004450EB">
              <w:t>46</w:t>
            </w:r>
            <w:r w:rsidR="00DC6A7A">
              <w:rPr>
                <w:rFonts w:ascii="Traditional Arabic" w:eastAsia="SimSun" w:hAnsi="Traditional Arabic"/>
                <w:lang w:bidi="ar-EG"/>
              </w:rPr>
              <w:t>-</w:t>
            </w:r>
          </w:p>
        </w:tc>
        <w:tc>
          <w:tcPr>
            <w:tcW w:w="1247" w:type="dxa"/>
          </w:tcPr>
          <w:p w14:paraId="77D72426" w14:textId="6AAD0306" w:rsidR="00E16464" w:rsidRPr="00E16464" w:rsidRDefault="00E16464" w:rsidP="00E16464">
            <w:pPr>
              <w:pStyle w:val="Tabletext"/>
              <w:jc w:val="left"/>
            </w:pPr>
            <w:r w:rsidRPr="004450EB">
              <w:t>118</w:t>
            </w:r>
            <w:r w:rsidRPr="00E16464">
              <w:t>,</w:t>
            </w:r>
            <w:r w:rsidRPr="004450EB">
              <w:t>41</w:t>
            </w:r>
            <w:r w:rsidR="00DC6A7A">
              <w:rPr>
                <w:rFonts w:ascii="Traditional Arabic" w:eastAsia="SimSun" w:hAnsi="Traditional Arabic"/>
                <w:lang w:bidi="ar-EG"/>
              </w:rPr>
              <w:t>-</w:t>
            </w:r>
          </w:p>
        </w:tc>
        <w:tc>
          <w:tcPr>
            <w:tcW w:w="1247" w:type="dxa"/>
          </w:tcPr>
          <w:p w14:paraId="1392D0F3" w14:textId="4C56E21C" w:rsidR="00E16464" w:rsidRPr="00E16464" w:rsidRDefault="00E16464" w:rsidP="00E16464">
            <w:pPr>
              <w:pStyle w:val="Tabletext"/>
              <w:jc w:val="left"/>
            </w:pPr>
            <w:r w:rsidRPr="004450EB">
              <w:t>118</w:t>
            </w:r>
            <w:r w:rsidRPr="00E16464">
              <w:t>,</w:t>
            </w:r>
            <w:r w:rsidRPr="004450EB">
              <w:t>25</w:t>
            </w:r>
            <w:r w:rsidR="00DC6A7A">
              <w:rPr>
                <w:rFonts w:ascii="Traditional Arabic" w:eastAsia="SimSun" w:hAnsi="Traditional Arabic"/>
                <w:lang w:bidi="ar-EG"/>
              </w:rPr>
              <w:t>-</w:t>
            </w:r>
          </w:p>
        </w:tc>
      </w:tr>
      <w:tr w:rsidR="00E16464" w:rsidRPr="00C317E5" w14:paraId="4F564D92" w14:textId="77777777" w:rsidTr="00E16464">
        <w:tc>
          <w:tcPr>
            <w:tcW w:w="3289" w:type="dxa"/>
          </w:tcPr>
          <w:p w14:paraId="39EAC25A" w14:textId="5CBBB825" w:rsidR="00E16464" w:rsidRPr="00E16464" w:rsidRDefault="00E16464" w:rsidP="00E16464">
            <w:pPr>
              <w:pStyle w:val="Tabletext"/>
              <w:jc w:val="left"/>
            </w:pPr>
            <w:r w:rsidRPr="00E16464">
              <w:rPr>
                <w:rFonts w:hint="cs"/>
                <w:rtl/>
              </w:rPr>
              <w:t xml:space="preserve">الهامش </w:t>
            </w:r>
            <w:r w:rsidRPr="00E16464">
              <w:t>(dB)</w:t>
            </w:r>
          </w:p>
        </w:tc>
        <w:tc>
          <w:tcPr>
            <w:tcW w:w="1247" w:type="dxa"/>
          </w:tcPr>
          <w:p w14:paraId="7E2ED122" w14:textId="04FE4FCD" w:rsidR="00E16464" w:rsidRPr="00E16464" w:rsidRDefault="00E16464" w:rsidP="00E16464">
            <w:pPr>
              <w:pStyle w:val="Tabletext"/>
              <w:jc w:val="left"/>
            </w:pPr>
            <w:r w:rsidRPr="004450EB">
              <w:t>26</w:t>
            </w:r>
            <w:r w:rsidRPr="00E16464">
              <w:t>,</w:t>
            </w:r>
            <w:r w:rsidRPr="004450EB">
              <w:t>47</w:t>
            </w:r>
          </w:p>
        </w:tc>
        <w:tc>
          <w:tcPr>
            <w:tcW w:w="1247" w:type="dxa"/>
          </w:tcPr>
          <w:p w14:paraId="6519FF68" w14:textId="08F200CA" w:rsidR="00E16464" w:rsidRPr="00E16464" w:rsidRDefault="00E16464" w:rsidP="00E16464">
            <w:pPr>
              <w:pStyle w:val="Tabletext"/>
              <w:jc w:val="left"/>
            </w:pPr>
            <w:r w:rsidRPr="004450EB">
              <w:t>13</w:t>
            </w:r>
            <w:r w:rsidRPr="00E16464">
              <w:t>,</w:t>
            </w:r>
            <w:r w:rsidRPr="004450EB">
              <w:t>71</w:t>
            </w:r>
          </w:p>
        </w:tc>
        <w:tc>
          <w:tcPr>
            <w:tcW w:w="1247" w:type="dxa"/>
          </w:tcPr>
          <w:p w14:paraId="316834F0" w14:textId="0ABB802D" w:rsidR="00E16464" w:rsidRPr="00E16464" w:rsidRDefault="00E16464" w:rsidP="00E16464">
            <w:pPr>
              <w:pStyle w:val="Tabletext"/>
              <w:jc w:val="left"/>
            </w:pPr>
            <w:r w:rsidRPr="004450EB">
              <w:t>5</w:t>
            </w:r>
            <w:r w:rsidRPr="00E16464">
              <w:t>,</w:t>
            </w:r>
            <w:r w:rsidRPr="004450EB">
              <w:t>23</w:t>
            </w:r>
          </w:p>
        </w:tc>
        <w:tc>
          <w:tcPr>
            <w:tcW w:w="1247" w:type="dxa"/>
          </w:tcPr>
          <w:p w14:paraId="05C3B435" w14:textId="2D9D6A21" w:rsidR="00E16464" w:rsidRPr="00E16464" w:rsidRDefault="00E16464" w:rsidP="00E16464">
            <w:pPr>
              <w:pStyle w:val="Tabletext"/>
              <w:jc w:val="left"/>
            </w:pPr>
            <w:r w:rsidRPr="004450EB">
              <w:t>0</w:t>
            </w:r>
            <w:r w:rsidRPr="00E16464">
              <w:t>,</w:t>
            </w:r>
            <w:r w:rsidRPr="004450EB">
              <w:t>29</w:t>
            </w:r>
          </w:p>
        </w:tc>
        <w:tc>
          <w:tcPr>
            <w:tcW w:w="1247" w:type="dxa"/>
          </w:tcPr>
          <w:p w14:paraId="3FE500A3" w14:textId="2DAD3505" w:rsidR="00E16464" w:rsidRPr="00E16464" w:rsidRDefault="00E16464" w:rsidP="00E16464">
            <w:pPr>
              <w:pStyle w:val="Tabletext"/>
              <w:jc w:val="left"/>
            </w:pPr>
            <w:r w:rsidRPr="004450EB">
              <w:t>20</w:t>
            </w:r>
            <w:r w:rsidRPr="00E16464">
              <w:t>,</w:t>
            </w:r>
            <w:r w:rsidRPr="004450EB">
              <w:t>80</w:t>
            </w:r>
            <w:r w:rsidR="00DC6A7A">
              <w:rPr>
                <w:rFonts w:ascii="Traditional Arabic" w:eastAsia="SimSun" w:hAnsi="Traditional Arabic"/>
                <w:lang w:bidi="ar-EG"/>
              </w:rPr>
              <w:t>-</w:t>
            </w:r>
          </w:p>
        </w:tc>
      </w:tr>
      <w:tr w:rsidR="00E16464" w:rsidRPr="00C317E5" w14:paraId="434517DD" w14:textId="77777777" w:rsidTr="00E16464">
        <w:tc>
          <w:tcPr>
            <w:tcW w:w="3289" w:type="dxa"/>
          </w:tcPr>
          <w:p w14:paraId="3CEACA82" w14:textId="574D0B8B" w:rsidR="00E16464" w:rsidRPr="00E16464" w:rsidRDefault="00E16464" w:rsidP="00E16464">
            <w:pPr>
              <w:pStyle w:val="Tabletext"/>
              <w:jc w:val="left"/>
            </w:pPr>
            <w:r w:rsidRPr="00E16464">
              <w:rPr>
                <w:rFonts w:hint="cs"/>
                <w:rtl/>
              </w:rPr>
              <w:t xml:space="preserve">حدود كثافة تدفق القدرة للجنة </w:t>
            </w:r>
            <w:r w:rsidRPr="00E16464">
              <w:t>CITEL</w:t>
            </w:r>
          </w:p>
        </w:tc>
        <w:tc>
          <w:tcPr>
            <w:tcW w:w="1247" w:type="dxa"/>
          </w:tcPr>
          <w:p w14:paraId="1667A95B" w14:textId="7E0996EF" w:rsidR="00E16464" w:rsidRPr="00E16464" w:rsidRDefault="00E16464" w:rsidP="00E16464">
            <w:pPr>
              <w:pStyle w:val="Tabletext"/>
              <w:jc w:val="left"/>
            </w:pPr>
            <w:r w:rsidRPr="004450EB">
              <w:t>115</w:t>
            </w:r>
            <w:r w:rsidRPr="00E16464">
              <w:t>,</w:t>
            </w:r>
            <w:r w:rsidRPr="004450EB">
              <w:t>87</w:t>
            </w:r>
            <w:r w:rsidR="00DC6A7A">
              <w:rPr>
                <w:rFonts w:ascii="Traditional Arabic" w:eastAsia="SimSun" w:hAnsi="Traditional Arabic"/>
                <w:lang w:bidi="ar-EG"/>
              </w:rPr>
              <w:t>-</w:t>
            </w:r>
          </w:p>
        </w:tc>
        <w:tc>
          <w:tcPr>
            <w:tcW w:w="1247" w:type="dxa"/>
          </w:tcPr>
          <w:p w14:paraId="21D8D084" w14:textId="3FD83299" w:rsidR="00E16464" w:rsidRPr="00E16464" w:rsidRDefault="00E16464" w:rsidP="00E16464">
            <w:pPr>
              <w:pStyle w:val="Tabletext"/>
              <w:jc w:val="left"/>
            </w:pPr>
            <w:r w:rsidRPr="004450EB">
              <w:t>115</w:t>
            </w:r>
            <w:r w:rsidRPr="00E16464">
              <w:t>,</w:t>
            </w:r>
            <w:r w:rsidRPr="004450EB">
              <w:t>63</w:t>
            </w:r>
            <w:r w:rsidR="00DC6A7A">
              <w:rPr>
                <w:rFonts w:ascii="Traditional Arabic" w:eastAsia="SimSun" w:hAnsi="Traditional Arabic"/>
                <w:lang w:bidi="ar-EG"/>
              </w:rPr>
              <w:t>-</w:t>
            </w:r>
          </w:p>
        </w:tc>
        <w:tc>
          <w:tcPr>
            <w:tcW w:w="1247" w:type="dxa"/>
          </w:tcPr>
          <w:p w14:paraId="15C4243C" w14:textId="71BA8D69" w:rsidR="00E16464" w:rsidRPr="00E16464" w:rsidRDefault="00E16464" w:rsidP="00E16464">
            <w:pPr>
              <w:pStyle w:val="Tabletext"/>
              <w:jc w:val="left"/>
            </w:pPr>
            <w:r w:rsidRPr="004450EB">
              <w:t>115</w:t>
            </w:r>
            <w:r w:rsidRPr="00E16464">
              <w:t>,</w:t>
            </w:r>
            <w:r w:rsidRPr="004450EB">
              <w:t>50</w:t>
            </w:r>
            <w:r w:rsidR="00DC6A7A">
              <w:rPr>
                <w:rFonts w:ascii="Traditional Arabic" w:eastAsia="SimSun" w:hAnsi="Traditional Arabic"/>
                <w:lang w:bidi="ar-EG"/>
              </w:rPr>
              <w:t>-</w:t>
            </w:r>
          </w:p>
        </w:tc>
        <w:tc>
          <w:tcPr>
            <w:tcW w:w="1247" w:type="dxa"/>
          </w:tcPr>
          <w:p w14:paraId="20AEC1D4" w14:textId="3674CBA4" w:rsidR="00E16464" w:rsidRPr="00E16464" w:rsidRDefault="00E16464" w:rsidP="00E16464">
            <w:pPr>
              <w:pStyle w:val="Tabletext"/>
              <w:jc w:val="left"/>
            </w:pPr>
            <w:r w:rsidRPr="004450EB">
              <w:t>115</w:t>
            </w:r>
            <w:r w:rsidRPr="00E16464">
              <w:t>,</w:t>
            </w:r>
            <w:r w:rsidRPr="004450EB">
              <w:t>45</w:t>
            </w:r>
            <w:r w:rsidR="00DC6A7A">
              <w:rPr>
                <w:rFonts w:ascii="Traditional Arabic" w:eastAsia="SimSun" w:hAnsi="Traditional Arabic"/>
                <w:lang w:bidi="ar-EG"/>
              </w:rPr>
              <w:t>-</w:t>
            </w:r>
          </w:p>
        </w:tc>
        <w:tc>
          <w:tcPr>
            <w:tcW w:w="1247" w:type="dxa"/>
          </w:tcPr>
          <w:p w14:paraId="6B4EA60C" w14:textId="37CA604C" w:rsidR="00E16464" w:rsidRPr="00E16464" w:rsidRDefault="00E16464" w:rsidP="00E16464">
            <w:pPr>
              <w:pStyle w:val="Tabletext"/>
              <w:jc w:val="left"/>
            </w:pPr>
            <w:r w:rsidRPr="004450EB">
              <w:t>115</w:t>
            </w:r>
            <w:r w:rsidRPr="00E16464">
              <w:t>,</w:t>
            </w:r>
            <w:r w:rsidRPr="004450EB">
              <w:t>28</w:t>
            </w:r>
            <w:r w:rsidR="00DC6A7A">
              <w:rPr>
                <w:rFonts w:ascii="Traditional Arabic" w:eastAsia="SimSun" w:hAnsi="Traditional Arabic"/>
                <w:lang w:bidi="ar-EG"/>
              </w:rPr>
              <w:t>-</w:t>
            </w:r>
          </w:p>
        </w:tc>
      </w:tr>
      <w:tr w:rsidR="00E16464" w:rsidRPr="00C317E5" w14:paraId="76AE3A23" w14:textId="77777777" w:rsidTr="00E16464">
        <w:tc>
          <w:tcPr>
            <w:tcW w:w="3289" w:type="dxa"/>
          </w:tcPr>
          <w:p w14:paraId="4CB15CB7" w14:textId="77337D3F" w:rsidR="00E16464" w:rsidRPr="00E16464" w:rsidRDefault="00E16464" w:rsidP="00E16464">
            <w:pPr>
              <w:pStyle w:val="Tabletext"/>
              <w:jc w:val="left"/>
            </w:pPr>
            <w:r w:rsidRPr="00E16464">
              <w:rPr>
                <w:rFonts w:hint="cs"/>
                <w:rtl/>
              </w:rPr>
              <w:t xml:space="preserve">الهامش </w:t>
            </w:r>
            <w:r w:rsidRPr="00E16464">
              <w:t>(dB)</w:t>
            </w:r>
          </w:p>
        </w:tc>
        <w:tc>
          <w:tcPr>
            <w:tcW w:w="1247" w:type="dxa"/>
          </w:tcPr>
          <w:p w14:paraId="4B3EB3BE" w14:textId="067B9589" w:rsidR="00E16464" w:rsidRPr="00E16464" w:rsidRDefault="00E16464" w:rsidP="00E16464">
            <w:pPr>
              <w:pStyle w:val="Tabletext"/>
              <w:jc w:val="left"/>
            </w:pPr>
            <w:r w:rsidRPr="004450EB">
              <w:t>29</w:t>
            </w:r>
            <w:r w:rsidRPr="00E16464">
              <w:t>,</w:t>
            </w:r>
            <w:r w:rsidRPr="004450EB">
              <w:t>39</w:t>
            </w:r>
          </w:p>
        </w:tc>
        <w:tc>
          <w:tcPr>
            <w:tcW w:w="1247" w:type="dxa"/>
          </w:tcPr>
          <w:p w14:paraId="3F826301" w14:textId="64A5E68A" w:rsidR="00E16464" w:rsidRPr="00E16464" w:rsidRDefault="00E16464" w:rsidP="00E16464">
            <w:pPr>
              <w:pStyle w:val="Tabletext"/>
              <w:jc w:val="left"/>
            </w:pPr>
            <w:r w:rsidRPr="004450EB">
              <w:t>16</w:t>
            </w:r>
            <w:r w:rsidRPr="00E16464">
              <w:t>,</w:t>
            </w:r>
            <w:r w:rsidRPr="004450EB">
              <w:t>65</w:t>
            </w:r>
          </w:p>
        </w:tc>
        <w:tc>
          <w:tcPr>
            <w:tcW w:w="1247" w:type="dxa"/>
          </w:tcPr>
          <w:p w14:paraId="081CF52F" w14:textId="0D5CAD68" w:rsidR="00E16464" w:rsidRPr="00E16464" w:rsidRDefault="00E16464" w:rsidP="00E16464">
            <w:pPr>
              <w:pStyle w:val="Tabletext"/>
              <w:jc w:val="left"/>
            </w:pPr>
            <w:r w:rsidRPr="004450EB">
              <w:t>8</w:t>
            </w:r>
            <w:r w:rsidRPr="00E16464">
              <w:t>,</w:t>
            </w:r>
            <w:r w:rsidRPr="004450EB">
              <w:t>19</w:t>
            </w:r>
          </w:p>
        </w:tc>
        <w:tc>
          <w:tcPr>
            <w:tcW w:w="1247" w:type="dxa"/>
          </w:tcPr>
          <w:p w14:paraId="59F6BB0E" w14:textId="2359D388" w:rsidR="00E16464" w:rsidRPr="00E16464" w:rsidRDefault="00E16464" w:rsidP="00E16464">
            <w:pPr>
              <w:pStyle w:val="Tabletext"/>
              <w:jc w:val="left"/>
            </w:pPr>
            <w:r w:rsidRPr="004450EB">
              <w:t>3</w:t>
            </w:r>
            <w:r w:rsidRPr="00E16464">
              <w:t>,</w:t>
            </w:r>
            <w:r w:rsidRPr="004450EB">
              <w:t>25</w:t>
            </w:r>
          </w:p>
        </w:tc>
        <w:tc>
          <w:tcPr>
            <w:tcW w:w="1247" w:type="dxa"/>
          </w:tcPr>
          <w:p w14:paraId="6972DDA7" w14:textId="5FFC7643" w:rsidR="00E16464" w:rsidRPr="00E16464" w:rsidRDefault="00E16464" w:rsidP="00E16464">
            <w:pPr>
              <w:pStyle w:val="Tabletext"/>
              <w:jc w:val="left"/>
            </w:pPr>
            <w:r w:rsidRPr="004450EB">
              <w:t>17</w:t>
            </w:r>
            <w:r w:rsidRPr="00E16464">
              <w:t>,</w:t>
            </w:r>
            <w:r w:rsidRPr="004450EB">
              <w:t>83</w:t>
            </w:r>
            <w:r w:rsidR="00DC6A7A">
              <w:rPr>
                <w:rFonts w:ascii="Traditional Arabic" w:eastAsia="SimSun" w:hAnsi="Traditional Arabic"/>
                <w:lang w:bidi="ar-EG"/>
              </w:rPr>
              <w:t>-</w:t>
            </w:r>
          </w:p>
        </w:tc>
      </w:tr>
    </w:tbl>
    <w:p w14:paraId="7B512A4F" w14:textId="69083534" w:rsidR="00C317E5" w:rsidRPr="009C3B5E" w:rsidRDefault="009C3B5E" w:rsidP="0002659B">
      <w:pPr>
        <w:spacing w:before="240"/>
        <w:rPr>
          <w:rFonts w:eastAsia="SimSun"/>
          <w:rtl/>
          <w:lang w:val="en-GB"/>
        </w:rPr>
      </w:pPr>
      <w:r>
        <w:rPr>
          <w:rFonts w:eastAsia="SimSun" w:hint="cs"/>
          <w:rtl/>
        </w:rPr>
        <w:t xml:space="preserve">زوايا </w:t>
      </w:r>
      <w:r w:rsidR="00B037D1">
        <w:rPr>
          <w:rFonts w:eastAsia="SimSun" w:hint="cs"/>
          <w:rtl/>
        </w:rPr>
        <w:t>ال</w:t>
      </w:r>
      <w:r>
        <w:rPr>
          <w:rFonts w:eastAsia="SimSun" w:hint="cs"/>
          <w:rtl/>
        </w:rPr>
        <w:t xml:space="preserve">ارتفاع </w:t>
      </w:r>
      <w:r w:rsidR="00B037D1">
        <w:rPr>
          <w:rFonts w:eastAsia="SimSun" w:hint="cs"/>
          <w:rtl/>
        </w:rPr>
        <w:t>التشغيلية</w:t>
      </w:r>
      <w:r>
        <w:rPr>
          <w:rFonts w:eastAsia="SimSun" w:hint="cs"/>
          <w:rtl/>
        </w:rPr>
        <w:t xml:space="preserve"> للمحطات الأرضية هي دالة </w:t>
      </w:r>
      <w:r w:rsidR="004C1600">
        <w:rPr>
          <w:rFonts w:eastAsia="SimSun" w:hint="cs"/>
          <w:rtl/>
        </w:rPr>
        <w:t>ل</w:t>
      </w:r>
      <w:r>
        <w:rPr>
          <w:rFonts w:eastAsia="SimSun" w:hint="cs"/>
          <w:rtl/>
        </w:rPr>
        <w:t>خط العرض و</w:t>
      </w:r>
      <w:r w:rsidR="004C1600">
        <w:rPr>
          <w:rFonts w:eastAsia="SimSun" w:hint="cs"/>
          <w:rtl/>
        </w:rPr>
        <w:t>ل</w:t>
      </w:r>
      <w:r>
        <w:rPr>
          <w:rFonts w:eastAsia="SimSun" w:hint="cs"/>
          <w:rtl/>
        </w:rPr>
        <w:t xml:space="preserve">لفرق في خط الطول بين المحطة الأرضية </w:t>
      </w:r>
      <w:proofErr w:type="spellStart"/>
      <w:r>
        <w:rPr>
          <w:rFonts w:eastAsia="SimSun" w:hint="cs"/>
          <w:rtl/>
        </w:rPr>
        <w:t>والساتل</w:t>
      </w:r>
      <w:proofErr w:type="spellEnd"/>
      <w:r>
        <w:rPr>
          <w:rFonts w:eastAsia="SimSun" w:hint="cs"/>
          <w:rtl/>
        </w:rPr>
        <w:t xml:space="preserve"> المستهدف. وتتواصل المحطات الأرضية عادة مع ساتل عند </w:t>
      </w:r>
      <w:r w:rsidRPr="004450EB">
        <w:rPr>
          <w:rFonts w:eastAsia="SimSun"/>
        </w:rPr>
        <w:t>40</w:t>
      </w:r>
      <w:r w:rsidRPr="00555590">
        <w:t>±</w:t>
      </w:r>
      <w:r>
        <w:rPr>
          <w:rFonts w:eastAsia="SimSun" w:hint="cs"/>
          <w:rtl/>
          <w:lang w:val="en-GB"/>
        </w:rPr>
        <w:t xml:space="preserve"> درجة من خط طوله. وبالنسبة </w:t>
      </w:r>
      <w:r w:rsidR="00B04101">
        <w:rPr>
          <w:rFonts w:eastAsia="SimSun" w:hint="cs"/>
          <w:rtl/>
          <w:lang w:val="en-GB"/>
        </w:rPr>
        <w:t>ل</w:t>
      </w:r>
      <w:r>
        <w:rPr>
          <w:rFonts w:eastAsia="SimSun" w:hint="cs"/>
          <w:rtl/>
          <w:lang w:val="en-GB"/>
        </w:rPr>
        <w:t xml:space="preserve">خطوط العرض المتوسطة، غالباً ما تكون زوايا </w:t>
      </w:r>
      <w:r w:rsidR="007F51F7">
        <w:rPr>
          <w:rFonts w:eastAsia="SimSun" w:hint="cs"/>
          <w:rtl/>
          <w:lang w:val="en-GB"/>
        </w:rPr>
        <w:t>الارتفاع التشغيلية</w:t>
      </w:r>
      <w:r>
        <w:rPr>
          <w:rFonts w:eastAsia="SimSun" w:hint="cs"/>
          <w:rtl/>
          <w:lang w:val="en-GB"/>
        </w:rPr>
        <w:t xml:space="preserve"> أعلى بكثير من </w:t>
      </w:r>
      <w:r w:rsidR="00C72173" w:rsidRPr="004450EB">
        <w:rPr>
          <w:rFonts w:eastAsia="SimSun"/>
        </w:rPr>
        <w:t>5</w:t>
      </w:r>
      <w:r w:rsidRPr="004450EB">
        <w:rPr>
          <w:rFonts w:eastAsia="SimSun"/>
        </w:rPr>
        <w:t>0</w:t>
      </w:r>
      <w:r>
        <w:rPr>
          <w:rFonts w:eastAsia="SimSun" w:hint="cs"/>
          <w:rtl/>
          <w:lang w:val="en-GB"/>
        </w:rPr>
        <w:t xml:space="preserve"> درجة وبالنسبة لخطوط العرض </w:t>
      </w:r>
      <w:r w:rsidR="00B037D1">
        <w:rPr>
          <w:rFonts w:eastAsia="SimSun" w:hint="cs"/>
          <w:rtl/>
          <w:lang w:val="en-GB"/>
        </w:rPr>
        <w:t>الأعلى</w:t>
      </w:r>
      <w:r>
        <w:rPr>
          <w:rFonts w:eastAsia="SimSun" w:hint="cs"/>
          <w:rtl/>
          <w:lang w:val="en-GB"/>
        </w:rPr>
        <w:t xml:space="preserve">، </w:t>
      </w:r>
      <w:r w:rsidR="00C72173">
        <w:rPr>
          <w:rFonts w:eastAsia="SimSun" w:hint="cs"/>
          <w:rtl/>
          <w:lang w:val="en-GB"/>
        </w:rPr>
        <w:t>تبلغ</w:t>
      </w:r>
      <w:r>
        <w:rPr>
          <w:rFonts w:eastAsia="SimSun" w:hint="cs"/>
          <w:rtl/>
          <w:lang w:val="en-GB"/>
        </w:rPr>
        <w:t xml:space="preserve"> زاوية </w:t>
      </w:r>
      <w:r w:rsidR="007F51F7">
        <w:rPr>
          <w:rFonts w:eastAsia="SimSun" w:hint="cs"/>
          <w:rtl/>
          <w:lang w:val="en-GB"/>
        </w:rPr>
        <w:t>الارتفاع التشغيلية</w:t>
      </w:r>
      <w:r>
        <w:rPr>
          <w:rFonts w:eastAsia="SimSun" w:hint="cs"/>
          <w:rtl/>
          <w:lang w:val="en-GB"/>
        </w:rPr>
        <w:t xml:space="preserve"> </w:t>
      </w:r>
      <w:r w:rsidR="00C72173">
        <w:rPr>
          <w:rFonts w:eastAsia="SimSun" w:hint="cs"/>
          <w:rtl/>
          <w:lang w:val="en-GB"/>
        </w:rPr>
        <w:t>عادة</w:t>
      </w:r>
      <w:r>
        <w:rPr>
          <w:rFonts w:eastAsia="SimSun" w:hint="cs"/>
          <w:rtl/>
          <w:lang w:val="en-GB"/>
        </w:rPr>
        <w:t xml:space="preserve"> </w:t>
      </w:r>
      <w:r w:rsidRPr="004450EB">
        <w:rPr>
          <w:rFonts w:eastAsia="SimSun"/>
        </w:rPr>
        <w:t>35</w:t>
      </w:r>
      <w:r>
        <w:rPr>
          <w:rFonts w:eastAsia="SimSun" w:hint="cs"/>
          <w:rtl/>
          <w:lang w:val="en-GB"/>
        </w:rPr>
        <w:t xml:space="preserve"> درجة.</w:t>
      </w:r>
    </w:p>
    <w:p w14:paraId="5EA8F423" w14:textId="7E7AD7A3" w:rsidR="00DF38CA" w:rsidRDefault="007F51F7" w:rsidP="00C317E5">
      <w:pPr>
        <w:rPr>
          <w:rFonts w:eastAsia="SimSun"/>
          <w:rtl/>
          <w:lang w:val="en-GB"/>
        </w:rPr>
      </w:pPr>
      <w:r>
        <w:rPr>
          <w:rFonts w:eastAsia="SimSun" w:hint="cs"/>
          <w:rtl/>
        </w:rPr>
        <w:t xml:space="preserve">تستعمل المحطات </w:t>
      </w:r>
      <w:r>
        <w:rPr>
          <w:rFonts w:eastAsia="SimSun"/>
          <w:lang w:val="en-GB"/>
        </w:rPr>
        <w:t>A-ESIM</w:t>
      </w:r>
      <w:r>
        <w:rPr>
          <w:rFonts w:eastAsia="SimSun" w:hint="cs"/>
          <w:rtl/>
          <w:lang w:val="en-GB"/>
        </w:rPr>
        <w:t xml:space="preserve"> العديد من </w:t>
      </w:r>
      <w:r w:rsidR="00B62012">
        <w:rPr>
          <w:rFonts w:eastAsia="SimSun" w:hint="cs"/>
          <w:rtl/>
          <w:lang w:val="en-GB"/>
        </w:rPr>
        <w:t>أنواع الهوائيات المختلفة</w:t>
      </w:r>
      <w:r>
        <w:rPr>
          <w:rFonts w:eastAsia="SimSun" w:hint="cs"/>
          <w:rtl/>
          <w:lang w:val="en-GB"/>
        </w:rPr>
        <w:t xml:space="preserve">، </w:t>
      </w:r>
      <w:r w:rsidR="00B62012">
        <w:rPr>
          <w:rFonts w:eastAsia="SimSun" w:hint="cs"/>
          <w:rtl/>
          <w:lang w:val="en-GB"/>
        </w:rPr>
        <w:t>يسمح</w:t>
      </w:r>
      <w:r>
        <w:rPr>
          <w:rFonts w:eastAsia="SimSun" w:hint="cs"/>
          <w:rtl/>
          <w:lang w:val="en-GB"/>
        </w:rPr>
        <w:t xml:space="preserve"> بعضها </w:t>
      </w:r>
      <w:r w:rsidR="004C1600">
        <w:rPr>
          <w:rFonts w:eastAsia="SimSun" w:hint="cs"/>
          <w:rtl/>
          <w:lang w:val="en-GB"/>
        </w:rPr>
        <w:t>لهذه المحطات</w:t>
      </w:r>
      <w:r>
        <w:rPr>
          <w:rFonts w:eastAsia="SimSun" w:hint="cs"/>
          <w:rtl/>
          <w:lang w:val="en-GB"/>
        </w:rPr>
        <w:t xml:space="preserve"> </w:t>
      </w:r>
      <w:r w:rsidR="00B62012">
        <w:rPr>
          <w:rFonts w:eastAsia="SimSun" w:hint="cs"/>
          <w:rtl/>
          <w:lang w:val="en-GB"/>
        </w:rPr>
        <w:t>بالحفاظ</w:t>
      </w:r>
      <w:r>
        <w:rPr>
          <w:rFonts w:eastAsia="SimSun" w:hint="cs"/>
          <w:rtl/>
          <w:lang w:val="en-GB"/>
        </w:rPr>
        <w:t xml:space="preserve"> على</w:t>
      </w:r>
      <w:r w:rsidR="00B62012">
        <w:rPr>
          <w:rFonts w:eastAsia="SimSun" w:hint="cs"/>
          <w:rtl/>
          <w:lang w:val="en-GB"/>
        </w:rPr>
        <w:t xml:space="preserve"> </w:t>
      </w:r>
      <w:r w:rsidR="004C1600">
        <w:rPr>
          <w:rFonts w:eastAsia="SimSun" w:hint="cs"/>
          <w:rtl/>
          <w:lang w:val="en-GB"/>
        </w:rPr>
        <w:t>إرسالات</w:t>
      </w:r>
      <w:r>
        <w:rPr>
          <w:rFonts w:eastAsia="SimSun" w:hint="cs"/>
          <w:rtl/>
          <w:lang w:val="en-GB"/>
        </w:rPr>
        <w:t xml:space="preserve"> </w:t>
      </w:r>
      <w:r w:rsidR="004C1600">
        <w:rPr>
          <w:rFonts w:eastAsia="SimSun" w:hint="cs"/>
          <w:rtl/>
          <w:lang w:val="en-GB"/>
        </w:rPr>
        <w:t>تقل</w:t>
      </w:r>
      <w:r>
        <w:rPr>
          <w:rFonts w:eastAsia="SimSun" w:hint="cs"/>
          <w:rtl/>
          <w:lang w:val="en-GB"/>
        </w:rPr>
        <w:t xml:space="preserve"> بكثير </w:t>
      </w:r>
      <w:r w:rsidR="004C1600">
        <w:rPr>
          <w:rFonts w:eastAsia="SimSun" w:hint="cs"/>
          <w:rtl/>
          <w:lang w:val="en-GB"/>
        </w:rPr>
        <w:t>عن</w:t>
      </w:r>
      <w:r>
        <w:rPr>
          <w:rFonts w:eastAsia="SimSun" w:hint="cs"/>
          <w:rtl/>
          <w:lang w:val="en-GB"/>
        </w:rPr>
        <w:t xml:space="preserve"> </w:t>
      </w:r>
      <w:r>
        <w:rPr>
          <w:rFonts w:hint="cs"/>
          <w:color w:val="000000"/>
          <w:rtl/>
        </w:rPr>
        <w:t>حدود</w:t>
      </w:r>
      <w:r>
        <w:rPr>
          <w:color w:val="000000"/>
          <w:rtl/>
        </w:rPr>
        <w:t xml:space="preserve"> كثافة </w:t>
      </w:r>
      <w:r>
        <w:rPr>
          <w:rFonts w:hint="cs"/>
          <w:color w:val="000000"/>
          <w:rtl/>
        </w:rPr>
        <w:t>ا</w:t>
      </w:r>
      <w:r>
        <w:rPr>
          <w:color w:val="000000"/>
          <w:rtl/>
        </w:rPr>
        <w:t xml:space="preserve">لقدرة المشعة المكافئة </w:t>
      </w:r>
      <w:proofErr w:type="spellStart"/>
      <w:r>
        <w:rPr>
          <w:color w:val="000000"/>
          <w:rtl/>
        </w:rPr>
        <w:t>المتناحية</w:t>
      </w:r>
      <w:proofErr w:type="spellEnd"/>
      <w:r>
        <w:rPr>
          <w:color w:val="000000"/>
          <w:rtl/>
        </w:rPr>
        <w:t xml:space="preserve"> خارج المحور المحددة في </w:t>
      </w:r>
      <w:r>
        <w:rPr>
          <w:rFonts w:hint="cs"/>
          <w:color w:val="000000"/>
          <w:rtl/>
        </w:rPr>
        <w:t xml:space="preserve">التوصية </w:t>
      </w:r>
      <w:r>
        <w:rPr>
          <w:color w:val="000000"/>
        </w:rPr>
        <w:t>ITU-R S.</w:t>
      </w:r>
      <w:r w:rsidRPr="004450EB">
        <w:rPr>
          <w:color w:val="000000"/>
        </w:rPr>
        <w:t>524</w:t>
      </w:r>
      <w:r>
        <w:rPr>
          <w:color w:val="000000"/>
        </w:rPr>
        <w:t>-</w:t>
      </w:r>
      <w:r w:rsidRPr="004450EB">
        <w:rPr>
          <w:color w:val="000000"/>
        </w:rPr>
        <w:t>9</w:t>
      </w:r>
      <w:r>
        <w:rPr>
          <w:rFonts w:hint="cs"/>
          <w:color w:val="000000"/>
          <w:rtl/>
        </w:rPr>
        <w:t>.</w:t>
      </w:r>
      <w:r w:rsidR="00D76D9B">
        <w:rPr>
          <w:rFonts w:hint="cs"/>
          <w:color w:val="000000"/>
          <w:rtl/>
        </w:rPr>
        <w:t xml:space="preserve"> </w:t>
      </w:r>
      <w:r w:rsidR="00453313">
        <w:rPr>
          <w:rFonts w:hint="cs"/>
          <w:color w:val="000000"/>
          <w:rtl/>
        </w:rPr>
        <w:t>ويرد مثال لهذا الهوائي في</w:t>
      </w:r>
      <w:r w:rsidR="00D76D9B">
        <w:rPr>
          <w:rFonts w:hint="cs"/>
          <w:color w:val="000000"/>
          <w:rtl/>
        </w:rPr>
        <w:t xml:space="preserve"> الشكل </w:t>
      </w:r>
      <w:r w:rsidR="00D76D9B">
        <w:rPr>
          <w:color w:val="000000"/>
          <w:lang w:val="en-GB"/>
        </w:rPr>
        <w:t>H-A</w:t>
      </w:r>
      <w:r w:rsidR="00D76D9B" w:rsidRPr="004450EB">
        <w:rPr>
          <w:color w:val="000000"/>
        </w:rPr>
        <w:t>1</w:t>
      </w:r>
      <w:r w:rsidR="00D76D9B">
        <w:rPr>
          <w:rFonts w:hint="cs"/>
          <w:color w:val="000000"/>
          <w:rtl/>
          <w:lang w:val="en-GB"/>
        </w:rPr>
        <w:t xml:space="preserve"> </w:t>
      </w:r>
      <w:r w:rsidR="00453313">
        <w:rPr>
          <w:rFonts w:hint="cs"/>
          <w:color w:val="000000"/>
          <w:rtl/>
          <w:lang w:val="en-GB"/>
        </w:rPr>
        <w:t xml:space="preserve">أدناه </w:t>
      </w:r>
      <w:r w:rsidR="00D76D9B">
        <w:rPr>
          <w:rFonts w:hint="cs"/>
          <w:color w:val="000000"/>
          <w:rtl/>
          <w:lang w:val="en-GB"/>
        </w:rPr>
        <w:t xml:space="preserve">الوارد في ملحق المشروع التمهيدي للتقرير الجديد </w:t>
      </w:r>
      <w:r w:rsidR="00D76D9B" w:rsidRPr="00555590">
        <w:t xml:space="preserve">ITU-R </w:t>
      </w:r>
      <w:proofErr w:type="gramStart"/>
      <w:r w:rsidR="00D76D9B" w:rsidRPr="00555590">
        <w:t>S.[</w:t>
      </w:r>
      <w:proofErr w:type="gramEnd"/>
      <w:r w:rsidR="00D76D9B" w:rsidRPr="00555590">
        <w:t>ESIM-MS]</w:t>
      </w:r>
      <w:r w:rsidR="00D76D9B">
        <w:rPr>
          <w:rFonts w:hint="cs"/>
          <w:color w:val="000000"/>
          <w:rtl/>
          <w:lang w:val="en-GB"/>
        </w:rPr>
        <w:t xml:space="preserve"> </w:t>
      </w:r>
      <w:r w:rsidR="00453313">
        <w:rPr>
          <w:rFonts w:hint="cs"/>
          <w:color w:val="000000"/>
          <w:rtl/>
          <w:lang w:val="en-GB"/>
        </w:rPr>
        <w:t>وهو مقدم</w:t>
      </w:r>
      <w:r w:rsidR="00396C4F">
        <w:rPr>
          <w:rFonts w:eastAsia="SimSun" w:hint="cs"/>
          <w:rtl/>
          <w:lang w:val="en-GB"/>
        </w:rPr>
        <w:t xml:space="preserve"> لأغراض التيسير. وعند استخدام مثل هذا الهوائي، يمكن ملاحظة أن كثافة القدرة المشعة المكافئة </w:t>
      </w:r>
      <w:proofErr w:type="spellStart"/>
      <w:r w:rsidR="00396C4F">
        <w:rPr>
          <w:rFonts w:eastAsia="SimSun" w:hint="cs"/>
          <w:rtl/>
          <w:lang w:val="en-GB"/>
        </w:rPr>
        <w:t>المتناحية</w:t>
      </w:r>
      <w:proofErr w:type="spellEnd"/>
      <w:r w:rsidR="00396C4F">
        <w:rPr>
          <w:rFonts w:eastAsia="SimSun" w:hint="cs"/>
          <w:rtl/>
          <w:lang w:val="en-GB"/>
        </w:rPr>
        <w:t xml:space="preserve"> الفعلية عند مختلف زوايا </w:t>
      </w:r>
      <w:proofErr w:type="spellStart"/>
      <w:r w:rsidR="00396C4F">
        <w:rPr>
          <w:rFonts w:eastAsia="SimSun" w:hint="cs"/>
          <w:rtl/>
          <w:lang w:val="en-GB"/>
        </w:rPr>
        <w:t>ثيتا</w:t>
      </w:r>
      <w:proofErr w:type="spellEnd"/>
      <w:r w:rsidR="00396C4F">
        <w:rPr>
          <w:rFonts w:eastAsia="SimSun" w:hint="cs"/>
          <w:rtl/>
          <w:lang w:val="en-GB"/>
        </w:rPr>
        <w:t xml:space="preserve"> أقل بكثير من حدود القناع الواردة في التوصية </w:t>
      </w:r>
      <w:r w:rsidR="00396C4F">
        <w:rPr>
          <w:rFonts w:eastAsia="SimSun"/>
          <w:lang w:val="en-GB"/>
        </w:rPr>
        <w:t>ITU-R S.</w:t>
      </w:r>
      <w:r w:rsidR="00396C4F" w:rsidRPr="004450EB">
        <w:rPr>
          <w:rFonts w:eastAsia="SimSun"/>
        </w:rPr>
        <w:t>524</w:t>
      </w:r>
      <w:r w:rsidR="00396C4F">
        <w:rPr>
          <w:rFonts w:eastAsia="SimSun"/>
          <w:lang w:val="en-GB"/>
        </w:rPr>
        <w:t>-</w:t>
      </w:r>
      <w:r w:rsidR="00396C4F" w:rsidRPr="004450EB">
        <w:rPr>
          <w:rFonts w:eastAsia="SimSun"/>
        </w:rPr>
        <w:t>9</w:t>
      </w:r>
      <w:r w:rsidR="00396C4F">
        <w:rPr>
          <w:rFonts w:eastAsia="SimSun" w:hint="cs"/>
          <w:rtl/>
          <w:lang w:val="en-GB"/>
        </w:rPr>
        <w:t>.</w:t>
      </w:r>
    </w:p>
    <w:p w14:paraId="49AF9096" w14:textId="77777777" w:rsidR="005D4B69" w:rsidRDefault="005D4B69" w:rsidP="00C317E5">
      <w:pPr>
        <w:rPr>
          <w:rFonts w:eastAsia="SimSun"/>
          <w:rtl/>
          <w:lang w:val="en-GB"/>
        </w:rPr>
      </w:pPr>
    </w:p>
    <w:p w14:paraId="61FD2E74" w14:textId="66C7A363" w:rsidR="00DF38CA" w:rsidRDefault="00DF38CA" w:rsidP="00C317E5">
      <w:pPr>
        <w:rPr>
          <w:rFonts w:eastAsia="SimSun"/>
          <w:lang w:bidi="ar-EG"/>
        </w:rPr>
      </w:pPr>
      <w:r w:rsidRPr="00E0557D">
        <w:rPr>
          <w:noProof/>
          <w:lang w:eastAsia="en-GB"/>
        </w:rPr>
        <w:lastRenderedPageBreak/>
        <w:drawing>
          <wp:inline distT="0" distB="0" distL="0" distR="0" wp14:anchorId="3C63EB94" wp14:editId="60516C4C">
            <wp:extent cx="5943600" cy="4304030"/>
            <wp:effectExtent l="0" t="0" r="0" b="127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47230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45E05" w14:textId="77777777" w:rsidR="005D4B69" w:rsidRDefault="00B62012" w:rsidP="005D4B69">
      <w:pPr>
        <w:pStyle w:val="FigureNo"/>
        <w:rPr>
          <w:rFonts w:eastAsia="SimSun"/>
          <w:rtl/>
        </w:rPr>
      </w:pPr>
      <w:r w:rsidRPr="00B62012">
        <w:rPr>
          <w:rFonts w:eastAsia="SimSun" w:hint="cs"/>
          <w:rtl/>
        </w:rPr>
        <w:t xml:space="preserve">الشكل </w:t>
      </w:r>
      <w:r w:rsidRPr="00B62012">
        <w:rPr>
          <w:color w:val="000000"/>
          <w:lang w:val="en-GB"/>
        </w:rPr>
        <w:t>H-A</w:t>
      </w:r>
      <w:r w:rsidRPr="004450EB">
        <w:rPr>
          <w:color w:val="000000"/>
        </w:rPr>
        <w:t>1</w:t>
      </w:r>
    </w:p>
    <w:p w14:paraId="2F93136A" w14:textId="330CBDF6" w:rsidR="00B62012" w:rsidRPr="005D4B69" w:rsidRDefault="00B62012" w:rsidP="005D4B69">
      <w:pPr>
        <w:pStyle w:val="Figuretitle"/>
        <w:rPr>
          <w:rtl/>
        </w:rPr>
      </w:pPr>
      <w:r w:rsidRPr="005D4B69">
        <w:rPr>
          <w:rFonts w:hint="cs"/>
          <w:rtl/>
        </w:rPr>
        <w:t xml:space="preserve">مخطط كثافة القدرة المشعة المكافئة </w:t>
      </w:r>
      <w:proofErr w:type="spellStart"/>
      <w:r w:rsidRPr="005D4B69">
        <w:rPr>
          <w:rFonts w:hint="cs"/>
          <w:rtl/>
        </w:rPr>
        <w:t>المتناحية</w:t>
      </w:r>
      <w:proofErr w:type="spellEnd"/>
      <w:r w:rsidRPr="005D4B69">
        <w:rPr>
          <w:rFonts w:hint="cs"/>
          <w:rtl/>
        </w:rPr>
        <w:t xml:space="preserve"> خارج المحور لهوائي </w:t>
      </w:r>
      <w:r w:rsidRPr="005D4B69">
        <w:t>A-ESIM</w:t>
      </w:r>
      <w:r w:rsidRPr="005D4B69">
        <w:rPr>
          <w:rFonts w:hint="cs"/>
          <w:rtl/>
        </w:rPr>
        <w:t xml:space="preserve"> يبلغ قطره </w:t>
      </w:r>
      <w:r w:rsidRPr="005D4B69">
        <w:t>cm 78</w:t>
      </w:r>
    </w:p>
    <w:p w14:paraId="6CB378A4" w14:textId="77777777" w:rsidR="00DF38CA" w:rsidRPr="00DF38CA" w:rsidRDefault="00DF38CA" w:rsidP="005D4B69">
      <w:pPr>
        <w:spacing w:before="240"/>
        <w:rPr>
          <w:rFonts w:eastAsia="SimSun"/>
          <w:lang w:val="en-GB" w:bidi="ar-EG"/>
        </w:rPr>
      </w:pPr>
      <w:r w:rsidRPr="00DF38CA">
        <w:rPr>
          <w:rFonts w:eastAsia="SimSun"/>
          <w:lang w:val="en-GB" w:bidi="ar-EG"/>
        </w:rPr>
        <w:t>*  *  *  *  *</w:t>
      </w:r>
    </w:p>
    <w:p w14:paraId="24134C43" w14:textId="2F558061" w:rsidR="00DF38CA" w:rsidRDefault="00B62012" w:rsidP="00DF38CA">
      <w:pPr>
        <w:pStyle w:val="Headingb"/>
        <w:rPr>
          <w:rFonts w:eastAsia="SimSun"/>
          <w:rtl/>
        </w:rPr>
      </w:pPr>
      <w:r>
        <w:rPr>
          <w:rFonts w:eastAsia="SimSun" w:hint="cs"/>
          <w:rtl/>
        </w:rPr>
        <w:t>الآراء والمقترحات</w:t>
      </w:r>
    </w:p>
    <w:p w14:paraId="7F0BB008" w14:textId="05E72E05" w:rsidR="00DF38CA" w:rsidRPr="0020484A" w:rsidRDefault="006347CB" w:rsidP="00DF38CA">
      <w:pPr>
        <w:rPr>
          <w:rFonts w:eastAsia="SimSun"/>
          <w:rtl/>
          <w:lang w:val="en-GB"/>
        </w:rPr>
      </w:pPr>
      <w:r>
        <w:rPr>
          <w:rFonts w:eastAsia="SimSun" w:hint="cs"/>
          <w:rtl/>
        </w:rPr>
        <w:t xml:space="preserve">إن </w:t>
      </w:r>
      <w:r w:rsidR="00B62012">
        <w:rPr>
          <w:rFonts w:eastAsia="SimSun" w:hint="cs"/>
          <w:rtl/>
        </w:rPr>
        <w:t>استبعاد التو</w:t>
      </w:r>
      <w:r>
        <w:rPr>
          <w:rFonts w:eastAsia="SimSun" w:hint="cs"/>
          <w:rtl/>
        </w:rPr>
        <w:t xml:space="preserve">هين الجوي من الدراسة في الوثيقة </w:t>
      </w:r>
      <w:r w:rsidRPr="004450EB">
        <w:rPr>
          <w:rFonts w:eastAsia="SimSun"/>
        </w:rPr>
        <w:t>61</w:t>
      </w:r>
      <w:r>
        <w:rPr>
          <w:rFonts w:eastAsia="SimSun" w:hint="cs"/>
          <w:rtl/>
          <w:lang w:val="en-GB"/>
        </w:rPr>
        <w:t xml:space="preserve"> (الإضافة </w:t>
      </w:r>
      <w:r w:rsidRPr="004450EB">
        <w:rPr>
          <w:rFonts w:eastAsia="SimSun"/>
        </w:rPr>
        <w:t>5</w:t>
      </w:r>
      <w:r>
        <w:rPr>
          <w:rFonts w:eastAsia="SimSun" w:hint="cs"/>
          <w:rtl/>
          <w:lang w:val="en-GB"/>
        </w:rPr>
        <w:t xml:space="preserve">) له تأثير عميق على نتائج الدراسة. </w:t>
      </w:r>
      <w:r w:rsidR="006F6570">
        <w:rPr>
          <w:rFonts w:eastAsia="SimSun" w:hint="cs"/>
          <w:rtl/>
          <w:lang w:val="en-GB"/>
        </w:rPr>
        <w:t xml:space="preserve">وإذا أُخذ في الاعتبار التوهين الجوي وقدرة مشغلي المحطات </w:t>
      </w:r>
      <w:r w:rsidR="006F6570">
        <w:rPr>
          <w:rFonts w:eastAsia="SimSun"/>
          <w:lang w:val="en-GB"/>
        </w:rPr>
        <w:t>A-ESIM</w:t>
      </w:r>
      <w:r w:rsidR="006F6570">
        <w:rPr>
          <w:rFonts w:eastAsia="SimSun" w:hint="cs"/>
          <w:rtl/>
          <w:lang w:val="en-GB"/>
        </w:rPr>
        <w:t xml:space="preserve"> على ضبط كثافة قدرة الإرسال، </w:t>
      </w:r>
      <w:r w:rsidR="008151CA">
        <w:rPr>
          <w:rFonts w:eastAsia="SimSun" w:hint="cs"/>
          <w:rtl/>
          <w:lang w:val="en-GB"/>
        </w:rPr>
        <w:t>ف</w:t>
      </w:r>
      <w:r w:rsidR="006F6570">
        <w:rPr>
          <w:rFonts w:eastAsia="SimSun" w:hint="cs"/>
          <w:rtl/>
          <w:lang w:val="en-GB"/>
        </w:rPr>
        <w:t xml:space="preserve">سيتم استخلاص نتائج مختلفة. وعلى وجه التحديد، وكما هو موضح أعلاه، يمكن لمشغلي المحطات </w:t>
      </w:r>
      <w:r w:rsidR="006F6570">
        <w:rPr>
          <w:rFonts w:eastAsia="SimSun"/>
          <w:lang w:val="en-GB"/>
        </w:rPr>
        <w:t>A-ESIM</w:t>
      </w:r>
      <w:r w:rsidR="006F6570">
        <w:rPr>
          <w:rFonts w:eastAsia="SimSun" w:hint="cs"/>
          <w:rtl/>
          <w:lang w:val="en-GB"/>
        </w:rPr>
        <w:t xml:space="preserve"> التقيد بأقنة كثافة تدفق القدرة المختلفة قيد النظر (الخيار </w:t>
      </w:r>
      <w:r w:rsidR="006F6570" w:rsidRPr="004450EB">
        <w:rPr>
          <w:rFonts w:eastAsia="SimSun"/>
        </w:rPr>
        <w:t>1</w:t>
      </w:r>
      <w:r w:rsidR="006F6570">
        <w:rPr>
          <w:rFonts w:eastAsia="SimSun" w:hint="cs"/>
          <w:rtl/>
          <w:lang w:val="en-GB"/>
        </w:rPr>
        <w:t xml:space="preserve"> والخيار</w:t>
      </w:r>
      <w:r w:rsidR="005D4B69">
        <w:rPr>
          <w:rFonts w:eastAsia="SimSun" w:hint="eastAsia"/>
          <w:rtl/>
          <w:lang w:val="en-GB"/>
        </w:rPr>
        <w:t> </w:t>
      </w:r>
      <w:r w:rsidR="006F6570" w:rsidRPr="004450EB">
        <w:rPr>
          <w:rFonts w:eastAsia="SimSun"/>
        </w:rPr>
        <w:t>2</w:t>
      </w:r>
      <w:r w:rsidR="006F6570">
        <w:rPr>
          <w:rFonts w:eastAsia="SimSun" w:hint="cs"/>
          <w:rtl/>
          <w:lang w:val="en-GB"/>
        </w:rPr>
        <w:t xml:space="preserve"> والمقترح </w:t>
      </w:r>
      <w:r w:rsidR="006F6570" w:rsidRPr="00E0557D">
        <w:t>CITEL IAP</w:t>
      </w:r>
      <w:r w:rsidR="006F6570">
        <w:rPr>
          <w:rFonts w:eastAsia="SimSun" w:hint="cs"/>
          <w:rtl/>
          <w:lang w:val="en-GB"/>
        </w:rPr>
        <w:t>) في معظم السيناريوهات.</w:t>
      </w:r>
      <w:r w:rsidR="00EC0406">
        <w:rPr>
          <w:rFonts w:eastAsia="SimSun" w:hint="cs"/>
          <w:rtl/>
          <w:lang w:val="en-GB"/>
        </w:rPr>
        <w:t xml:space="preserve"> </w:t>
      </w:r>
      <w:r w:rsidR="0020484A">
        <w:rPr>
          <w:rFonts w:eastAsia="SimSun" w:hint="cs"/>
          <w:rtl/>
          <w:lang w:val="en-GB"/>
        </w:rPr>
        <w:t>كما أن</w:t>
      </w:r>
      <w:r w:rsidR="00EC0406">
        <w:rPr>
          <w:rFonts w:eastAsia="SimSun" w:hint="cs"/>
          <w:rtl/>
          <w:lang w:val="en-GB"/>
        </w:rPr>
        <w:t xml:space="preserve"> المحطات </w:t>
      </w:r>
      <w:r w:rsidR="00EC0406">
        <w:rPr>
          <w:rFonts w:eastAsia="SimSun"/>
          <w:lang w:val="en-GB"/>
        </w:rPr>
        <w:t>A-ESIM</w:t>
      </w:r>
      <w:r w:rsidR="00EC0406">
        <w:rPr>
          <w:rFonts w:eastAsia="SimSun" w:hint="cs"/>
          <w:rtl/>
          <w:lang w:val="en-GB"/>
        </w:rPr>
        <w:t xml:space="preserve"> التي تستعمل هوائيات عالية الأداء</w:t>
      </w:r>
      <w:r w:rsidR="0020484A">
        <w:rPr>
          <w:rFonts w:eastAsia="SimSun" w:hint="cs"/>
          <w:rtl/>
          <w:lang w:val="en-GB"/>
        </w:rPr>
        <w:t xml:space="preserve"> ستكون</w:t>
      </w:r>
      <w:r w:rsidR="00EC0406">
        <w:rPr>
          <w:rFonts w:eastAsia="SimSun" w:hint="cs"/>
          <w:rtl/>
          <w:lang w:val="en-GB"/>
        </w:rPr>
        <w:t xml:space="preserve"> قادرة على التقيد بحدود كثافة تدفق القدرة حتى عند ارتفاعات أدنى ومسافات</w:t>
      </w:r>
      <w:r w:rsidR="001C5C30">
        <w:rPr>
          <w:rFonts w:eastAsia="SimSun" w:hint="cs"/>
          <w:rtl/>
          <w:lang w:val="en-GB"/>
        </w:rPr>
        <w:t xml:space="preserve"> فصل</w:t>
      </w:r>
      <w:r w:rsidR="00EC0406">
        <w:rPr>
          <w:rFonts w:eastAsia="SimSun" w:hint="cs"/>
          <w:rtl/>
          <w:lang w:val="en-GB"/>
        </w:rPr>
        <w:t xml:space="preserve"> </w:t>
      </w:r>
      <w:r w:rsidR="001C5C30">
        <w:rPr>
          <w:rFonts w:eastAsia="SimSun" w:hint="cs"/>
          <w:rtl/>
          <w:lang w:val="en-GB"/>
        </w:rPr>
        <w:t>أقصر بالنسبة</w:t>
      </w:r>
      <w:r w:rsidR="00EC0406">
        <w:rPr>
          <w:rFonts w:eastAsia="SimSun" w:hint="cs"/>
          <w:rtl/>
          <w:lang w:val="en-GB"/>
        </w:rPr>
        <w:t xml:space="preserve"> </w:t>
      </w:r>
      <w:r w:rsidR="001C5C30">
        <w:rPr>
          <w:rFonts w:eastAsia="SimSun" w:hint="cs"/>
          <w:rtl/>
          <w:lang w:val="en-GB"/>
        </w:rPr>
        <w:t>ل</w:t>
      </w:r>
      <w:r w:rsidR="00EC0406">
        <w:rPr>
          <w:rFonts w:eastAsia="SimSun" w:hint="cs"/>
          <w:rtl/>
          <w:lang w:val="en-GB"/>
        </w:rPr>
        <w:t>لمحطات الأرضية.</w:t>
      </w:r>
      <w:r w:rsidR="0020484A">
        <w:rPr>
          <w:rFonts w:eastAsia="SimSun" w:hint="cs"/>
          <w:rtl/>
          <w:lang w:val="en-GB"/>
        </w:rPr>
        <w:t xml:space="preserve"> وفي الحالات التي لا</w:t>
      </w:r>
      <w:r w:rsidR="005D4B69">
        <w:rPr>
          <w:rFonts w:eastAsia="SimSun" w:hint="eastAsia"/>
          <w:rtl/>
          <w:lang w:val="en-GB"/>
        </w:rPr>
        <w:t> </w:t>
      </w:r>
      <w:r w:rsidR="0020484A">
        <w:rPr>
          <w:rFonts w:eastAsia="SimSun" w:hint="cs"/>
          <w:rtl/>
          <w:lang w:val="en-GB"/>
        </w:rPr>
        <w:t xml:space="preserve">يمكن فيها للمحطات </w:t>
      </w:r>
      <w:r w:rsidR="0020484A">
        <w:rPr>
          <w:rFonts w:eastAsia="SimSun"/>
          <w:lang w:val="en-GB"/>
        </w:rPr>
        <w:t>A-ESIM</w:t>
      </w:r>
      <w:r w:rsidR="0020484A">
        <w:rPr>
          <w:rFonts w:eastAsia="SimSun" w:hint="cs"/>
          <w:rtl/>
          <w:lang w:val="en-GB"/>
        </w:rPr>
        <w:t xml:space="preserve"> أن تتقيد بحدود كثافة تدفق القدرة، سيتقيد مشغلو هذه المحطات بحدود كثافة تدفق القدرة عن طريق منع الإرسالات على نفس الترددات لضمان التوافق مع خدمات الأرض على نفس الترددات. </w:t>
      </w:r>
    </w:p>
    <w:p w14:paraId="396A97A1" w14:textId="545FADAB" w:rsidR="00DF38CA" w:rsidRDefault="00AF4B54" w:rsidP="00DF38CA">
      <w:pPr>
        <w:rPr>
          <w:rFonts w:eastAsia="SimSun"/>
          <w:rtl/>
          <w:lang w:bidi="ar-EG"/>
        </w:rPr>
      </w:pPr>
      <w:r>
        <w:rPr>
          <w:rFonts w:eastAsia="SimSun" w:hint="cs"/>
          <w:rtl/>
        </w:rPr>
        <w:t xml:space="preserve">والأهم من ذلك، وكما يبدو من الحسابات المقدمة كمثال في هذه الوثيقة، </w:t>
      </w:r>
      <w:r w:rsidR="004C1600">
        <w:rPr>
          <w:rFonts w:eastAsia="SimSun" w:hint="cs"/>
          <w:rtl/>
        </w:rPr>
        <w:t>فإن</w:t>
      </w:r>
      <w:r>
        <w:rPr>
          <w:rFonts w:eastAsia="SimSun" w:hint="cs"/>
          <w:rtl/>
        </w:rPr>
        <w:t xml:space="preserve"> عمليات ضبط الارتفاعات التي يجب أن تقوم بها المحطات </w:t>
      </w:r>
      <w:r>
        <w:rPr>
          <w:rFonts w:eastAsia="SimSun"/>
          <w:lang w:val="en-GB"/>
        </w:rPr>
        <w:t>A-ESIM</w:t>
      </w:r>
      <w:r>
        <w:rPr>
          <w:rFonts w:eastAsia="SimSun" w:hint="cs"/>
          <w:rtl/>
          <w:lang w:val="en-GB"/>
        </w:rPr>
        <w:t xml:space="preserve"> للامتثال لحدود كثافة تدفق القدرة </w:t>
      </w:r>
      <w:r w:rsidR="004C1600">
        <w:rPr>
          <w:rFonts w:eastAsia="SimSun" w:hint="cs"/>
          <w:rtl/>
          <w:lang w:val="en-GB"/>
        </w:rPr>
        <w:t xml:space="preserve">تعتمد </w:t>
      </w:r>
      <w:r>
        <w:rPr>
          <w:rFonts w:eastAsia="SimSun" w:hint="cs"/>
          <w:rtl/>
          <w:lang w:val="en-GB"/>
        </w:rPr>
        <w:t xml:space="preserve">على عدد من العوامل وتختلف باستمرار مع تحرك الطائرة. وبالتالي، فإن </w:t>
      </w:r>
      <w:r w:rsidR="002F7654">
        <w:rPr>
          <w:rFonts w:eastAsia="SimSun" w:hint="cs"/>
          <w:rtl/>
          <w:lang w:val="en-GB"/>
        </w:rPr>
        <w:t xml:space="preserve">فرض </w:t>
      </w:r>
      <w:r>
        <w:rPr>
          <w:rFonts w:eastAsia="SimSun" w:hint="cs"/>
          <w:rtl/>
          <w:lang w:val="en-GB"/>
        </w:rPr>
        <w:t xml:space="preserve">حد ارتفاع أدنى </w:t>
      </w:r>
      <w:r w:rsidR="002F7654">
        <w:rPr>
          <w:rFonts w:eastAsia="SimSun" w:hint="cs"/>
          <w:rtl/>
          <w:lang w:val="en-GB"/>
        </w:rPr>
        <w:t xml:space="preserve">على المحطات </w:t>
      </w:r>
      <w:r w:rsidR="002F7654">
        <w:rPr>
          <w:rFonts w:eastAsia="SimSun"/>
          <w:lang w:val="en-GB"/>
        </w:rPr>
        <w:t>A-ESIM</w:t>
      </w:r>
      <w:r w:rsidR="002F7654">
        <w:rPr>
          <w:rFonts w:eastAsia="SimSun" w:hint="cs"/>
          <w:rtl/>
          <w:lang w:val="en-GB"/>
        </w:rPr>
        <w:t xml:space="preserve"> استناداً إلى مجموعة من المعلمات لأسواء حالة غير واقعية من شأنه أن يقيد بشدة المحطات </w:t>
      </w:r>
      <w:r w:rsidR="002F7654" w:rsidRPr="00E0557D">
        <w:t>A-ESIM</w:t>
      </w:r>
      <w:r w:rsidR="002F7654">
        <w:rPr>
          <w:rFonts w:eastAsia="SimSun" w:hint="cs"/>
          <w:rtl/>
        </w:rPr>
        <w:t xml:space="preserve"> </w:t>
      </w:r>
      <w:r w:rsidR="004C1600">
        <w:rPr>
          <w:rFonts w:eastAsia="SimSun" w:hint="cs"/>
          <w:rtl/>
        </w:rPr>
        <w:t>ويؤدي إلى استعمال</w:t>
      </w:r>
      <w:r w:rsidR="002F7654">
        <w:rPr>
          <w:rFonts w:eastAsia="SimSun" w:hint="cs"/>
          <w:rtl/>
        </w:rPr>
        <w:t xml:space="preserve"> غير فعال لموارد الطيف. وعلاوة على ذلك، </w:t>
      </w:r>
      <w:r w:rsidR="004C1600">
        <w:rPr>
          <w:rFonts w:eastAsia="SimSun" w:hint="cs"/>
          <w:rtl/>
        </w:rPr>
        <w:t>سيكون</w:t>
      </w:r>
      <w:r w:rsidR="002F7654">
        <w:rPr>
          <w:rFonts w:eastAsia="SimSun" w:hint="cs"/>
          <w:rtl/>
        </w:rPr>
        <w:t xml:space="preserve"> هذا القيد غير ضروري على الإطلاق علماً أن الامتثال لقناع كثافة تدفق القدرة سيوفر الحماية الكاملة لخدمات الأرض. </w:t>
      </w:r>
      <w:r w:rsidR="000C1B18">
        <w:rPr>
          <w:rFonts w:eastAsia="SimSun" w:hint="cs"/>
          <w:rtl/>
        </w:rPr>
        <w:t xml:space="preserve">وجدير بالإشارة إلى أن الارتفاع الذي يمكن أن تعمل </w:t>
      </w:r>
      <w:r w:rsidR="004C1600">
        <w:rPr>
          <w:rFonts w:eastAsia="SimSun" w:hint="cs"/>
          <w:rtl/>
        </w:rPr>
        <w:t>عنده ال</w:t>
      </w:r>
      <w:r w:rsidR="000C1B18">
        <w:rPr>
          <w:rFonts w:eastAsia="SimSun" w:hint="cs"/>
          <w:rtl/>
        </w:rPr>
        <w:t xml:space="preserve">محطات </w:t>
      </w:r>
      <w:r w:rsidR="000C1B18" w:rsidRPr="00E0557D">
        <w:t>A-ESIM</w:t>
      </w:r>
      <w:r w:rsidR="002F7654">
        <w:rPr>
          <w:rFonts w:eastAsia="SimSun" w:hint="cs"/>
          <w:rtl/>
        </w:rPr>
        <w:t xml:space="preserve"> </w:t>
      </w:r>
      <w:r w:rsidR="000C1B18">
        <w:rPr>
          <w:rFonts w:eastAsia="SimSun" w:hint="cs"/>
          <w:rtl/>
        </w:rPr>
        <w:t xml:space="preserve">سيكون محدوداً </w:t>
      </w:r>
      <w:r w:rsidR="00535CD4">
        <w:rPr>
          <w:rFonts w:eastAsia="SimSun" w:hint="cs"/>
          <w:rtl/>
        </w:rPr>
        <w:t>ب</w:t>
      </w:r>
      <w:r w:rsidR="000C1B18">
        <w:rPr>
          <w:rFonts w:eastAsia="SimSun" w:hint="cs"/>
          <w:rtl/>
        </w:rPr>
        <w:t xml:space="preserve">التدابير </w:t>
      </w:r>
      <w:r w:rsidR="00535CD4">
        <w:rPr>
          <w:rFonts w:eastAsia="SimSun" w:hint="cs"/>
          <w:rtl/>
        </w:rPr>
        <w:t>المت</w:t>
      </w:r>
      <w:bookmarkStart w:id="1" w:name="_GoBack"/>
      <w:bookmarkEnd w:id="1"/>
      <w:r w:rsidR="00535CD4">
        <w:rPr>
          <w:rFonts w:eastAsia="SimSun" w:hint="cs"/>
          <w:rtl/>
        </w:rPr>
        <w:t>خذة</w:t>
      </w:r>
      <w:r w:rsidR="000C1B18">
        <w:rPr>
          <w:rFonts w:eastAsia="SimSun" w:hint="cs"/>
          <w:rtl/>
        </w:rPr>
        <w:t xml:space="preserve"> للامتثال لقناع كثافة تدفق القدرة.</w:t>
      </w:r>
    </w:p>
    <w:p w14:paraId="4795DD23" w14:textId="4ADE365C" w:rsidR="00D4579A" w:rsidRPr="00D4579A" w:rsidRDefault="00D4579A" w:rsidP="00DF38CA">
      <w:pPr>
        <w:rPr>
          <w:rFonts w:eastAsia="SimSun"/>
          <w:rtl/>
          <w:lang w:val="en-GB"/>
        </w:rPr>
      </w:pPr>
      <w:r>
        <w:rPr>
          <w:rFonts w:eastAsia="SimSun" w:hint="cs"/>
          <w:rtl/>
        </w:rPr>
        <w:lastRenderedPageBreak/>
        <w:t xml:space="preserve">ولهذه الأسباب، تؤيد هذه المساهمة اعتماد قناع لكثافة تدفق القدرة (مثل قناع الخيار </w:t>
      </w:r>
      <w:r w:rsidRPr="004450EB">
        <w:rPr>
          <w:rFonts w:eastAsia="SimSun"/>
        </w:rPr>
        <w:t>1</w:t>
      </w:r>
      <w:r>
        <w:rPr>
          <w:rFonts w:eastAsia="SimSun" w:hint="cs"/>
          <w:rtl/>
          <w:lang w:val="en-GB"/>
        </w:rPr>
        <w:t xml:space="preserve"> المقترح في الوثيقة </w:t>
      </w:r>
      <w:r w:rsidRPr="004450EB">
        <w:rPr>
          <w:rFonts w:eastAsia="SimSun"/>
        </w:rPr>
        <w:t>95</w:t>
      </w:r>
      <w:r>
        <w:rPr>
          <w:rFonts w:eastAsia="SimSun" w:hint="cs"/>
          <w:rtl/>
          <w:lang w:val="en-GB"/>
        </w:rPr>
        <w:t xml:space="preserve">، المقترح المشترك بشأن البند </w:t>
      </w:r>
      <w:r w:rsidRPr="004450EB">
        <w:rPr>
          <w:rFonts w:eastAsia="SimSun"/>
        </w:rPr>
        <w:t>5</w:t>
      </w:r>
      <w:r>
        <w:rPr>
          <w:rFonts w:eastAsia="SimSun"/>
          <w:lang w:val="en-GB"/>
        </w:rPr>
        <w:t>.</w:t>
      </w:r>
      <w:r w:rsidRPr="004450EB">
        <w:rPr>
          <w:rFonts w:eastAsia="SimSun"/>
        </w:rPr>
        <w:t>1</w:t>
      </w:r>
      <w:r>
        <w:rPr>
          <w:rFonts w:eastAsia="SimSun" w:hint="cs"/>
          <w:rtl/>
          <w:lang w:val="en-GB"/>
        </w:rPr>
        <w:t xml:space="preserve"> من جدول أعمال المؤتمر المقدم من ساموا وفانواتو)، وتقترح أن يخلص المؤتمر إلى</w:t>
      </w:r>
      <w:r w:rsidR="00D12397">
        <w:rPr>
          <w:rFonts w:eastAsia="SimSun" w:hint="cs"/>
          <w:rtl/>
          <w:lang w:val="en-GB"/>
        </w:rPr>
        <w:t xml:space="preserve"> أن الوثيقة </w:t>
      </w:r>
      <w:r w:rsidR="00D12397" w:rsidRPr="004450EB">
        <w:rPr>
          <w:rFonts w:eastAsia="SimSun"/>
        </w:rPr>
        <w:t>61</w:t>
      </w:r>
      <w:r w:rsidR="00D12397">
        <w:rPr>
          <w:rFonts w:eastAsia="SimSun" w:hint="cs"/>
          <w:rtl/>
          <w:lang w:val="en-GB"/>
        </w:rPr>
        <w:t xml:space="preserve"> (الإضافة </w:t>
      </w:r>
      <w:r w:rsidR="00D12397" w:rsidRPr="004450EB">
        <w:rPr>
          <w:rFonts w:eastAsia="SimSun"/>
        </w:rPr>
        <w:t>5</w:t>
      </w:r>
      <w:r w:rsidR="00D12397">
        <w:rPr>
          <w:rFonts w:eastAsia="SimSun" w:hint="cs"/>
          <w:rtl/>
          <w:lang w:val="en-GB"/>
        </w:rPr>
        <w:t xml:space="preserve">) لا توفر أي أساس للحد من الارتفاع وزوايا ارتفاع المحطات المقترحة في الاقتراح المشترك الوارد في الوثيقة </w:t>
      </w:r>
      <w:r w:rsidR="00D12397" w:rsidRPr="004450EB">
        <w:rPr>
          <w:rFonts w:eastAsia="SimSun"/>
        </w:rPr>
        <w:t>65</w:t>
      </w:r>
      <w:r w:rsidR="00D12397">
        <w:rPr>
          <w:rFonts w:eastAsia="SimSun" w:hint="cs"/>
          <w:rtl/>
          <w:lang w:val="en-GB"/>
        </w:rPr>
        <w:t>.</w:t>
      </w:r>
    </w:p>
    <w:p w14:paraId="5B6C51AA" w14:textId="7E82BDB0" w:rsidR="00DF38CA" w:rsidRPr="00DF38CA" w:rsidRDefault="00DF38CA" w:rsidP="00DF38CA">
      <w:pPr>
        <w:spacing w:before="600"/>
        <w:jc w:val="center"/>
        <w:rPr>
          <w:rFonts w:eastAsia="SimSun"/>
          <w:rtl/>
        </w:rPr>
      </w:pPr>
      <w:r>
        <w:rPr>
          <w:rFonts w:eastAsia="SimSun" w:hint="cs"/>
          <w:rtl/>
        </w:rPr>
        <w:t>___________</w:t>
      </w:r>
    </w:p>
    <w:sectPr w:rsidR="00DF38CA" w:rsidRPr="00DF38CA" w:rsidSect="004D4AE6">
      <w:headerReference w:type="even" r:id="rId14"/>
      <w:headerReference w:type="default" r:id="rId15"/>
      <w:footerReference w:type="default" r:id="rId16"/>
      <w:footerReference w:type="first" r:id="rId17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81FC0" w14:textId="77777777" w:rsidR="00EA5D25" w:rsidRDefault="00EA5D25" w:rsidP="002919E1">
      <w:r>
        <w:separator/>
      </w:r>
    </w:p>
    <w:p w14:paraId="5416C418" w14:textId="77777777" w:rsidR="00EA5D25" w:rsidRDefault="00EA5D25" w:rsidP="002919E1"/>
    <w:p w14:paraId="086DA12B" w14:textId="77777777" w:rsidR="00EA5D25" w:rsidRDefault="00EA5D25" w:rsidP="002919E1"/>
    <w:p w14:paraId="70CC96EE" w14:textId="77777777" w:rsidR="00EA5D25" w:rsidRDefault="00EA5D25"/>
  </w:endnote>
  <w:endnote w:type="continuationSeparator" w:id="0">
    <w:p w14:paraId="38D7A5DF" w14:textId="77777777" w:rsidR="00EA5D25" w:rsidRDefault="00EA5D25" w:rsidP="002919E1">
      <w:r>
        <w:continuationSeparator/>
      </w:r>
    </w:p>
    <w:p w14:paraId="44031FD2" w14:textId="77777777" w:rsidR="00EA5D25" w:rsidRDefault="00EA5D25" w:rsidP="002919E1"/>
    <w:p w14:paraId="46E8A3E4" w14:textId="77777777" w:rsidR="00EA5D25" w:rsidRDefault="00EA5D25" w:rsidP="002919E1"/>
    <w:p w14:paraId="65E42B2E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D81FF" w14:textId="1DC905C7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685420">
      <w:rPr>
        <w:noProof/>
      </w:rPr>
      <w:t>P:\ARA\ITU-R\CONF-R\CMR19\000\075ADD05A.docx</w:t>
    </w:r>
    <w:r>
      <w:fldChar w:fldCharType="end"/>
    </w:r>
    <w:proofErr w:type="gramStart"/>
    <w:r w:rsidRPr="00A809E8">
      <w:t xml:space="preserve">   (</w:t>
    </w:r>
    <w:proofErr w:type="gramEnd"/>
    <w:r w:rsidR="00D31551" w:rsidRPr="004450EB">
      <w:t>463393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AF517" w14:textId="51E03E38" w:rsidR="00281F5F" w:rsidRPr="00D31551" w:rsidRDefault="00D31551" w:rsidP="00D31551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685420">
      <w:rPr>
        <w:noProof/>
      </w:rPr>
      <w:t>P:\ARA\ITU-R\CONF-R\CMR19\000\075ADD05A.docx</w:t>
    </w:r>
    <w:r>
      <w:fldChar w:fldCharType="end"/>
    </w:r>
    <w:proofErr w:type="gramStart"/>
    <w:r w:rsidRPr="00A809E8">
      <w:t xml:space="preserve">   (</w:t>
    </w:r>
    <w:proofErr w:type="gramEnd"/>
    <w:r w:rsidRPr="004450EB">
      <w:t>463393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F6293" w14:textId="77777777" w:rsidR="00EA5D25" w:rsidRDefault="00EA5D25" w:rsidP="002919E1">
      <w:r>
        <w:t>___________________</w:t>
      </w:r>
    </w:p>
  </w:footnote>
  <w:footnote w:type="continuationSeparator" w:id="0">
    <w:p w14:paraId="53680F7A" w14:textId="77777777" w:rsidR="00EA5D25" w:rsidRDefault="00EA5D25" w:rsidP="002919E1">
      <w:r>
        <w:continuationSeparator/>
      </w:r>
    </w:p>
    <w:p w14:paraId="5A26B048" w14:textId="77777777" w:rsidR="00EA5D25" w:rsidRDefault="00EA5D25" w:rsidP="002919E1"/>
    <w:p w14:paraId="1945A8C1" w14:textId="77777777" w:rsidR="00EA5D25" w:rsidRDefault="00EA5D25" w:rsidP="002919E1"/>
    <w:p w14:paraId="2067AB7D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6A530" w14:textId="77777777" w:rsidR="00281F5F" w:rsidRDefault="00281F5F" w:rsidP="002919E1"/>
  <w:p w14:paraId="7E9C1167" w14:textId="77777777" w:rsidR="00281F5F" w:rsidRDefault="00281F5F" w:rsidP="002919E1"/>
  <w:p w14:paraId="44549D12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F43ED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Pr="004450EB"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</w:t>
    </w:r>
    <w:r w:rsidRPr="004450EB">
      <w:rPr>
        <w:rStyle w:val="PageNumber"/>
      </w:rPr>
      <w:t>19</w:t>
    </w:r>
    <w:r w:rsidRPr="0088384B">
      <w:rPr>
        <w:rStyle w:val="PageNumber"/>
      </w:rPr>
      <w:t>/</w:t>
    </w:r>
    <w:r w:rsidRPr="004450EB">
      <w:rPr>
        <w:rStyle w:val="PageNumber"/>
      </w:rPr>
      <w:t>75</w:t>
    </w:r>
    <w:r>
      <w:rPr>
        <w:rStyle w:val="PageNumber"/>
      </w:rPr>
      <w:t>(Add.</w:t>
    </w:r>
    <w:r w:rsidRPr="004450EB">
      <w:rPr>
        <w:rStyle w:val="PageNumber"/>
      </w:rPr>
      <w:t>5</w:t>
    </w:r>
    <w:r>
      <w:rPr>
        <w:rStyle w:val="PageNumber"/>
      </w:rPr>
      <w:t>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223A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7E8F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E4AF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4626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4FCA37A3"/>
    <w:multiLevelType w:val="hybridMultilevel"/>
    <w:tmpl w:val="48DA4680"/>
    <w:lvl w:ilvl="0" w:tplc="297492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03F6F"/>
    <w:rsid w:val="00011021"/>
    <w:rsid w:val="000114EC"/>
    <w:rsid w:val="00011F8C"/>
    <w:rsid w:val="00022B74"/>
    <w:rsid w:val="0002327C"/>
    <w:rsid w:val="00023801"/>
    <w:rsid w:val="00026290"/>
    <w:rsid w:val="0002659B"/>
    <w:rsid w:val="000327C1"/>
    <w:rsid w:val="00034B65"/>
    <w:rsid w:val="00040C94"/>
    <w:rsid w:val="000425FC"/>
    <w:rsid w:val="000449E7"/>
    <w:rsid w:val="00044D43"/>
    <w:rsid w:val="00046844"/>
    <w:rsid w:val="00047CA5"/>
    <w:rsid w:val="00051907"/>
    <w:rsid w:val="0007453C"/>
    <w:rsid w:val="00075A3F"/>
    <w:rsid w:val="000858C6"/>
    <w:rsid w:val="00086C9E"/>
    <w:rsid w:val="00087D71"/>
    <w:rsid w:val="00091457"/>
    <w:rsid w:val="000A1B16"/>
    <w:rsid w:val="000B3896"/>
    <w:rsid w:val="000B39C7"/>
    <w:rsid w:val="000B5404"/>
    <w:rsid w:val="000C1B18"/>
    <w:rsid w:val="000C26C2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398A"/>
    <w:rsid w:val="00167364"/>
    <w:rsid w:val="001903B2"/>
    <w:rsid w:val="001B0F78"/>
    <w:rsid w:val="001B5953"/>
    <w:rsid w:val="001C5C30"/>
    <w:rsid w:val="001D705E"/>
    <w:rsid w:val="001D746E"/>
    <w:rsid w:val="001E190C"/>
    <w:rsid w:val="001E51EE"/>
    <w:rsid w:val="001E54F6"/>
    <w:rsid w:val="001E5A8C"/>
    <w:rsid w:val="00201A0A"/>
    <w:rsid w:val="0020484A"/>
    <w:rsid w:val="002075D4"/>
    <w:rsid w:val="00211B2A"/>
    <w:rsid w:val="00217F61"/>
    <w:rsid w:val="002206C4"/>
    <w:rsid w:val="00223C6C"/>
    <w:rsid w:val="002258A9"/>
    <w:rsid w:val="002333A0"/>
    <w:rsid w:val="0025063A"/>
    <w:rsid w:val="002543CF"/>
    <w:rsid w:val="0026062E"/>
    <w:rsid w:val="00260A0F"/>
    <w:rsid w:val="00260F50"/>
    <w:rsid w:val="00261EF7"/>
    <w:rsid w:val="00262DF6"/>
    <w:rsid w:val="0027069F"/>
    <w:rsid w:val="00280E04"/>
    <w:rsid w:val="00281F5F"/>
    <w:rsid w:val="002843E4"/>
    <w:rsid w:val="002919E1"/>
    <w:rsid w:val="002925CA"/>
    <w:rsid w:val="00295917"/>
    <w:rsid w:val="00296071"/>
    <w:rsid w:val="00297B0F"/>
    <w:rsid w:val="002A4572"/>
    <w:rsid w:val="002A7E2E"/>
    <w:rsid w:val="002B12C5"/>
    <w:rsid w:val="002B16D8"/>
    <w:rsid w:val="002D5F64"/>
    <w:rsid w:val="002D6BB4"/>
    <w:rsid w:val="002D6FBF"/>
    <w:rsid w:val="002E084F"/>
    <w:rsid w:val="002E2F3F"/>
    <w:rsid w:val="002E48BF"/>
    <w:rsid w:val="002E61C2"/>
    <w:rsid w:val="002F3E46"/>
    <w:rsid w:val="002F7654"/>
    <w:rsid w:val="0030234B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96C4F"/>
    <w:rsid w:val="003A561D"/>
    <w:rsid w:val="003B27AD"/>
    <w:rsid w:val="003B4F23"/>
    <w:rsid w:val="003C0D03"/>
    <w:rsid w:val="003C12F6"/>
    <w:rsid w:val="003C15AF"/>
    <w:rsid w:val="003C3A13"/>
    <w:rsid w:val="003C3B4D"/>
    <w:rsid w:val="003C51BE"/>
    <w:rsid w:val="003D10BD"/>
    <w:rsid w:val="003E02EF"/>
    <w:rsid w:val="003E1D90"/>
    <w:rsid w:val="003E3978"/>
    <w:rsid w:val="003E7148"/>
    <w:rsid w:val="00400CD4"/>
    <w:rsid w:val="0040504C"/>
    <w:rsid w:val="0040611B"/>
    <w:rsid w:val="004147B9"/>
    <w:rsid w:val="004228C0"/>
    <w:rsid w:val="00422C04"/>
    <w:rsid w:val="00423A40"/>
    <w:rsid w:val="00426144"/>
    <w:rsid w:val="00432925"/>
    <w:rsid w:val="00434DDD"/>
    <w:rsid w:val="00443F4D"/>
    <w:rsid w:val="004450EB"/>
    <w:rsid w:val="00453313"/>
    <w:rsid w:val="004636E2"/>
    <w:rsid w:val="00465C3A"/>
    <w:rsid w:val="00470410"/>
    <w:rsid w:val="00470CBD"/>
    <w:rsid w:val="0047407D"/>
    <w:rsid w:val="00474368"/>
    <w:rsid w:val="00474E2D"/>
    <w:rsid w:val="00480071"/>
    <w:rsid w:val="004909DD"/>
    <w:rsid w:val="004A04B0"/>
    <w:rsid w:val="004A05E6"/>
    <w:rsid w:val="004A2CA1"/>
    <w:rsid w:val="004A6230"/>
    <w:rsid w:val="004A6C66"/>
    <w:rsid w:val="004A7AA0"/>
    <w:rsid w:val="004B6797"/>
    <w:rsid w:val="004C11BC"/>
    <w:rsid w:val="004C1600"/>
    <w:rsid w:val="004C4376"/>
    <w:rsid w:val="004C5C04"/>
    <w:rsid w:val="004D0448"/>
    <w:rsid w:val="004D1661"/>
    <w:rsid w:val="004D4AE6"/>
    <w:rsid w:val="00505FCA"/>
    <w:rsid w:val="00510C2D"/>
    <w:rsid w:val="005166A4"/>
    <w:rsid w:val="005169F4"/>
    <w:rsid w:val="005210D1"/>
    <w:rsid w:val="00521E3D"/>
    <w:rsid w:val="00523146"/>
    <w:rsid w:val="00523275"/>
    <w:rsid w:val="00531DC7"/>
    <w:rsid w:val="00533153"/>
    <w:rsid w:val="005350B0"/>
    <w:rsid w:val="00535CD4"/>
    <w:rsid w:val="005431B5"/>
    <w:rsid w:val="00543F1D"/>
    <w:rsid w:val="00546A99"/>
    <w:rsid w:val="00553411"/>
    <w:rsid w:val="00554AE7"/>
    <w:rsid w:val="00564746"/>
    <w:rsid w:val="0056512C"/>
    <w:rsid w:val="00576D0A"/>
    <w:rsid w:val="00576FCC"/>
    <w:rsid w:val="00584333"/>
    <w:rsid w:val="00585969"/>
    <w:rsid w:val="005953EC"/>
    <w:rsid w:val="005B00A1"/>
    <w:rsid w:val="005C29C8"/>
    <w:rsid w:val="005C5D25"/>
    <w:rsid w:val="005D2606"/>
    <w:rsid w:val="005D4B69"/>
    <w:rsid w:val="005D6D48"/>
    <w:rsid w:val="005D72A4"/>
    <w:rsid w:val="005F05CC"/>
    <w:rsid w:val="005F28B8"/>
    <w:rsid w:val="005F65DE"/>
    <w:rsid w:val="00605B6E"/>
    <w:rsid w:val="00613492"/>
    <w:rsid w:val="00630905"/>
    <w:rsid w:val="006315B5"/>
    <w:rsid w:val="00631B54"/>
    <w:rsid w:val="006347CB"/>
    <w:rsid w:val="00652C44"/>
    <w:rsid w:val="0065562F"/>
    <w:rsid w:val="006569F9"/>
    <w:rsid w:val="00666697"/>
    <w:rsid w:val="00672F40"/>
    <w:rsid w:val="006779A4"/>
    <w:rsid w:val="00680A66"/>
    <w:rsid w:val="00681391"/>
    <w:rsid w:val="00685420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41E"/>
    <w:rsid w:val="006E38D0"/>
    <w:rsid w:val="006E39A8"/>
    <w:rsid w:val="006E465B"/>
    <w:rsid w:val="006F6570"/>
    <w:rsid w:val="006F70BF"/>
    <w:rsid w:val="00703839"/>
    <w:rsid w:val="00704753"/>
    <w:rsid w:val="00715285"/>
    <w:rsid w:val="00716B1D"/>
    <w:rsid w:val="007248EC"/>
    <w:rsid w:val="00726744"/>
    <w:rsid w:val="00731150"/>
    <w:rsid w:val="00734E41"/>
    <w:rsid w:val="00735749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AC"/>
    <w:rsid w:val="007760BF"/>
    <w:rsid w:val="00776F6B"/>
    <w:rsid w:val="00777694"/>
    <w:rsid w:val="0078282A"/>
    <w:rsid w:val="00786A7E"/>
    <w:rsid w:val="00794B15"/>
    <w:rsid w:val="007A0802"/>
    <w:rsid w:val="007A11FF"/>
    <w:rsid w:val="007A433B"/>
    <w:rsid w:val="007B1FCA"/>
    <w:rsid w:val="007C2C12"/>
    <w:rsid w:val="007C3CFA"/>
    <w:rsid w:val="007C7603"/>
    <w:rsid w:val="007E0E8B"/>
    <w:rsid w:val="007E6847"/>
    <w:rsid w:val="007E6B0A"/>
    <w:rsid w:val="007E7C0C"/>
    <w:rsid w:val="007F08CA"/>
    <w:rsid w:val="007F51F7"/>
    <w:rsid w:val="007F7FC3"/>
    <w:rsid w:val="00810482"/>
    <w:rsid w:val="008151CA"/>
    <w:rsid w:val="00817568"/>
    <w:rsid w:val="008204AC"/>
    <w:rsid w:val="00823F34"/>
    <w:rsid w:val="008261C2"/>
    <w:rsid w:val="00830D96"/>
    <w:rsid w:val="00844DE0"/>
    <w:rsid w:val="0085569D"/>
    <w:rsid w:val="00855B59"/>
    <w:rsid w:val="0085774F"/>
    <w:rsid w:val="008614B8"/>
    <w:rsid w:val="00864553"/>
    <w:rsid w:val="008657CB"/>
    <w:rsid w:val="00873A6F"/>
    <w:rsid w:val="00874D3F"/>
    <w:rsid w:val="0088384B"/>
    <w:rsid w:val="0089262A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C3D57"/>
    <w:rsid w:val="008C4A7A"/>
    <w:rsid w:val="008D6ACC"/>
    <w:rsid w:val="008D7AF0"/>
    <w:rsid w:val="008E2CBE"/>
    <w:rsid w:val="008E32DD"/>
    <w:rsid w:val="008E53C5"/>
    <w:rsid w:val="008F4626"/>
    <w:rsid w:val="009004DF"/>
    <w:rsid w:val="00904AA5"/>
    <w:rsid w:val="00912198"/>
    <w:rsid w:val="00917046"/>
    <w:rsid w:val="00917272"/>
    <w:rsid w:val="00927AD4"/>
    <w:rsid w:val="00936D18"/>
    <w:rsid w:val="00951718"/>
    <w:rsid w:val="00960962"/>
    <w:rsid w:val="00967E63"/>
    <w:rsid w:val="0097157E"/>
    <w:rsid w:val="00972CE0"/>
    <w:rsid w:val="009A313B"/>
    <w:rsid w:val="009A3D30"/>
    <w:rsid w:val="009B6559"/>
    <w:rsid w:val="009C3B5E"/>
    <w:rsid w:val="009D6348"/>
    <w:rsid w:val="009E5007"/>
    <w:rsid w:val="009E613F"/>
    <w:rsid w:val="009F042B"/>
    <w:rsid w:val="009F3ABC"/>
    <w:rsid w:val="009F56FC"/>
    <w:rsid w:val="009F6EF7"/>
    <w:rsid w:val="00A03EDA"/>
    <w:rsid w:val="00A03FD6"/>
    <w:rsid w:val="00A04CF4"/>
    <w:rsid w:val="00A116A8"/>
    <w:rsid w:val="00A123B3"/>
    <w:rsid w:val="00A17E61"/>
    <w:rsid w:val="00A22AE9"/>
    <w:rsid w:val="00A26758"/>
    <w:rsid w:val="00A26D0E"/>
    <w:rsid w:val="00A27205"/>
    <w:rsid w:val="00A278E9"/>
    <w:rsid w:val="00A34147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47CA3"/>
    <w:rsid w:val="00A64A51"/>
    <w:rsid w:val="00A66D2B"/>
    <w:rsid w:val="00A67927"/>
    <w:rsid w:val="00A67938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AF4B54"/>
    <w:rsid w:val="00B01623"/>
    <w:rsid w:val="00B02650"/>
    <w:rsid w:val="00B033DF"/>
    <w:rsid w:val="00B037D1"/>
    <w:rsid w:val="00B039AD"/>
    <w:rsid w:val="00B04101"/>
    <w:rsid w:val="00B07CEE"/>
    <w:rsid w:val="00B1088E"/>
    <w:rsid w:val="00B12661"/>
    <w:rsid w:val="00B16045"/>
    <w:rsid w:val="00B1714C"/>
    <w:rsid w:val="00B17879"/>
    <w:rsid w:val="00B357E9"/>
    <w:rsid w:val="00B4164D"/>
    <w:rsid w:val="00B425C1"/>
    <w:rsid w:val="00B606BA"/>
    <w:rsid w:val="00B62012"/>
    <w:rsid w:val="00B66372"/>
    <w:rsid w:val="00B66817"/>
    <w:rsid w:val="00B71E3B"/>
    <w:rsid w:val="00B721D5"/>
    <w:rsid w:val="00B7256D"/>
    <w:rsid w:val="00B81CB5"/>
    <w:rsid w:val="00B8351F"/>
    <w:rsid w:val="00B86C44"/>
    <w:rsid w:val="00B9727C"/>
    <w:rsid w:val="00BA01EE"/>
    <w:rsid w:val="00BA7D44"/>
    <w:rsid w:val="00BB17D6"/>
    <w:rsid w:val="00BB2937"/>
    <w:rsid w:val="00BD5E10"/>
    <w:rsid w:val="00BD6291"/>
    <w:rsid w:val="00BD6EF3"/>
    <w:rsid w:val="00BE69C3"/>
    <w:rsid w:val="00C06C3D"/>
    <w:rsid w:val="00C1165E"/>
    <w:rsid w:val="00C22074"/>
    <w:rsid w:val="00C2377B"/>
    <w:rsid w:val="00C23E9A"/>
    <w:rsid w:val="00C317E5"/>
    <w:rsid w:val="00C32071"/>
    <w:rsid w:val="00C3693C"/>
    <w:rsid w:val="00C5263E"/>
    <w:rsid w:val="00C53F6F"/>
    <w:rsid w:val="00C5489D"/>
    <w:rsid w:val="00C61C39"/>
    <w:rsid w:val="00C66774"/>
    <w:rsid w:val="00C668FF"/>
    <w:rsid w:val="00C71759"/>
    <w:rsid w:val="00C72173"/>
    <w:rsid w:val="00C8199C"/>
    <w:rsid w:val="00C84112"/>
    <w:rsid w:val="00C841EB"/>
    <w:rsid w:val="00C8665F"/>
    <w:rsid w:val="00C917B5"/>
    <w:rsid w:val="00C94DFA"/>
    <w:rsid w:val="00C967F5"/>
    <w:rsid w:val="00CA298C"/>
    <w:rsid w:val="00CB2BF9"/>
    <w:rsid w:val="00CB4300"/>
    <w:rsid w:val="00CB454E"/>
    <w:rsid w:val="00CC030E"/>
    <w:rsid w:val="00CC68C4"/>
    <w:rsid w:val="00CC79A4"/>
    <w:rsid w:val="00CD0FDE"/>
    <w:rsid w:val="00CD74AD"/>
    <w:rsid w:val="00CD7C42"/>
    <w:rsid w:val="00CD7C5C"/>
    <w:rsid w:val="00CE0E68"/>
    <w:rsid w:val="00CE5BA4"/>
    <w:rsid w:val="00CF282B"/>
    <w:rsid w:val="00CF3D4B"/>
    <w:rsid w:val="00D10BAF"/>
    <w:rsid w:val="00D12397"/>
    <w:rsid w:val="00D25120"/>
    <w:rsid w:val="00D31551"/>
    <w:rsid w:val="00D419CB"/>
    <w:rsid w:val="00D44350"/>
    <w:rsid w:val="00D44E3F"/>
    <w:rsid w:val="00D4579A"/>
    <w:rsid w:val="00D51BB8"/>
    <w:rsid w:val="00D525F5"/>
    <w:rsid w:val="00D535D0"/>
    <w:rsid w:val="00D577D8"/>
    <w:rsid w:val="00D62C78"/>
    <w:rsid w:val="00D736F4"/>
    <w:rsid w:val="00D76D9B"/>
    <w:rsid w:val="00D81703"/>
    <w:rsid w:val="00D82929"/>
    <w:rsid w:val="00D84214"/>
    <w:rsid w:val="00D943E5"/>
    <w:rsid w:val="00DA1AE0"/>
    <w:rsid w:val="00DA2613"/>
    <w:rsid w:val="00DB4CC9"/>
    <w:rsid w:val="00DC29DD"/>
    <w:rsid w:val="00DC6A7A"/>
    <w:rsid w:val="00DC7C0E"/>
    <w:rsid w:val="00DD24AE"/>
    <w:rsid w:val="00DD6611"/>
    <w:rsid w:val="00DD6A4C"/>
    <w:rsid w:val="00DE7387"/>
    <w:rsid w:val="00DF2A6A"/>
    <w:rsid w:val="00DF38CA"/>
    <w:rsid w:val="00DF3B72"/>
    <w:rsid w:val="00E10821"/>
    <w:rsid w:val="00E16464"/>
    <w:rsid w:val="00E2476B"/>
    <w:rsid w:val="00E2489D"/>
    <w:rsid w:val="00E26520"/>
    <w:rsid w:val="00E31024"/>
    <w:rsid w:val="00E343A3"/>
    <w:rsid w:val="00E51BFA"/>
    <w:rsid w:val="00E611F1"/>
    <w:rsid w:val="00E621A3"/>
    <w:rsid w:val="00E80708"/>
    <w:rsid w:val="00E833BC"/>
    <w:rsid w:val="00E84F75"/>
    <w:rsid w:val="00E8580E"/>
    <w:rsid w:val="00E859D8"/>
    <w:rsid w:val="00E97E21"/>
    <w:rsid w:val="00EA1B76"/>
    <w:rsid w:val="00EA5BA8"/>
    <w:rsid w:val="00EA5D25"/>
    <w:rsid w:val="00EA77D7"/>
    <w:rsid w:val="00EB1677"/>
    <w:rsid w:val="00EB18E9"/>
    <w:rsid w:val="00EB40B0"/>
    <w:rsid w:val="00EC0406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0261"/>
    <w:rsid w:val="00F3098E"/>
    <w:rsid w:val="00F33A34"/>
    <w:rsid w:val="00F350C8"/>
    <w:rsid w:val="00F42650"/>
    <w:rsid w:val="00F47155"/>
    <w:rsid w:val="00F545E4"/>
    <w:rsid w:val="00F55E63"/>
    <w:rsid w:val="00F564E3"/>
    <w:rsid w:val="00F5720C"/>
    <w:rsid w:val="00F768E3"/>
    <w:rsid w:val="00F84613"/>
    <w:rsid w:val="00F8654D"/>
    <w:rsid w:val="00F900C9"/>
    <w:rsid w:val="00F92C96"/>
    <w:rsid w:val="00F97D1C"/>
    <w:rsid w:val="00FA0D4E"/>
    <w:rsid w:val="00FA7F19"/>
    <w:rsid w:val="00FB0753"/>
    <w:rsid w:val="00FB286B"/>
    <w:rsid w:val="00FB3AAA"/>
    <w:rsid w:val="00FB5CC8"/>
    <w:rsid w:val="00FC2CD0"/>
    <w:rsid w:val="00FC4E03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E5A46FA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5D4B69"/>
    <w:pPr>
      <w:keepNext/>
      <w:keepLines/>
      <w:bidi/>
      <w:spacing w:before="120" w:after="120" w:line="192" w:lineRule="auto"/>
      <w:jc w:val="center"/>
    </w:pPr>
    <w:rPr>
      <w:rFonts w:ascii="Times New Roman Bold" w:eastAsia="SimSun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C317E5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7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9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6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34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8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884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651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965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1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2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3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63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500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75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34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927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6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2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35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62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58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48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264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90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0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1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9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96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99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5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694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27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4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0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7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08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73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14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77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913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69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R16-WRC19-C-0075!A5!MSW-A</DPM_x0020_File_x0020_name>
    <DPM_x0020_Author xmlns="32a1a8c5-2265-4ebc-b7a0-2071e2c5c9bb" xsi:nil="false">DPM</DPM_x0020_Author>
    <DPM_x0020_Version xmlns="32a1a8c5-2265-4ebc-b7a0-2071e2c5c9bb" xsi:nil="false">DPM_2019.10.22.01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E25DD-2847-40C1-8422-B48A8BB83B2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07C32E2-8423-41F3-8A2E-88A3A896BD04}">
  <ds:schemaRefs>
    <ds:schemaRef ds:uri="http://purl.org/dc/elements/1.1/"/>
    <ds:schemaRef ds:uri="http://schemas.microsoft.com/office/2006/metadata/properties"/>
    <ds:schemaRef ds:uri="996b2e75-67fd-4955-a3b0-5ab9934cb50b"/>
    <ds:schemaRef ds:uri="http://schemas.microsoft.com/office/2006/documentManagement/types"/>
    <ds:schemaRef ds:uri="32a1a8c5-2265-4ebc-b7a0-2071e2c5c9b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148C8A-DB29-4FEF-9E18-6701BF5CB4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92B90A-C194-49C9-A3B9-682A7A8C0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E84E96-25AA-4263-A0D0-43BAD732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1907</Words>
  <Characters>9704</Characters>
  <Application>Microsoft Office Word</Application>
  <DocSecurity>0</DocSecurity>
  <Lines>205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R16-WRC19-C-0075!A5!MSW-A</vt:lpstr>
    </vt:vector>
  </TitlesOfParts>
  <Manager>General Secretariat - Pool</Manager>
  <Company>International Telecommunication Union (ITU)</Company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R16-WRC19-C-0075!A5!MSW-A</dc:title>
  <dc:creator>Documents Proposals Manager (DPM)</dc:creator>
  <cp:keywords>DPM_v2019.10.25.1_prod</cp:keywords>
  <cp:lastModifiedBy>Riz, Imad</cp:lastModifiedBy>
  <cp:revision>8</cp:revision>
  <cp:lastPrinted>2019-10-29T01:12:00Z</cp:lastPrinted>
  <dcterms:created xsi:type="dcterms:W3CDTF">2019-10-28T23:05:00Z</dcterms:created>
  <dcterms:modified xsi:type="dcterms:W3CDTF">2019-10-29T01:12:00Z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