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FF7DA1" w14:paraId="493CD369" w14:textId="77777777" w:rsidTr="0050008E">
        <w:trPr>
          <w:cantSplit/>
        </w:trPr>
        <w:tc>
          <w:tcPr>
            <w:tcW w:w="6911" w:type="dxa"/>
          </w:tcPr>
          <w:p w14:paraId="578E7858" w14:textId="77777777" w:rsidR="0090121B" w:rsidRPr="00FF7DA1" w:rsidRDefault="005D46FB" w:rsidP="00245CC4">
            <w:pPr>
              <w:spacing w:before="400" w:after="48"/>
              <w:rPr>
                <w:rFonts w:ascii="Verdana" w:hAnsi="Verdana"/>
                <w:position w:val="6"/>
                <w:lang w:val="es-ES"/>
              </w:rPr>
            </w:pPr>
            <w:r w:rsidRPr="00FF7DA1">
              <w:rPr>
                <w:rFonts w:ascii="Verdana" w:hAnsi="Verdana" w:cs="Times"/>
                <w:b/>
                <w:position w:val="6"/>
                <w:sz w:val="20"/>
                <w:lang w:val="es-ES"/>
              </w:rPr>
              <w:t>Conferencia Mundial de Radiocomunicaciones (CMR-1</w:t>
            </w:r>
            <w:r w:rsidR="00C44E9E" w:rsidRPr="00FF7DA1">
              <w:rPr>
                <w:rFonts w:ascii="Verdana" w:hAnsi="Verdana" w:cs="Times"/>
                <w:b/>
                <w:position w:val="6"/>
                <w:sz w:val="20"/>
                <w:lang w:val="es-ES"/>
              </w:rPr>
              <w:t>9</w:t>
            </w:r>
            <w:r w:rsidRPr="00FF7DA1">
              <w:rPr>
                <w:rFonts w:ascii="Verdana" w:hAnsi="Verdana" w:cs="Times"/>
                <w:b/>
                <w:position w:val="6"/>
                <w:sz w:val="20"/>
                <w:lang w:val="es-ES"/>
              </w:rPr>
              <w:t>)</w:t>
            </w:r>
            <w:r w:rsidRPr="00FF7DA1">
              <w:rPr>
                <w:rFonts w:ascii="Verdana" w:hAnsi="Verdana" w:cs="Times"/>
                <w:b/>
                <w:position w:val="6"/>
                <w:sz w:val="20"/>
                <w:lang w:val="es-ES"/>
              </w:rPr>
              <w:br/>
            </w:r>
            <w:r w:rsidR="006124AD" w:rsidRPr="00FF7DA1">
              <w:rPr>
                <w:rFonts w:ascii="Verdana" w:hAnsi="Verdana"/>
                <w:b/>
                <w:bCs/>
                <w:position w:val="6"/>
                <w:sz w:val="17"/>
                <w:szCs w:val="17"/>
                <w:lang w:val="es-ES"/>
              </w:rPr>
              <w:t>Sharm el-Sheikh (Egipto)</w:t>
            </w:r>
            <w:r w:rsidRPr="00FF7DA1">
              <w:rPr>
                <w:rFonts w:ascii="Verdana" w:hAnsi="Verdana"/>
                <w:b/>
                <w:bCs/>
                <w:position w:val="6"/>
                <w:sz w:val="17"/>
                <w:szCs w:val="17"/>
                <w:lang w:val="es-ES"/>
              </w:rPr>
              <w:t>, 2</w:t>
            </w:r>
            <w:r w:rsidR="00C44E9E" w:rsidRPr="00FF7DA1">
              <w:rPr>
                <w:rFonts w:ascii="Verdana" w:hAnsi="Verdana"/>
                <w:b/>
                <w:bCs/>
                <w:position w:val="6"/>
                <w:sz w:val="17"/>
                <w:szCs w:val="17"/>
                <w:lang w:val="es-ES"/>
              </w:rPr>
              <w:t xml:space="preserve">8 de octubre </w:t>
            </w:r>
            <w:r w:rsidR="00DE1C31" w:rsidRPr="00FF7DA1">
              <w:rPr>
                <w:rFonts w:ascii="Verdana" w:hAnsi="Verdana"/>
                <w:b/>
                <w:bCs/>
                <w:position w:val="6"/>
                <w:sz w:val="17"/>
                <w:szCs w:val="17"/>
                <w:lang w:val="es-ES"/>
              </w:rPr>
              <w:t>–</w:t>
            </w:r>
            <w:r w:rsidR="00C44E9E" w:rsidRPr="00FF7DA1">
              <w:rPr>
                <w:rFonts w:ascii="Verdana" w:hAnsi="Verdana"/>
                <w:b/>
                <w:bCs/>
                <w:position w:val="6"/>
                <w:sz w:val="17"/>
                <w:szCs w:val="17"/>
                <w:lang w:val="es-ES"/>
              </w:rPr>
              <w:t xml:space="preserve"> </w:t>
            </w:r>
            <w:r w:rsidRPr="00FF7DA1">
              <w:rPr>
                <w:rFonts w:ascii="Verdana" w:hAnsi="Verdana"/>
                <w:b/>
                <w:bCs/>
                <w:position w:val="6"/>
                <w:sz w:val="17"/>
                <w:szCs w:val="17"/>
                <w:lang w:val="es-ES"/>
              </w:rPr>
              <w:t>2</w:t>
            </w:r>
            <w:r w:rsidR="00C44E9E" w:rsidRPr="00FF7DA1">
              <w:rPr>
                <w:rFonts w:ascii="Verdana" w:hAnsi="Verdana"/>
                <w:b/>
                <w:bCs/>
                <w:position w:val="6"/>
                <w:sz w:val="17"/>
                <w:szCs w:val="17"/>
                <w:lang w:val="es-ES"/>
              </w:rPr>
              <w:t>2</w:t>
            </w:r>
            <w:r w:rsidRPr="00FF7DA1">
              <w:rPr>
                <w:rFonts w:ascii="Verdana" w:hAnsi="Verdana"/>
                <w:b/>
                <w:bCs/>
                <w:position w:val="6"/>
                <w:sz w:val="17"/>
                <w:szCs w:val="17"/>
                <w:lang w:val="es-ES"/>
              </w:rPr>
              <w:t xml:space="preserve"> de noviembre de 201</w:t>
            </w:r>
            <w:r w:rsidR="00C44E9E" w:rsidRPr="00FF7DA1">
              <w:rPr>
                <w:rFonts w:ascii="Verdana" w:hAnsi="Verdana"/>
                <w:b/>
                <w:bCs/>
                <w:position w:val="6"/>
                <w:sz w:val="17"/>
                <w:szCs w:val="17"/>
                <w:lang w:val="es-ES"/>
              </w:rPr>
              <w:t>9</w:t>
            </w:r>
          </w:p>
        </w:tc>
        <w:tc>
          <w:tcPr>
            <w:tcW w:w="3120" w:type="dxa"/>
          </w:tcPr>
          <w:p w14:paraId="0FABB49E" w14:textId="77777777" w:rsidR="0090121B" w:rsidRPr="00FF7DA1" w:rsidRDefault="00DA71A3" w:rsidP="00245CC4">
            <w:pPr>
              <w:spacing w:before="0"/>
              <w:jc w:val="right"/>
              <w:rPr>
                <w:lang w:val="es-ES"/>
              </w:rPr>
            </w:pPr>
            <w:bookmarkStart w:id="0" w:name="ditulogo"/>
            <w:bookmarkEnd w:id="0"/>
            <w:r w:rsidRPr="00FF7DA1">
              <w:rPr>
                <w:rFonts w:ascii="Verdana" w:hAnsi="Verdana"/>
                <w:b/>
                <w:bCs/>
                <w:noProof/>
                <w:szCs w:val="24"/>
                <w:lang w:val="es-ES" w:eastAsia="zh-CN"/>
              </w:rPr>
              <w:drawing>
                <wp:inline distT="0" distB="0" distL="0" distR="0" wp14:anchorId="128FF351" wp14:editId="37761F40">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FF7DA1" w14:paraId="02A0DB51" w14:textId="77777777" w:rsidTr="0050008E">
        <w:trPr>
          <w:cantSplit/>
        </w:trPr>
        <w:tc>
          <w:tcPr>
            <w:tcW w:w="6911" w:type="dxa"/>
            <w:tcBorders>
              <w:bottom w:val="single" w:sz="12" w:space="0" w:color="auto"/>
            </w:tcBorders>
          </w:tcPr>
          <w:p w14:paraId="3D873DF5" w14:textId="77777777" w:rsidR="0090121B" w:rsidRPr="00FF7DA1" w:rsidRDefault="0090121B" w:rsidP="00245CC4">
            <w:pPr>
              <w:spacing w:before="0" w:after="48"/>
              <w:rPr>
                <w:b/>
                <w:smallCaps/>
                <w:szCs w:val="24"/>
                <w:lang w:val="es-ES"/>
              </w:rPr>
            </w:pPr>
            <w:bookmarkStart w:id="1" w:name="dhead"/>
          </w:p>
        </w:tc>
        <w:tc>
          <w:tcPr>
            <w:tcW w:w="3120" w:type="dxa"/>
            <w:tcBorders>
              <w:bottom w:val="single" w:sz="12" w:space="0" w:color="auto"/>
            </w:tcBorders>
          </w:tcPr>
          <w:p w14:paraId="0860BF8B" w14:textId="77777777" w:rsidR="0090121B" w:rsidRPr="00FF7DA1" w:rsidRDefault="0090121B" w:rsidP="00245CC4">
            <w:pPr>
              <w:spacing w:before="0"/>
              <w:rPr>
                <w:rFonts w:ascii="Verdana" w:hAnsi="Verdana"/>
                <w:szCs w:val="24"/>
                <w:lang w:val="es-ES"/>
              </w:rPr>
            </w:pPr>
          </w:p>
        </w:tc>
      </w:tr>
      <w:tr w:rsidR="0090121B" w:rsidRPr="00FF7DA1" w14:paraId="40D1F72A" w14:textId="77777777" w:rsidTr="0090121B">
        <w:trPr>
          <w:cantSplit/>
        </w:trPr>
        <w:tc>
          <w:tcPr>
            <w:tcW w:w="6911" w:type="dxa"/>
            <w:tcBorders>
              <w:top w:val="single" w:sz="12" w:space="0" w:color="auto"/>
            </w:tcBorders>
          </w:tcPr>
          <w:p w14:paraId="700A5F28" w14:textId="77777777" w:rsidR="0090121B" w:rsidRPr="00FF7DA1" w:rsidRDefault="0090121B" w:rsidP="00245CC4">
            <w:pPr>
              <w:spacing w:before="0" w:after="48"/>
              <w:rPr>
                <w:rFonts w:ascii="Verdana" w:hAnsi="Verdana"/>
                <w:b/>
                <w:smallCaps/>
                <w:sz w:val="20"/>
                <w:lang w:val="es-ES"/>
              </w:rPr>
            </w:pPr>
          </w:p>
        </w:tc>
        <w:tc>
          <w:tcPr>
            <w:tcW w:w="3120" w:type="dxa"/>
            <w:tcBorders>
              <w:top w:val="single" w:sz="12" w:space="0" w:color="auto"/>
            </w:tcBorders>
          </w:tcPr>
          <w:p w14:paraId="58F16C3B" w14:textId="77777777" w:rsidR="0090121B" w:rsidRPr="00FF7DA1" w:rsidRDefault="0090121B" w:rsidP="00245CC4">
            <w:pPr>
              <w:spacing w:before="0"/>
              <w:rPr>
                <w:rFonts w:ascii="Verdana" w:hAnsi="Verdana"/>
                <w:sz w:val="20"/>
                <w:lang w:val="es-ES"/>
              </w:rPr>
            </w:pPr>
          </w:p>
        </w:tc>
      </w:tr>
      <w:tr w:rsidR="0090121B" w:rsidRPr="00FF7DA1" w14:paraId="27B0E8BC" w14:textId="77777777" w:rsidTr="0090121B">
        <w:trPr>
          <w:cantSplit/>
        </w:trPr>
        <w:tc>
          <w:tcPr>
            <w:tcW w:w="6911" w:type="dxa"/>
          </w:tcPr>
          <w:p w14:paraId="5203D708" w14:textId="77777777" w:rsidR="0090121B" w:rsidRPr="00FF7DA1" w:rsidRDefault="001E7D42" w:rsidP="00245CC4">
            <w:pPr>
              <w:pStyle w:val="Committee"/>
              <w:framePr w:hSpace="0" w:wrap="auto" w:hAnchor="text" w:yAlign="inline"/>
              <w:spacing w:line="240" w:lineRule="auto"/>
              <w:rPr>
                <w:sz w:val="18"/>
                <w:szCs w:val="18"/>
                <w:lang w:val="es-ES"/>
              </w:rPr>
            </w:pPr>
            <w:r w:rsidRPr="00FF7DA1">
              <w:rPr>
                <w:sz w:val="18"/>
                <w:szCs w:val="18"/>
                <w:lang w:val="es-ES"/>
              </w:rPr>
              <w:t>SESIÓN PLENARIA</w:t>
            </w:r>
          </w:p>
        </w:tc>
        <w:tc>
          <w:tcPr>
            <w:tcW w:w="3120" w:type="dxa"/>
          </w:tcPr>
          <w:p w14:paraId="785D2066" w14:textId="77777777" w:rsidR="0090121B" w:rsidRPr="00FF7DA1" w:rsidRDefault="00AE658F" w:rsidP="00245CC4">
            <w:pPr>
              <w:spacing w:before="0"/>
              <w:rPr>
                <w:rFonts w:ascii="Verdana" w:hAnsi="Verdana"/>
                <w:sz w:val="18"/>
                <w:szCs w:val="18"/>
                <w:lang w:val="es-ES"/>
              </w:rPr>
            </w:pPr>
            <w:r w:rsidRPr="00FF7DA1">
              <w:rPr>
                <w:rFonts w:ascii="Verdana" w:hAnsi="Verdana"/>
                <w:b/>
                <w:sz w:val="18"/>
                <w:szCs w:val="18"/>
                <w:lang w:val="es-ES"/>
              </w:rPr>
              <w:t>Addéndum 24 al</w:t>
            </w:r>
            <w:r w:rsidRPr="00FF7DA1">
              <w:rPr>
                <w:rFonts w:ascii="Verdana" w:hAnsi="Verdana"/>
                <w:b/>
                <w:sz w:val="18"/>
                <w:szCs w:val="18"/>
                <w:lang w:val="es-ES"/>
              </w:rPr>
              <w:br/>
              <w:t>Documento 75</w:t>
            </w:r>
            <w:r w:rsidR="0090121B" w:rsidRPr="00FF7DA1">
              <w:rPr>
                <w:rFonts w:ascii="Verdana" w:hAnsi="Verdana"/>
                <w:b/>
                <w:sz w:val="18"/>
                <w:szCs w:val="18"/>
                <w:lang w:val="es-ES"/>
              </w:rPr>
              <w:t>-</w:t>
            </w:r>
            <w:r w:rsidRPr="00FF7DA1">
              <w:rPr>
                <w:rFonts w:ascii="Verdana" w:hAnsi="Verdana"/>
                <w:b/>
                <w:sz w:val="18"/>
                <w:szCs w:val="18"/>
                <w:lang w:val="es-ES"/>
              </w:rPr>
              <w:t>S</w:t>
            </w:r>
          </w:p>
        </w:tc>
      </w:tr>
      <w:bookmarkEnd w:id="1"/>
      <w:tr w:rsidR="000A5B9A" w:rsidRPr="00FF7DA1" w14:paraId="152D2879" w14:textId="77777777" w:rsidTr="0090121B">
        <w:trPr>
          <w:cantSplit/>
        </w:trPr>
        <w:tc>
          <w:tcPr>
            <w:tcW w:w="6911" w:type="dxa"/>
          </w:tcPr>
          <w:p w14:paraId="48DD3B8E" w14:textId="77777777" w:rsidR="000A5B9A" w:rsidRPr="00FF7DA1" w:rsidRDefault="000A5B9A" w:rsidP="00245CC4">
            <w:pPr>
              <w:spacing w:before="0" w:after="48"/>
              <w:rPr>
                <w:rFonts w:ascii="Verdana" w:hAnsi="Verdana"/>
                <w:b/>
                <w:smallCaps/>
                <w:sz w:val="18"/>
                <w:szCs w:val="18"/>
                <w:lang w:val="es-ES"/>
              </w:rPr>
            </w:pPr>
          </w:p>
        </w:tc>
        <w:tc>
          <w:tcPr>
            <w:tcW w:w="3120" w:type="dxa"/>
          </w:tcPr>
          <w:p w14:paraId="6A428675" w14:textId="77777777" w:rsidR="000A5B9A" w:rsidRPr="00FF7DA1" w:rsidRDefault="000A5B9A" w:rsidP="00245CC4">
            <w:pPr>
              <w:spacing w:before="0"/>
              <w:rPr>
                <w:rFonts w:ascii="Verdana" w:hAnsi="Verdana"/>
                <w:b/>
                <w:sz w:val="18"/>
                <w:szCs w:val="18"/>
                <w:lang w:val="es-ES"/>
              </w:rPr>
            </w:pPr>
            <w:r w:rsidRPr="00FF7DA1">
              <w:rPr>
                <w:rFonts w:ascii="Verdana" w:hAnsi="Verdana"/>
                <w:b/>
                <w:sz w:val="18"/>
                <w:szCs w:val="18"/>
                <w:lang w:val="es-ES"/>
              </w:rPr>
              <w:t>18 de octubre de 2019</w:t>
            </w:r>
          </w:p>
        </w:tc>
      </w:tr>
      <w:tr w:rsidR="000A5B9A" w:rsidRPr="00FF7DA1" w14:paraId="33582E9D" w14:textId="77777777" w:rsidTr="0090121B">
        <w:trPr>
          <w:cantSplit/>
        </w:trPr>
        <w:tc>
          <w:tcPr>
            <w:tcW w:w="6911" w:type="dxa"/>
          </w:tcPr>
          <w:p w14:paraId="00766800" w14:textId="77777777" w:rsidR="000A5B9A" w:rsidRPr="00FF7DA1" w:rsidRDefault="000A5B9A" w:rsidP="00245CC4">
            <w:pPr>
              <w:spacing w:before="0" w:after="48"/>
              <w:rPr>
                <w:rFonts w:ascii="Verdana" w:hAnsi="Verdana"/>
                <w:b/>
                <w:smallCaps/>
                <w:sz w:val="18"/>
                <w:szCs w:val="18"/>
                <w:lang w:val="es-ES"/>
              </w:rPr>
            </w:pPr>
          </w:p>
        </w:tc>
        <w:tc>
          <w:tcPr>
            <w:tcW w:w="3120" w:type="dxa"/>
          </w:tcPr>
          <w:p w14:paraId="59808AC3" w14:textId="77777777" w:rsidR="000A5B9A" w:rsidRPr="00FF7DA1" w:rsidRDefault="000A5B9A" w:rsidP="00245CC4">
            <w:pPr>
              <w:spacing w:before="0"/>
              <w:rPr>
                <w:rFonts w:ascii="Verdana" w:hAnsi="Verdana"/>
                <w:b/>
                <w:sz w:val="18"/>
                <w:szCs w:val="18"/>
                <w:lang w:val="es-ES"/>
              </w:rPr>
            </w:pPr>
            <w:r w:rsidRPr="00FF7DA1">
              <w:rPr>
                <w:rFonts w:ascii="Verdana" w:hAnsi="Verdana"/>
                <w:b/>
                <w:sz w:val="18"/>
                <w:szCs w:val="18"/>
                <w:lang w:val="es-ES"/>
              </w:rPr>
              <w:t>Original: inglés</w:t>
            </w:r>
          </w:p>
        </w:tc>
      </w:tr>
      <w:tr w:rsidR="000A5B9A" w:rsidRPr="00FF7DA1" w14:paraId="163CAA90" w14:textId="77777777" w:rsidTr="006744FC">
        <w:trPr>
          <w:cantSplit/>
        </w:trPr>
        <w:tc>
          <w:tcPr>
            <w:tcW w:w="10031" w:type="dxa"/>
            <w:gridSpan w:val="2"/>
          </w:tcPr>
          <w:p w14:paraId="5900FED2" w14:textId="77777777" w:rsidR="000A5B9A" w:rsidRPr="00FF7DA1" w:rsidRDefault="000A5B9A" w:rsidP="00245CC4">
            <w:pPr>
              <w:spacing w:before="0"/>
              <w:rPr>
                <w:rFonts w:ascii="Verdana" w:hAnsi="Verdana"/>
                <w:b/>
                <w:sz w:val="18"/>
                <w:szCs w:val="22"/>
                <w:lang w:val="es-ES"/>
              </w:rPr>
            </w:pPr>
          </w:p>
        </w:tc>
      </w:tr>
      <w:tr w:rsidR="000A5B9A" w:rsidRPr="00FF7DA1" w14:paraId="25011CE4" w14:textId="77777777" w:rsidTr="0050008E">
        <w:trPr>
          <w:cantSplit/>
        </w:trPr>
        <w:tc>
          <w:tcPr>
            <w:tcW w:w="10031" w:type="dxa"/>
            <w:gridSpan w:val="2"/>
          </w:tcPr>
          <w:p w14:paraId="30681BD9" w14:textId="77777777" w:rsidR="000A5B9A" w:rsidRPr="00FF7DA1" w:rsidRDefault="000A5B9A" w:rsidP="00245CC4">
            <w:pPr>
              <w:pStyle w:val="Source"/>
              <w:rPr>
                <w:lang w:val="es-ES"/>
              </w:rPr>
            </w:pPr>
            <w:bookmarkStart w:id="2" w:name="dsource" w:colFirst="0" w:colLast="0"/>
            <w:r w:rsidRPr="00FF7DA1">
              <w:rPr>
                <w:lang w:val="es-ES"/>
              </w:rPr>
              <w:t>Samoa (Estado Independiente de)</w:t>
            </w:r>
          </w:p>
        </w:tc>
      </w:tr>
      <w:tr w:rsidR="000A5B9A" w:rsidRPr="00FF7DA1" w14:paraId="3430BD6A" w14:textId="77777777" w:rsidTr="0050008E">
        <w:trPr>
          <w:cantSplit/>
        </w:trPr>
        <w:tc>
          <w:tcPr>
            <w:tcW w:w="10031" w:type="dxa"/>
            <w:gridSpan w:val="2"/>
          </w:tcPr>
          <w:p w14:paraId="36BE0E20" w14:textId="77777777" w:rsidR="000A5B9A" w:rsidRPr="00FF7DA1" w:rsidRDefault="000A5B9A" w:rsidP="00245CC4">
            <w:pPr>
              <w:pStyle w:val="Title1"/>
              <w:rPr>
                <w:lang w:val="es-ES"/>
              </w:rPr>
            </w:pPr>
            <w:bookmarkStart w:id="3" w:name="dtitle1" w:colFirst="0" w:colLast="0"/>
            <w:bookmarkEnd w:id="2"/>
            <w:r w:rsidRPr="00FF7DA1">
              <w:rPr>
                <w:lang w:val="es-ES"/>
              </w:rPr>
              <w:t>Propuestas para los trabajos de la Conferencia</w:t>
            </w:r>
          </w:p>
        </w:tc>
      </w:tr>
      <w:tr w:rsidR="000A5B9A" w:rsidRPr="00FF7DA1" w14:paraId="2E6E5977" w14:textId="77777777" w:rsidTr="0050008E">
        <w:trPr>
          <w:cantSplit/>
        </w:trPr>
        <w:tc>
          <w:tcPr>
            <w:tcW w:w="10031" w:type="dxa"/>
            <w:gridSpan w:val="2"/>
          </w:tcPr>
          <w:p w14:paraId="4CDF528A" w14:textId="77777777" w:rsidR="000A5B9A" w:rsidRPr="00FF7DA1" w:rsidRDefault="000A5B9A" w:rsidP="00245CC4">
            <w:pPr>
              <w:pStyle w:val="Title2"/>
              <w:rPr>
                <w:lang w:val="es-ES"/>
              </w:rPr>
            </w:pPr>
            <w:bookmarkStart w:id="4" w:name="dtitle2" w:colFirst="0" w:colLast="0"/>
            <w:bookmarkEnd w:id="3"/>
          </w:p>
        </w:tc>
      </w:tr>
      <w:tr w:rsidR="000A5B9A" w:rsidRPr="00FF7DA1" w14:paraId="56401B71" w14:textId="77777777" w:rsidTr="0050008E">
        <w:trPr>
          <w:cantSplit/>
        </w:trPr>
        <w:tc>
          <w:tcPr>
            <w:tcW w:w="10031" w:type="dxa"/>
            <w:gridSpan w:val="2"/>
          </w:tcPr>
          <w:p w14:paraId="5A6B0232" w14:textId="77777777" w:rsidR="000A5B9A" w:rsidRPr="00FF7DA1" w:rsidRDefault="000A5B9A" w:rsidP="00245CC4">
            <w:pPr>
              <w:pStyle w:val="Agendaitem"/>
              <w:rPr>
                <w:lang w:val="es-ES"/>
              </w:rPr>
            </w:pPr>
            <w:bookmarkStart w:id="5" w:name="dtitle3" w:colFirst="0" w:colLast="0"/>
            <w:bookmarkEnd w:id="4"/>
            <w:r w:rsidRPr="00FF7DA1">
              <w:rPr>
                <w:lang w:val="es-ES"/>
              </w:rPr>
              <w:t>Punto 10 del orden del día</w:t>
            </w:r>
          </w:p>
        </w:tc>
      </w:tr>
    </w:tbl>
    <w:bookmarkEnd w:id="5"/>
    <w:p w14:paraId="7469B1BD" w14:textId="77777777" w:rsidR="001C0E40" w:rsidRPr="00FF7DA1" w:rsidRDefault="006D5A02" w:rsidP="00245CC4">
      <w:pPr>
        <w:rPr>
          <w:lang w:val="es-ES"/>
        </w:rPr>
      </w:pPr>
      <w:r w:rsidRPr="00FF7DA1">
        <w:rPr>
          <w:lang w:val="es-ES"/>
        </w:rPr>
        <w:t>10</w:t>
      </w:r>
      <w:r w:rsidRPr="00FF7DA1">
        <w:rPr>
          <w:lang w:val="es-ES"/>
        </w:rPr>
        <w:tab/>
        <w:t>recomendar al Consejo los puntos que han de incluirse en el orden del día de la próxima CMR, y formular opiniones sobre el orden del día preliminar de la conferencia subsiguiente y sobre los posibles órdenes del día de futuras conferencias,</w:t>
      </w:r>
    </w:p>
    <w:p w14:paraId="19BBBFC1" w14:textId="5CC1D19B" w:rsidR="00A10F57" w:rsidRPr="00FF7DA1" w:rsidRDefault="00A10F57" w:rsidP="00245CC4">
      <w:pPr>
        <w:pStyle w:val="Headingb"/>
        <w:rPr>
          <w:lang w:val="es-ES" w:eastAsia="ko-KR"/>
        </w:rPr>
      </w:pPr>
      <w:r w:rsidRPr="00FF7DA1">
        <w:rPr>
          <w:lang w:val="es-ES" w:eastAsia="ko-KR"/>
        </w:rPr>
        <w:t>Antecedentes</w:t>
      </w:r>
    </w:p>
    <w:p w14:paraId="52B811B9" w14:textId="3AA485AD" w:rsidR="00A10F57" w:rsidRPr="00FF7DA1" w:rsidRDefault="005239E6" w:rsidP="00245CC4">
      <w:pPr>
        <w:rPr>
          <w:lang w:val="es-ES"/>
        </w:rPr>
      </w:pPr>
      <w:r w:rsidRPr="00FF7DA1">
        <w:rPr>
          <w:lang w:val="es-ES"/>
        </w:rPr>
        <w:t xml:space="preserve">Actualmente, casi todos los </w:t>
      </w:r>
      <w:r w:rsidR="00A10F57" w:rsidRPr="00FF7DA1">
        <w:rPr>
          <w:lang w:val="es-ES"/>
        </w:rPr>
        <w:t xml:space="preserve">satélites </w:t>
      </w:r>
      <w:r w:rsidRPr="00FF7DA1">
        <w:rPr>
          <w:lang w:val="es-ES"/>
        </w:rPr>
        <w:t xml:space="preserve">comerciales </w:t>
      </w:r>
      <w:r w:rsidR="00A10F57" w:rsidRPr="00FF7DA1">
        <w:rPr>
          <w:lang w:val="es-ES"/>
        </w:rPr>
        <w:t xml:space="preserve">en órbita terrestre baja (LEO) funcionan con un soporte </w:t>
      </w:r>
      <w:r w:rsidRPr="00FF7DA1">
        <w:rPr>
          <w:lang w:val="es-ES"/>
        </w:rPr>
        <w:t xml:space="preserve">de comunicación de datos </w:t>
      </w:r>
      <w:r w:rsidR="00A10F57" w:rsidRPr="00FF7DA1">
        <w:rPr>
          <w:lang w:val="es-ES"/>
        </w:rPr>
        <w:t>limitado</w:t>
      </w:r>
      <w:r w:rsidRPr="00FF7DA1">
        <w:rPr>
          <w:lang w:val="es-ES"/>
        </w:rPr>
        <w:t>,</w:t>
      </w:r>
      <w:r w:rsidR="00A10F57" w:rsidRPr="00FF7DA1">
        <w:rPr>
          <w:lang w:val="es-ES"/>
        </w:rPr>
        <w:t xml:space="preserve"> en tiempo no real </w:t>
      </w:r>
      <w:r w:rsidRPr="00FF7DA1">
        <w:rPr>
          <w:lang w:val="es-ES"/>
        </w:rPr>
        <w:t xml:space="preserve">y no continuo </w:t>
      </w:r>
      <w:r w:rsidR="00A10F57" w:rsidRPr="00FF7DA1">
        <w:rPr>
          <w:lang w:val="es-ES"/>
        </w:rPr>
        <w:t xml:space="preserve">a través de una red de estaciones terrenas. Los operadores de satélites LEO consultados han indicado que la introducción de las comunicaciones espacio-espacio en el SMS </w:t>
      </w:r>
      <w:r w:rsidRPr="00FF7DA1">
        <w:rPr>
          <w:lang w:val="es-ES"/>
        </w:rPr>
        <w:t xml:space="preserve">permitiría </w:t>
      </w:r>
      <w:r w:rsidR="00A10F57" w:rsidRPr="00FF7DA1">
        <w:rPr>
          <w:lang w:val="es-ES"/>
        </w:rPr>
        <w:t xml:space="preserve">mejorar la vigilancia y el </w:t>
      </w:r>
      <w:r w:rsidR="00DB202F" w:rsidRPr="00FF7DA1">
        <w:rPr>
          <w:lang w:val="es-ES"/>
        </w:rPr>
        <w:t>control</w:t>
      </w:r>
      <w:r w:rsidR="00A10F57" w:rsidRPr="00FF7DA1">
        <w:rPr>
          <w:lang w:val="es-ES"/>
        </w:rPr>
        <w:t xml:space="preserve"> de los satélites LEO</w:t>
      </w:r>
      <w:r w:rsidRPr="00FF7DA1">
        <w:rPr>
          <w:lang w:val="es-ES"/>
        </w:rPr>
        <w:t xml:space="preserve"> casi en tiempo real, cuando se desee y de forma ininterrumpida. Esto no sólo redundaría en una mayor seguridad y efic</w:t>
      </w:r>
      <w:r w:rsidR="00DB202F" w:rsidRPr="00FF7DA1">
        <w:rPr>
          <w:lang w:val="es-ES"/>
        </w:rPr>
        <w:t xml:space="preserve">acia </w:t>
      </w:r>
      <w:r w:rsidRPr="00FF7DA1">
        <w:rPr>
          <w:lang w:val="es-ES"/>
        </w:rPr>
        <w:t>de las operaciones de los satélites LEO sino que ampliaría los usos de sus misiones, liberando de esta forma, en gran medida, su utilización para muchas aplicaciones novedosas e importantes, en igualdad de condiciones para los nuevos actores de todos los países del mundo.</w:t>
      </w:r>
    </w:p>
    <w:p w14:paraId="7A8CD266" w14:textId="30DD1E42" w:rsidR="00A10F57" w:rsidRPr="00FF7DA1" w:rsidRDefault="00A10F57" w:rsidP="00245CC4">
      <w:pPr>
        <w:pStyle w:val="Headingb"/>
        <w:rPr>
          <w:lang w:val="es-ES" w:eastAsia="ko-KR"/>
        </w:rPr>
      </w:pPr>
      <w:r w:rsidRPr="00FF7DA1">
        <w:rPr>
          <w:lang w:val="es-ES" w:eastAsia="ko-KR"/>
        </w:rPr>
        <w:t>Propuestas</w:t>
      </w:r>
    </w:p>
    <w:p w14:paraId="07709E5A" w14:textId="62F1B3B8" w:rsidR="00A10F57" w:rsidRPr="00FF7DA1" w:rsidRDefault="000668C5" w:rsidP="00245CC4">
      <w:pPr>
        <w:rPr>
          <w:lang w:val="es-ES"/>
        </w:rPr>
      </w:pPr>
      <w:r w:rsidRPr="00FF7DA1">
        <w:rPr>
          <w:lang w:val="es-ES"/>
        </w:rPr>
        <w:t>Con el fin de satisfacer esa necesidad, se propone un nuevo punto del orden del día para la CMR</w:t>
      </w:r>
      <w:r w:rsidRPr="00FF7DA1">
        <w:rPr>
          <w:lang w:val="es-ES"/>
        </w:rPr>
        <w:noBreakHyphen/>
        <w:t xml:space="preserve">23, en el que se examine una posible atribución </w:t>
      </w:r>
      <w:r w:rsidR="005239E6" w:rsidRPr="00FF7DA1">
        <w:rPr>
          <w:lang w:val="es-ES"/>
        </w:rPr>
        <w:t>en</w:t>
      </w:r>
      <w:r w:rsidRPr="00FF7DA1">
        <w:rPr>
          <w:lang w:val="es-ES"/>
        </w:rPr>
        <w:t xml:space="preserve"> las bandas de frecuencias 1 518</w:t>
      </w:r>
      <w:r w:rsidRPr="00FF7DA1">
        <w:rPr>
          <w:lang w:val="es-ES"/>
        </w:rPr>
        <w:noBreakHyphen/>
        <w:t>1 559 MHz, 1</w:t>
      </w:r>
      <w:r w:rsidR="005239E6" w:rsidRPr="00FF7DA1">
        <w:rPr>
          <w:lang w:val="es-ES"/>
        </w:rPr>
        <w:t> </w:t>
      </w:r>
      <w:r w:rsidRPr="00FF7DA1">
        <w:rPr>
          <w:lang w:val="es-ES"/>
        </w:rPr>
        <w:t>626,</w:t>
      </w:r>
      <w:r w:rsidR="005239E6" w:rsidRPr="00FF7DA1">
        <w:rPr>
          <w:lang w:val="es-ES"/>
        </w:rPr>
        <w:t>5</w:t>
      </w:r>
      <w:r w:rsidRPr="00FF7DA1">
        <w:rPr>
          <w:lang w:val="es-ES"/>
        </w:rPr>
        <w:t>-1</w:t>
      </w:r>
      <w:r w:rsidR="005239E6" w:rsidRPr="00FF7DA1">
        <w:rPr>
          <w:lang w:val="es-ES"/>
        </w:rPr>
        <w:t> </w:t>
      </w:r>
      <w:r w:rsidRPr="00FF7DA1">
        <w:rPr>
          <w:lang w:val="es-ES"/>
        </w:rPr>
        <w:t>660,5</w:t>
      </w:r>
      <w:r w:rsidR="005239E6" w:rsidRPr="00FF7DA1">
        <w:rPr>
          <w:lang w:val="es-ES"/>
        </w:rPr>
        <w:t> </w:t>
      </w:r>
      <w:r w:rsidRPr="00FF7DA1">
        <w:rPr>
          <w:lang w:val="es-ES"/>
        </w:rPr>
        <w:t>MHz y 1</w:t>
      </w:r>
      <w:r w:rsidR="005239E6" w:rsidRPr="00FF7DA1">
        <w:rPr>
          <w:lang w:val="es-ES"/>
        </w:rPr>
        <w:t> </w:t>
      </w:r>
      <w:r w:rsidRPr="00FF7DA1">
        <w:rPr>
          <w:lang w:val="es-ES"/>
        </w:rPr>
        <w:t>668-1</w:t>
      </w:r>
      <w:r w:rsidR="005239E6" w:rsidRPr="00FF7DA1">
        <w:rPr>
          <w:lang w:val="es-ES"/>
        </w:rPr>
        <w:t> </w:t>
      </w:r>
      <w:r w:rsidRPr="00FF7DA1">
        <w:rPr>
          <w:lang w:val="es-ES"/>
        </w:rPr>
        <w:t>675</w:t>
      </w:r>
      <w:r w:rsidR="005239E6" w:rsidRPr="00FF7DA1">
        <w:rPr>
          <w:lang w:val="es-ES"/>
        </w:rPr>
        <w:t> </w:t>
      </w:r>
      <w:r w:rsidRPr="00FF7DA1">
        <w:rPr>
          <w:lang w:val="es-ES"/>
        </w:rPr>
        <w:t>MHz al servicio móvil por satélite (espacio</w:t>
      </w:r>
      <w:r w:rsidRPr="00FF7DA1">
        <w:rPr>
          <w:lang w:val="es-ES"/>
        </w:rPr>
        <w:noBreakHyphen/>
        <w:t>espacio).</w:t>
      </w:r>
      <w:r w:rsidR="00A10F57" w:rsidRPr="00FF7DA1">
        <w:rPr>
          <w:lang w:val="es-ES"/>
        </w:rPr>
        <w:t xml:space="preserve"> </w:t>
      </w:r>
      <w:r w:rsidR="005239E6" w:rsidRPr="00FF7DA1">
        <w:rPr>
          <w:lang w:val="es-ES"/>
        </w:rPr>
        <w:t>La utilización del servicio móvil por satélite entre es</w:t>
      </w:r>
      <w:r w:rsidR="00A10683" w:rsidRPr="00FF7DA1">
        <w:rPr>
          <w:lang w:val="es-ES"/>
        </w:rPr>
        <w:t>t</w:t>
      </w:r>
      <w:r w:rsidR="005239E6" w:rsidRPr="00FF7DA1">
        <w:rPr>
          <w:lang w:val="es-ES"/>
        </w:rPr>
        <w:t>aciones espaciales (espacio</w:t>
      </w:r>
      <w:r w:rsidR="001E5721" w:rsidRPr="00FF7DA1">
        <w:rPr>
          <w:lang w:val="es-ES"/>
        </w:rPr>
        <w:noBreakHyphen/>
      </w:r>
      <w:r w:rsidR="005239E6" w:rsidRPr="00FF7DA1">
        <w:rPr>
          <w:lang w:val="es-ES"/>
        </w:rPr>
        <w:t xml:space="preserve">espacio) encaja en la definición del servicio móvil por satélite (SMS) que figura en el número </w:t>
      </w:r>
      <w:r w:rsidR="005239E6" w:rsidRPr="00FF7DA1">
        <w:rPr>
          <w:b/>
          <w:bCs/>
          <w:lang w:val="es-ES"/>
        </w:rPr>
        <w:t xml:space="preserve">1.25 </w:t>
      </w:r>
      <w:r w:rsidR="005239E6" w:rsidRPr="00FF7DA1">
        <w:rPr>
          <w:lang w:val="es-ES"/>
        </w:rPr>
        <w:t>del Reglamento de Radiocomunicaciones</w:t>
      </w:r>
      <w:r w:rsidR="00A10F57" w:rsidRPr="00FF7DA1">
        <w:rPr>
          <w:lang w:val="es-ES"/>
        </w:rPr>
        <w:t>.</w:t>
      </w:r>
    </w:p>
    <w:p w14:paraId="06778996" w14:textId="7B2B0C7E" w:rsidR="00A10F57" w:rsidRPr="00FF7DA1" w:rsidRDefault="00E55681" w:rsidP="00245CC4">
      <w:pPr>
        <w:pStyle w:val="Headingb"/>
        <w:rPr>
          <w:lang w:val="es-ES" w:eastAsia="ko-KR"/>
        </w:rPr>
      </w:pPr>
      <w:r w:rsidRPr="00FF7DA1">
        <w:rPr>
          <w:lang w:val="es-ES" w:eastAsia="ko-KR"/>
        </w:rPr>
        <w:t>Trabajo de estudio propuesto</w:t>
      </w:r>
    </w:p>
    <w:p w14:paraId="32E5FD62" w14:textId="16CA2AEE" w:rsidR="00A10F57" w:rsidRPr="00FF7DA1" w:rsidRDefault="00E55681" w:rsidP="00245CC4">
      <w:pPr>
        <w:rPr>
          <w:lang w:val="es-ES"/>
        </w:rPr>
      </w:pPr>
      <w:r w:rsidRPr="00FF7DA1">
        <w:rPr>
          <w:lang w:val="es-ES"/>
        </w:rPr>
        <w:t xml:space="preserve">A </w:t>
      </w:r>
      <w:r w:rsidR="00DB202F" w:rsidRPr="00FF7DA1">
        <w:rPr>
          <w:lang w:val="es-ES"/>
        </w:rPr>
        <w:t>continuación,</w:t>
      </w:r>
      <w:r w:rsidRPr="00FF7DA1">
        <w:rPr>
          <w:lang w:val="es-ES"/>
        </w:rPr>
        <w:t xml:space="preserve"> se propone un punto del orden del día para la CMR-23, con un proyecto de Resolución CMR </w:t>
      </w:r>
      <w:r w:rsidR="00DB202F" w:rsidRPr="00FF7DA1">
        <w:rPr>
          <w:lang w:val="es-ES"/>
        </w:rPr>
        <w:t>para</w:t>
      </w:r>
      <w:r w:rsidRPr="00FF7DA1">
        <w:rPr>
          <w:lang w:val="es-ES"/>
        </w:rPr>
        <w:t xml:space="preserve"> </w:t>
      </w:r>
      <w:r w:rsidR="00DB202F" w:rsidRPr="00FF7DA1">
        <w:rPr>
          <w:lang w:val="es-ES"/>
        </w:rPr>
        <w:t>examinar</w:t>
      </w:r>
      <w:r w:rsidRPr="00FF7DA1">
        <w:rPr>
          <w:lang w:val="es-ES"/>
        </w:rPr>
        <w:t xml:space="preserve"> la posible atribución en las bandas de frecuencias</w:t>
      </w:r>
      <w:r w:rsidR="00A10F57" w:rsidRPr="00FF7DA1">
        <w:rPr>
          <w:lang w:val="es-ES"/>
        </w:rPr>
        <w:t xml:space="preserve"> 1</w:t>
      </w:r>
      <w:r w:rsidRPr="00FF7DA1">
        <w:rPr>
          <w:lang w:val="es-ES"/>
        </w:rPr>
        <w:t> </w:t>
      </w:r>
      <w:r w:rsidR="00A10F57" w:rsidRPr="00FF7DA1">
        <w:rPr>
          <w:lang w:val="es-ES"/>
        </w:rPr>
        <w:t>518</w:t>
      </w:r>
      <w:r w:rsidR="00B1609E" w:rsidRPr="00FF7DA1">
        <w:rPr>
          <w:lang w:val="es-ES"/>
        </w:rPr>
        <w:noBreakHyphen/>
      </w:r>
      <w:r w:rsidR="00A10F57" w:rsidRPr="00FF7DA1">
        <w:rPr>
          <w:lang w:val="es-ES"/>
        </w:rPr>
        <w:t>1</w:t>
      </w:r>
      <w:r w:rsidRPr="00FF7DA1">
        <w:rPr>
          <w:lang w:val="es-ES"/>
        </w:rPr>
        <w:t> </w:t>
      </w:r>
      <w:r w:rsidR="00A10F57" w:rsidRPr="00FF7DA1">
        <w:rPr>
          <w:lang w:val="es-ES"/>
        </w:rPr>
        <w:t>559</w:t>
      </w:r>
      <w:r w:rsidRPr="00FF7DA1">
        <w:rPr>
          <w:lang w:val="es-ES"/>
        </w:rPr>
        <w:t> </w:t>
      </w:r>
      <w:r w:rsidR="00A10F57" w:rsidRPr="00FF7DA1">
        <w:rPr>
          <w:lang w:val="es-ES"/>
        </w:rPr>
        <w:t>MHz, 1</w:t>
      </w:r>
      <w:r w:rsidRPr="00FF7DA1">
        <w:rPr>
          <w:lang w:val="es-ES"/>
        </w:rPr>
        <w:t> </w:t>
      </w:r>
      <w:r w:rsidR="00A10F57" w:rsidRPr="00FF7DA1">
        <w:rPr>
          <w:lang w:val="es-ES"/>
        </w:rPr>
        <w:t>626</w:t>
      </w:r>
      <w:r w:rsidRPr="00FF7DA1">
        <w:rPr>
          <w:lang w:val="es-ES"/>
        </w:rPr>
        <w:t>,</w:t>
      </w:r>
      <w:r w:rsidR="00A10F57" w:rsidRPr="00FF7DA1">
        <w:rPr>
          <w:lang w:val="es-ES"/>
        </w:rPr>
        <w:t>5-1</w:t>
      </w:r>
      <w:r w:rsidRPr="00FF7DA1">
        <w:rPr>
          <w:lang w:val="es-ES"/>
        </w:rPr>
        <w:t> </w:t>
      </w:r>
      <w:r w:rsidR="00A10F57" w:rsidRPr="00FF7DA1">
        <w:rPr>
          <w:lang w:val="es-ES"/>
        </w:rPr>
        <w:t>660</w:t>
      </w:r>
      <w:r w:rsidRPr="00FF7DA1">
        <w:rPr>
          <w:lang w:val="es-ES"/>
        </w:rPr>
        <w:t>,</w:t>
      </w:r>
      <w:r w:rsidR="00A10F57" w:rsidRPr="00FF7DA1">
        <w:rPr>
          <w:lang w:val="es-ES"/>
        </w:rPr>
        <w:t>5</w:t>
      </w:r>
      <w:r w:rsidRPr="00FF7DA1">
        <w:rPr>
          <w:lang w:val="es-ES"/>
        </w:rPr>
        <w:t> </w:t>
      </w:r>
      <w:r w:rsidR="00A10F57" w:rsidRPr="00FF7DA1">
        <w:rPr>
          <w:lang w:val="es-ES"/>
        </w:rPr>
        <w:t xml:space="preserve">MHz </w:t>
      </w:r>
      <w:r w:rsidRPr="00FF7DA1">
        <w:rPr>
          <w:lang w:val="es-ES"/>
        </w:rPr>
        <w:t xml:space="preserve">y </w:t>
      </w:r>
      <w:r w:rsidR="00A10F57" w:rsidRPr="00FF7DA1">
        <w:rPr>
          <w:lang w:val="es-ES"/>
        </w:rPr>
        <w:t>1</w:t>
      </w:r>
      <w:r w:rsidRPr="00FF7DA1">
        <w:rPr>
          <w:lang w:val="es-ES"/>
        </w:rPr>
        <w:t> </w:t>
      </w:r>
      <w:r w:rsidR="00A10F57" w:rsidRPr="00FF7DA1">
        <w:rPr>
          <w:lang w:val="es-ES"/>
        </w:rPr>
        <w:t>668-1</w:t>
      </w:r>
      <w:r w:rsidRPr="00FF7DA1">
        <w:rPr>
          <w:lang w:val="es-ES"/>
        </w:rPr>
        <w:t> </w:t>
      </w:r>
      <w:r w:rsidR="00A10F57" w:rsidRPr="00FF7DA1">
        <w:rPr>
          <w:lang w:val="es-ES"/>
        </w:rPr>
        <w:t>675</w:t>
      </w:r>
      <w:r w:rsidRPr="00FF7DA1">
        <w:rPr>
          <w:lang w:val="es-ES"/>
        </w:rPr>
        <w:t> </w:t>
      </w:r>
      <w:r w:rsidR="00A10F57" w:rsidRPr="00FF7DA1">
        <w:rPr>
          <w:lang w:val="es-ES"/>
        </w:rPr>
        <w:t xml:space="preserve">MHz </w:t>
      </w:r>
      <w:r w:rsidRPr="00FF7DA1">
        <w:rPr>
          <w:lang w:val="es-ES"/>
        </w:rPr>
        <w:t>al servicio móvil por satélite (espacio</w:t>
      </w:r>
      <w:r w:rsidR="00B1609E" w:rsidRPr="00FF7DA1">
        <w:rPr>
          <w:lang w:val="es-ES"/>
        </w:rPr>
        <w:noBreakHyphen/>
      </w:r>
      <w:r w:rsidRPr="00FF7DA1">
        <w:rPr>
          <w:lang w:val="es-ES"/>
        </w:rPr>
        <w:t xml:space="preserve">espacio). Se adjunta </w:t>
      </w:r>
      <w:r w:rsidR="007068AD" w:rsidRPr="00FF7DA1">
        <w:rPr>
          <w:lang w:val="es-ES"/>
        </w:rPr>
        <w:t xml:space="preserve">dicha propuesta como Anexo </w:t>
      </w:r>
      <w:r w:rsidRPr="00FF7DA1">
        <w:rPr>
          <w:lang w:val="es-ES"/>
        </w:rPr>
        <w:t>al presente document</w:t>
      </w:r>
      <w:r w:rsidR="007068AD" w:rsidRPr="00FF7DA1">
        <w:rPr>
          <w:lang w:val="es-ES"/>
        </w:rPr>
        <w:t>o</w:t>
      </w:r>
      <w:r w:rsidRPr="00FF7DA1">
        <w:rPr>
          <w:lang w:val="es-ES"/>
        </w:rPr>
        <w:t>, utiliza</w:t>
      </w:r>
      <w:r w:rsidR="007068AD" w:rsidRPr="00FF7DA1">
        <w:rPr>
          <w:lang w:val="es-ES"/>
        </w:rPr>
        <w:t>ndo</w:t>
      </w:r>
      <w:r w:rsidRPr="00FF7DA1">
        <w:rPr>
          <w:lang w:val="es-ES"/>
        </w:rPr>
        <w:t xml:space="preserve"> la plantilla facilitada en el Anexo 2 de la Resolución </w:t>
      </w:r>
      <w:r w:rsidR="00A10F57" w:rsidRPr="00FF7DA1">
        <w:rPr>
          <w:b/>
          <w:lang w:val="es-ES"/>
        </w:rPr>
        <w:t>804</w:t>
      </w:r>
      <w:r w:rsidR="00A10F57" w:rsidRPr="00FF7DA1">
        <w:rPr>
          <w:lang w:val="es-ES"/>
        </w:rPr>
        <w:t xml:space="preserve"> (</w:t>
      </w:r>
      <w:r w:rsidR="00A10F57" w:rsidRPr="00FF7DA1">
        <w:rPr>
          <w:b/>
          <w:lang w:val="es-ES"/>
        </w:rPr>
        <w:t>Rev.</w:t>
      </w:r>
      <w:r w:rsidRPr="00FF7DA1">
        <w:rPr>
          <w:b/>
          <w:lang w:val="es-ES"/>
        </w:rPr>
        <w:t>CMR</w:t>
      </w:r>
      <w:r w:rsidR="00A10F57" w:rsidRPr="00FF7DA1">
        <w:rPr>
          <w:b/>
          <w:lang w:val="es-ES"/>
        </w:rPr>
        <w:t>-12</w:t>
      </w:r>
      <w:r w:rsidR="00A10F57" w:rsidRPr="00FF7DA1">
        <w:rPr>
          <w:lang w:val="es-ES"/>
        </w:rPr>
        <w:t>)</w:t>
      </w:r>
      <w:r w:rsidRPr="00FF7DA1">
        <w:rPr>
          <w:lang w:val="es-ES"/>
        </w:rPr>
        <w:t xml:space="preserve">. También se </w:t>
      </w:r>
      <w:r w:rsidR="00DB202F" w:rsidRPr="00FF7DA1">
        <w:rPr>
          <w:lang w:val="es-ES"/>
        </w:rPr>
        <w:t>proporciona</w:t>
      </w:r>
      <w:r w:rsidRPr="00FF7DA1">
        <w:rPr>
          <w:lang w:val="es-ES"/>
        </w:rPr>
        <w:t xml:space="preserve"> un proyecto de nueva Resolución para este punto del orden del día nuevo</w:t>
      </w:r>
      <w:r w:rsidR="00A10F57" w:rsidRPr="00FF7DA1">
        <w:rPr>
          <w:lang w:val="es-ES"/>
        </w:rPr>
        <w:t>.</w:t>
      </w:r>
    </w:p>
    <w:p w14:paraId="02371817" w14:textId="48D2677D" w:rsidR="000668C5" w:rsidRPr="00FF7DA1" w:rsidRDefault="00E55681" w:rsidP="00245CC4">
      <w:pPr>
        <w:rPr>
          <w:rFonts w:cs="Calibri"/>
          <w:lang w:val="es-ES"/>
        </w:rPr>
      </w:pPr>
      <w:r w:rsidRPr="00FF7DA1">
        <w:rPr>
          <w:rFonts w:cs="Calibri"/>
          <w:lang w:val="es-ES"/>
        </w:rPr>
        <w:lastRenderedPageBreak/>
        <w:t xml:space="preserve">Se invita a las Administraciones Miembro a considerar la posibilidad de incluir el punto anterior como punto 10 del orden del día, con miras a proporcionar enlaces de comunicaciones de datos espacio-espacio de conformidad con el número </w:t>
      </w:r>
      <w:r w:rsidR="00A10F57" w:rsidRPr="00FF7DA1">
        <w:rPr>
          <w:rFonts w:cs="Calibri"/>
          <w:b/>
          <w:lang w:val="es-ES"/>
        </w:rPr>
        <w:t>1.25</w:t>
      </w:r>
      <w:r w:rsidR="00A10F57" w:rsidRPr="00FF7DA1">
        <w:rPr>
          <w:rFonts w:cs="Calibri"/>
          <w:lang w:val="es-ES"/>
        </w:rPr>
        <w:t xml:space="preserve"> </w:t>
      </w:r>
      <w:r w:rsidRPr="00FF7DA1">
        <w:rPr>
          <w:rFonts w:cs="Calibri"/>
          <w:lang w:val="es-ES"/>
        </w:rPr>
        <w:t>del Reglamento de Radiocomunicaciones que permitan el funcionamiento eficaz y efectivo de las constelaciones tanto no OSG como OSG</w:t>
      </w:r>
      <w:r w:rsidR="00A10F57" w:rsidRPr="00FF7DA1">
        <w:rPr>
          <w:rFonts w:cs="Calibri"/>
          <w:lang w:val="es-ES"/>
        </w:rPr>
        <w:t>.</w:t>
      </w:r>
    </w:p>
    <w:p w14:paraId="64BD7E15" w14:textId="0856BA56" w:rsidR="008750A8" w:rsidRPr="00FF7DA1" w:rsidRDefault="008750A8" w:rsidP="00245CC4">
      <w:pPr>
        <w:rPr>
          <w:lang w:val="es-ES"/>
        </w:rPr>
      </w:pPr>
      <w:r w:rsidRPr="00FF7DA1">
        <w:rPr>
          <w:lang w:val="es-ES"/>
        </w:rPr>
        <w:br w:type="page"/>
      </w:r>
    </w:p>
    <w:p w14:paraId="549ACA0A" w14:textId="77777777" w:rsidR="005F595F" w:rsidRPr="00FF7DA1" w:rsidRDefault="006D5A02" w:rsidP="00245CC4">
      <w:pPr>
        <w:pStyle w:val="Proposal"/>
        <w:rPr>
          <w:lang w:val="es-ES"/>
        </w:rPr>
      </w:pPr>
      <w:r w:rsidRPr="00FF7DA1">
        <w:rPr>
          <w:lang w:val="es-ES"/>
        </w:rPr>
        <w:lastRenderedPageBreak/>
        <w:t>ADD</w:t>
      </w:r>
      <w:r w:rsidRPr="00FF7DA1">
        <w:rPr>
          <w:lang w:val="es-ES"/>
        </w:rPr>
        <w:tab/>
        <w:t>SMO/75A24/1</w:t>
      </w:r>
    </w:p>
    <w:p w14:paraId="3BF46930" w14:textId="43D9EF00" w:rsidR="000668C5" w:rsidRPr="00FF7DA1" w:rsidRDefault="00E24A0A" w:rsidP="00245CC4">
      <w:pPr>
        <w:pStyle w:val="RecNo"/>
        <w:rPr>
          <w:lang w:val="es-ES"/>
        </w:rPr>
      </w:pPr>
      <w:r w:rsidRPr="00FF7DA1">
        <w:rPr>
          <w:lang w:val="es-ES"/>
        </w:rPr>
        <w:t xml:space="preserve">PROYECTO DE NUEVA RESOLUCIÓN </w:t>
      </w:r>
      <w:r w:rsidR="00E800BA">
        <w:rPr>
          <w:lang w:val="es-ES"/>
        </w:rPr>
        <w:br/>
      </w:r>
      <w:r w:rsidR="000668C5" w:rsidRPr="00FF7DA1">
        <w:rPr>
          <w:lang w:val="es-ES"/>
        </w:rPr>
        <w:t>[SMO/MSS Sat Links in L-Band] (</w:t>
      </w:r>
      <w:r w:rsidRPr="00FF7DA1">
        <w:rPr>
          <w:lang w:val="es-ES"/>
        </w:rPr>
        <w:t>CMR</w:t>
      </w:r>
      <w:r w:rsidR="000668C5" w:rsidRPr="00FF7DA1">
        <w:rPr>
          <w:lang w:val="es-ES"/>
        </w:rPr>
        <w:t>-19)</w:t>
      </w:r>
    </w:p>
    <w:p w14:paraId="2A743453" w14:textId="5E46EC5B" w:rsidR="000668C5" w:rsidRPr="00FF7DA1" w:rsidRDefault="00754198" w:rsidP="00245CC4">
      <w:pPr>
        <w:pStyle w:val="Restitle"/>
        <w:rPr>
          <w:lang w:val="es-ES"/>
        </w:rPr>
      </w:pPr>
      <w:r w:rsidRPr="00FF7DA1">
        <w:rPr>
          <w:lang w:val="es-ES"/>
        </w:rPr>
        <w:t>Examen de las posibles atribuciones al servicio móvil por satélite (espacio</w:t>
      </w:r>
      <w:r w:rsidR="00E800BA">
        <w:rPr>
          <w:lang w:val="es-ES"/>
        </w:rPr>
        <w:noBreakHyphen/>
      </w:r>
      <w:r w:rsidRPr="00FF7DA1">
        <w:rPr>
          <w:lang w:val="es-ES"/>
        </w:rPr>
        <w:t>espacio) en las bandas de frecuencias 1 518-1 559 MHz, 1 626,5</w:t>
      </w:r>
      <w:r w:rsidR="00E800BA">
        <w:rPr>
          <w:lang w:val="es-ES"/>
        </w:rPr>
        <w:noBreakHyphen/>
      </w:r>
      <w:r w:rsidRPr="00FF7DA1">
        <w:rPr>
          <w:lang w:val="es-ES"/>
        </w:rPr>
        <w:t>1 660,5 MHz y 1 668-1 675 MHz</w:t>
      </w:r>
    </w:p>
    <w:p w14:paraId="47081E7B" w14:textId="29E5A2F9" w:rsidR="000668C5" w:rsidRPr="00FF7DA1" w:rsidRDefault="00E24A0A" w:rsidP="00245CC4">
      <w:pPr>
        <w:pStyle w:val="Normalaftertitle"/>
        <w:rPr>
          <w:lang w:val="es-ES"/>
        </w:rPr>
      </w:pPr>
      <w:r w:rsidRPr="00FF7DA1">
        <w:rPr>
          <w:lang w:val="es-ES"/>
        </w:rPr>
        <w:t>La Conferencia Mundial de Radiocomunicaciones (Sharm el-Sheikh, 2019),</w:t>
      </w:r>
    </w:p>
    <w:p w14:paraId="701E5490" w14:textId="77777777" w:rsidR="00E24A0A" w:rsidRPr="00FF7DA1" w:rsidRDefault="00E24A0A" w:rsidP="00245CC4">
      <w:pPr>
        <w:pStyle w:val="Call"/>
        <w:rPr>
          <w:lang w:val="es-ES"/>
        </w:rPr>
      </w:pPr>
      <w:r w:rsidRPr="00FF7DA1">
        <w:rPr>
          <w:lang w:val="es-ES"/>
        </w:rPr>
        <w:t>considerando</w:t>
      </w:r>
    </w:p>
    <w:p w14:paraId="01335BA4" w14:textId="78465865" w:rsidR="00E24A0A" w:rsidRPr="00FF7DA1" w:rsidRDefault="00E24A0A" w:rsidP="00F149D3">
      <w:pPr>
        <w:rPr>
          <w:lang w:val="es-ES"/>
        </w:rPr>
      </w:pPr>
      <w:r w:rsidRPr="00FF7DA1">
        <w:rPr>
          <w:i/>
          <w:lang w:val="es-ES"/>
        </w:rPr>
        <w:t>a)</w:t>
      </w:r>
      <w:r w:rsidRPr="00FF7DA1">
        <w:rPr>
          <w:lang w:val="es-ES"/>
        </w:rPr>
        <w:tab/>
        <w:t xml:space="preserve">que la definición del servicio móvil por satélite (SMS) que figura en el número </w:t>
      </w:r>
      <w:r w:rsidRPr="00FF7DA1">
        <w:rPr>
          <w:b/>
          <w:lang w:val="es-ES"/>
        </w:rPr>
        <w:t>1.25</w:t>
      </w:r>
      <w:r w:rsidRPr="00FF7DA1">
        <w:rPr>
          <w:lang w:val="es-ES"/>
        </w:rPr>
        <w:t xml:space="preserve"> del Reglamento de Radiocomunicaciones incluye la comunicación entre estaciones espaciales;</w:t>
      </w:r>
    </w:p>
    <w:p w14:paraId="2A4F6245" w14:textId="4407C3E1" w:rsidR="00E24A0A" w:rsidRPr="00FF7DA1" w:rsidRDefault="00E24A0A" w:rsidP="00245CC4">
      <w:pPr>
        <w:rPr>
          <w:lang w:val="es-ES"/>
        </w:rPr>
      </w:pPr>
      <w:r w:rsidRPr="00FF7DA1">
        <w:rPr>
          <w:i/>
          <w:lang w:val="es-ES"/>
        </w:rPr>
        <w:t>b)</w:t>
      </w:r>
      <w:r w:rsidRPr="00FF7DA1">
        <w:rPr>
          <w:lang w:val="es-ES"/>
        </w:rPr>
        <w:tab/>
      </w:r>
      <w:r w:rsidR="0053366F" w:rsidRPr="00FF7DA1">
        <w:rPr>
          <w:lang w:val="es-ES"/>
        </w:rPr>
        <w:t xml:space="preserve">que </w:t>
      </w:r>
      <w:r w:rsidRPr="00FF7DA1">
        <w:rPr>
          <w:lang w:val="es-ES"/>
        </w:rPr>
        <w:t xml:space="preserve">muchos satélites </w:t>
      </w:r>
      <w:r w:rsidR="0053366F" w:rsidRPr="00FF7DA1">
        <w:rPr>
          <w:lang w:val="es-ES"/>
        </w:rPr>
        <w:t xml:space="preserve">no OSG </w:t>
      </w:r>
      <w:r w:rsidRPr="00FF7DA1">
        <w:rPr>
          <w:lang w:val="es-ES"/>
        </w:rPr>
        <w:t xml:space="preserve">funcionan con </w:t>
      </w:r>
      <w:r w:rsidR="0053366F" w:rsidRPr="00FF7DA1">
        <w:rPr>
          <w:lang w:val="es-ES"/>
        </w:rPr>
        <w:t xml:space="preserve">conectividad </w:t>
      </w:r>
      <w:r w:rsidRPr="00FF7DA1">
        <w:rPr>
          <w:lang w:val="es-ES"/>
        </w:rPr>
        <w:t>limitad</w:t>
      </w:r>
      <w:r w:rsidR="00A10683" w:rsidRPr="00FF7DA1">
        <w:rPr>
          <w:lang w:val="es-ES"/>
        </w:rPr>
        <w:t>a</w:t>
      </w:r>
      <w:r w:rsidRPr="00FF7DA1">
        <w:rPr>
          <w:lang w:val="es-ES"/>
        </w:rPr>
        <w:t xml:space="preserve"> y en tiempo no real a estaciones terrenas;</w:t>
      </w:r>
    </w:p>
    <w:p w14:paraId="4279B3AE" w14:textId="51D5F267" w:rsidR="00E24A0A" w:rsidRPr="00FF7DA1" w:rsidRDefault="00E24A0A" w:rsidP="00245CC4">
      <w:pPr>
        <w:rPr>
          <w:lang w:val="es-ES"/>
        </w:rPr>
      </w:pPr>
      <w:r w:rsidRPr="00FF7DA1">
        <w:rPr>
          <w:i/>
          <w:lang w:val="es-ES"/>
        </w:rPr>
        <w:t>c)</w:t>
      </w:r>
      <w:r w:rsidRPr="00FF7DA1">
        <w:rPr>
          <w:lang w:val="es-ES"/>
        </w:rPr>
        <w:tab/>
      </w:r>
      <w:r w:rsidR="00A10683" w:rsidRPr="00FF7DA1">
        <w:rPr>
          <w:lang w:val="es-ES"/>
        </w:rPr>
        <w:t>que la comunicación espacio-espacio entre esos satélites no OSG y los satélites del SMS geoestacionarios (OSG) redundaría en una mayor seguridad y efic</w:t>
      </w:r>
      <w:r w:rsidR="00DB202F" w:rsidRPr="00FF7DA1">
        <w:rPr>
          <w:lang w:val="es-ES"/>
        </w:rPr>
        <w:t xml:space="preserve">acia </w:t>
      </w:r>
      <w:r w:rsidR="00A10683" w:rsidRPr="00FF7DA1">
        <w:rPr>
          <w:lang w:val="es-ES"/>
        </w:rPr>
        <w:t>de las operaciones</w:t>
      </w:r>
      <w:r w:rsidRPr="00FF7DA1">
        <w:rPr>
          <w:lang w:val="es-ES"/>
        </w:rPr>
        <w:t>;</w:t>
      </w:r>
    </w:p>
    <w:p w14:paraId="51EEEB8B" w14:textId="53DD9FC0" w:rsidR="00E24A0A" w:rsidRPr="00FF7DA1" w:rsidRDefault="00E24A0A" w:rsidP="00245CC4">
      <w:pPr>
        <w:rPr>
          <w:lang w:val="es-ES"/>
        </w:rPr>
      </w:pPr>
      <w:r w:rsidRPr="00FF7DA1">
        <w:rPr>
          <w:i/>
          <w:lang w:val="es-ES"/>
        </w:rPr>
        <w:t>d)</w:t>
      </w:r>
      <w:r w:rsidRPr="00FF7DA1">
        <w:rPr>
          <w:lang w:val="es-ES"/>
        </w:rPr>
        <w:tab/>
      </w:r>
      <w:r w:rsidR="00A10683" w:rsidRPr="00FF7DA1">
        <w:rPr>
          <w:lang w:val="es-ES"/>
        </w:rPr>
        <w:t xml:space="preserve">que los satélites del SMS OSG que funcionan en las bandas de frecuencias </w:t>
      </w:r>
      <w:r w:rsidRPr="00FF7DA1">
        <w:rPr>
          <w:lang w:val="es-ES"/>
        </w:rPr>
        <w:t>1</w:t>
      </w:r>
      <w:r w:rsidR="00A10683" w:rsidRPr="00FF7DA1">
        <w:rPr>
          <w:lang w:val="es-ES"/>
        </w:rPr>
        <w:t> </w:t>
      </w:r>
      <w:r w:rsidRPr="00FF7DA1">
        <w:rPr>
          <w:lang w:val="es-ES"/>
        </w:rPr>
        <w:t>518</w:t>
      </w:r>
      <w:r w:rsidR="00F149D3" w:rsidRPr="00FF7DA1">
        <w:rPr>
          <w:lang w:val="es-ES"/>
        </w:rPr>
        <w:noBreakHyphen/>
      </w:r>
      <w:r w:rsidRPr="00FF7DA1">
        <w:rPr>
          <w:lang w:val="es-ES"/>
        </w:rPr>
        <w:t>1</w:t>
      </w:r>
      <w:r w:rsidR="00A10683" w:rsidRPr="00FF7DA1">
        <w:rPr>
          <w:lang w:val="es-ES"/>
        </w:rPr>
        <w:t> </w:t>
      </w:r>
      <w:r w:rsidRPr="00FF7DA1">
        <w:rPr>
          <w:lang w:val="es-ES"/>
        </w:rPr>
        <w:t>559</w:t>
      </w:r>
      <w:r w:rsidR="00A10683" w:rsidRPr="00FF7DA1">
        <w:rPr>
          <w:lang w:val="es-ES"/>
        </w:rPr>
        <w:t> </w:t>
      </w:r>
      <w:r w:rsidRPr="00FF7DA1">
        <w:rPr>
          <w:lang w:val="es-ES"/>
        </w:rPr>
        <w:t>MHz, 1</w:t>
      </w:r>
      <w:r w:rsidR="00A10683" w:rsidRPr="00FF7DA1">
        <w:rPr>
          <w:lang w:val="es-ES"/>
        </w:rPr>
        <w:t> </w:t>
      </w:r>
      <w:r w:rsidRPr="00FF7DA1">
        <w:rPr>
          <w:lang w:val="es-ES"/>
        </w:rPr>
        <w:t>626</w:t>
      </w:r>
      <w:r w:rsidR="00A10683" w:rsidRPr="00FF7DA1">
        <w:rPr>
          <w:lang w:val="es-ES"/>
        </w:rPr>
        <w:t>,</w:t>
      </w:r>
      <w:r w:rsidRPr="00FF7DA1">
        <w:rPr>
          <w:lang w:val="es-ES"/>
        </w:rPr>
        <w:t>5-1 660</w:t>
      </w:r>
      <w:r w:rsidR="00A10683" w:rsidRPr="00FF7DA1">
        <w:rPr>
          <w:lang w:val="es-ES"/>
        </w:rPr>
        <w:t>,</w:t>
      </w:r>
      <w:r w:rsidRPr="00FF7DA1">
        <w:rPr>
          <w:lang w:val="es-ES"/>
        </w:rPr>
        <w:t>5</w:t>
      </w:r>
      <w:r w:rsidR="00A10683" w:rsidRPr="00FF7DA1">
        <w:rPr>
          <w:lang w:val="es-ES"/>
        </w:rPr>
        <w:t> </w:t>
      </w:r>
      <w:r w:rsidRPr="00FF7DA1">
        <w:rPr>
          <w:lang w:val="es-ES"/>
        </w:rPr>
        <w:t xml:space="preserve">MHz </w:t>
      </w:r>
      <w:r w:rsidR="00A10683" w:rsidRPr="00FF7DA1">
        <w:rPr>
          <w:lang w:val="es-ES"/>
        </w:rPr>
        <w:t xml:space="preserve">y </w:t>
      </w:r>
      <w:r w:rsidRPr="00FF7DA1">
        <w:rPr>
          <w:lang w:val="es-ES"/>
        </w:rPr>
        <w:t>1</w:t>
      </w:r>
      <w:r w:rsidR="00A10683" w:rsidRPr="00FF7DA1">
        <w:rPr>
          <w:lang w:val="es-ES"/>
        </w:rPr>
        <w:t> </w:t>
      </w:r>
      <w:r w:rsidRPr="00FF7DA1">
        <w:rPr>
          <w:lang w:val="es-ES"/>
        </w:rPr>
        <w:t>668-1</w:t>
      </w:r>
      <w:r w:rsidR="00A10683" w:rsidRPr="00FF7DA1">
        <w:rPr>
          <w:lang w:val="es-ES"/>
        </w:rPr>
        <w:t> </w:t>
      </w:r>
      <w:r w:rsidRPr="00FF7DA1">
        <w:rPr>
          <w:lang w:val="es-ES"/>
        </w:rPr>
        <w:t>675</w:t>
      </w:r>
      <w:r w:rsidR="00A10683" w:rsidRPr="00FF7DA1">
        <w:rPr>
          <w:lang w:val="es-ES"/>
        </w:rPr>
        <w:t> </w:t>
      </w:r>
      <w:r w:rsidRPr="00FF7DA1">
        <w:rPr>
          <w:lang w:val="es-ES"/>
        </w:rPr>
        <w:t xml:space="preserve">MHz </w:t>
      </w:r>
      <w:r w:rsidR="00A10683" w:rsidRPr="00FF7DA1">
        <w:rPr>
          <w:lang w:val="es-ES"/>
        </w:rPr>
        <w:t>admiten estos tipos de operaciones</w:t>
      </w:r>
      <w:r w:rsidRPr="00FF7DA1">
        <w:rPr>
          <w:lang w:val="es-ES"/>
        </w:rPr>
        <w:t>;</w:t>
      </w:r>
    </w:p>
    <w:p w14:paraId="55CF2709" w14:textId="76E67C51" w:rsidR="00E24A0A" w:rsidRPr="00FF7DA1" w:rsidRDefault="00E24A0A" w:rsidP="00245CC4">
      <w:pPr>
        <w:rPr>
          <w:i/>
          <w:lang w:val="es-ES"/>
        </w:rPr>
      </w:pPr>
      <w:r w:rsidRPr="00FF7DA1">
        <w:rPr>
          <w:i/>
          <w:lang w:val="es-ES"/>
        </w:rPr>
        <w:t>e)</w:t>
      </w:r>
      <w:r w:rsidRPr="00FF7DA1">
        <w:rPr>
          <w:lang w:val="es-ES"/>
        </w:rPr>
        <w:tab/>
      </w:r>
      <w:r w:rsidR="00A10683" w:rsidRPr="00FF7DA1">
        <w:rPr>
          <w:lang w:val="es-ES"/>
        </w:rPr>
        <w:t>que las bandas de frecuencias mencionadas más arriba están atribuidas actualmente al SMS (espacio-Tierra) o SMS (Tierra-espacio), pero no al SMS (espacio-espacio)</w:t>
      </w:r>
      <w:r w:rsidRPr="00FF7DA1">
        <w:rPr>
          <w:lang w:val="es-ES"/>
        </w:rPr>
        <w:t>;</w:t>
      </w:r>
    </w:p>
    <w:p w14:paraId="0719618F" w14:textId="43587F5E" w:rsidR="00E24A0A" w:rsidRPr="00FF7DA1" w:rsidRDefault="00E24A0A" w:rsidP="00245CC4">
      <w:pPr>
        <w:rPr>
          <w:lang w:val="es-ES"/>
        </w:rPr>
      </w:pPr>
      <w:r w:rsidRPr="00FF7DA1">
        <w:rPr>
          <w:i/>
          <w:iCs/>
          <w:lang w:val="es-ES"/>
        </w:rPr>
        <w:t>f)</w:t>
      </w:r>
      <w:r w:rsidRPr="00FF7DA1">
        <w:rPr>
          <w:lang w:val="es-ES"/>
        </w:rPr>
        <w:tab/>
      </w:r>
      <w:r w:rsidR="00A10683" w:rsidRPr="00FF7DA1">
        <w:rPr>
          <w:lang w:val="es-ES"/>
        </w:rPr>
        <w:t>que el UIT-R ha iniciado estudios preliminares sobre los aspectos técnicos y operativos asociados con el funcionamiento de los enlaces espacio-espacio entre satélites no OSG y satélites del SMS OSG en las bandas de frecuencias mencionadas más arriba</w:t>
      </w:r>
      <w:r w:rsidRPr="00FF7DA1">
        <w:rPr>
          <w:lang w:val="es-ES"/>
        </w:rPr>
        <w:t>,</w:t>
      </w:r>
    </w:p>
    <w:p w14:paraId="5FE24703" w14:textId="77777777" w:rsidR="0033389D" w:rsidRPr="00FF7DA1" w:rsidRDefault="0033389D" w:rsidP="00245CC4">
      <w:pPr>
        <w:pStyle w:val="Call"/>
        <w:rPr>
          <w:lang w:val="es-ES"/>
        </w:rPr>
      </w:pPr>
      <w:r w:rsidRPr="00FF7DA1">
        <w:rPr>
          <w:lang w:val="es-ES"/>
        </w:rPr>
        <w:t>reconociendo</w:t>
      </w:r>
    </w:p>
    <w:p w14:paraId="36C523D4" w14:textId="2BB53128" w:rsidR="00E24A0A" w:rsidRPr="00FF7DA1" w:rsidRDefault="00190201" w:rsidP="00245CC4">
      <w:pPr>
        <w:rPr>
          <w:lang w:val="es-ES"/>
        </w:rPr>
      </w:pPr>
      <w:r w:rsidRPr="00FF7DA1">
        <w:rPr>
          <w:lang w:val="es-ES"/>
        </w:rPr>
        <w:t>que es necesario estudiar la posible utilización del SMS (espacio-espacio) en las bandas de frecuencias anteriores para garantizar la compatibilidad con todos los servicios atribuidos en esta banda y evitar las interferencias perjudiciales</w:t>
      </w:r>
      <w:r w:rsidR="00E24A0A" w:rsidRPr="00FF7DA1">
        <w:rPr>
          <w:lang w:val="es-ES"/>
        </w:rPr>
        <w:t>,</w:t>
      </w:r>
    </w:p>
    <w:p w14:paraId="43FC5B8D" w14:textId="512D4CBB" w:rsidR="00E24A0A" w:rsidRPr="00FF7DA1" w:rsidRDefault="00070A2B" w:rsidP="00245CC4">
      <w:pPr>
        <w:pStyle w:val="Call"/>
        <w:rPr>
          <w:lang w:val="es-ES"/>
        </w:rPr>
      </w:pPr>
      <w:r w:rsidRPr="00FF7DA1">
        <w:rPr>
          <w:lang w:val="es-ES"/>
        </w:rPr>
        <w:t>observando</w:t>
      </w:r>
    </w:p>
    <w:p w14:paraId="4350FA67" w14:textId="6B1201FE" w:rsidR="00E24A0A" w:rsidRPr="00FF7DA1" w:rsidRDefault="00E24A0A" w:rsidP="00245CC4">
      <w:pPr>
        <w:rPr>
          <w:lang w:val="es-ES"/>
        </w:rPr>
      </w:pPr>
      <w:r w:rsidRPr="00FF7DA1">
        <w:rPr>
          <w:i/>
          <w:lang w:val="es-ES"/>
        </w:rPr>
        <w:t>a)</w:t>
      </w:r>
      <w:r w:rsidRPr="00FF7DA1">
        <w:rPr>
          <w:lang w:val="es-ES"/>
        </w:rPr>
        <w:tab/>
      </w:r>
      <w:r w:rsidR="00190201" w:rsidRPr="00FF7DA1">
        <w:rPr>
          <w:lang w:val="es-ES"/>
        </w:rPr>
        <w:t xml:space="preserve">que la sección 3.1.3.2 del Informe del Director a la CMR-19 sobre las actividades del Sector de Radiocomunicaciones destaca que la Oficina ha recibido un número creciente de información de publicación anticipada (API) para redes de satélites no geoestacionarios en bandas de frecuencias que no están atribuidas por el Artículo </w:t>
      </w:r>
      <w:r w:rsidR="00190201" w:rsidRPr="00FF7DA1">
        <w:rPr>
          <w:b/>
          <w:bCs/>
          <w:lang w:val="es-ES"/>
        </w:rPr>
        <w:t>5</w:t>
      </w:r>
      <w:r w:rsidR="00190201" w:rsidRPr="00FF7DA1">
        <w:rPr>
          <w:lang w:val="es-ES"/>
        </w:rPr>
        <w:t xml:space="preserve"> del Reglamento de Radiocomunicaciones para el tipo de servicio previsto, como notificaciones de redes de satélites para aplicaciones entre satélites en bandas atribuidas únicamente en los sentidos Tierra-espacio o espacio-Tierra</w:t>
      </w:r>
      <w:r w:rsidRPr="00FF7DA1">
        <w:rPr>
          <w:lang w:val="es-ES"/>
        </w:rPr>
        <w:t>;</w:t>
      </w:r>
    </w:p>
    <w:p w14:paraId="14A31484" w14:textId="620F6DDF" w:rsidR="00E24A0A" w:rsidRPr="00FF7DA1" w:rsidRDefault="00E24A0A" w:rsidP="00245CC4">
      <w:pPr>
        <w:rPr>
          <w:lang w:val="es-ES"/>
        </w:rPr>
      </w:pPr>
      <w:r w:rsidRPr="00FF7DA1">
        <w:rPr>
          <w:i/>
          <w:lang w:val="es-ES"/>
        </w:rPr>
        <w:t>b)</w:t>
      </w:r>
      <w:r w:rsidRPr="00FF7DA1">
        <w:rPr>
          <w:lang w:val="es-ES"/>
        </w:rPr>
        <w:tab/>
      </w:r>
      <w:r w:rsidR="00190201" w:rsidRPr="00FF7DA1">
        <w:rPr>
          <w:lang w:val="es-ES"/>
        </w:rPr>
        <w:t>que el mismo Informe del Director concluye que, a raíz de los recientes avances técnicos y del aumento de la cantidad de notificaciones de enlaces entre satélites en bandas de frecuencias no atribuidas al servicio entre satélites o a un servicio espacial en el sentido espacio</w:t>
      </w:r>
      <w:r w:rsidR="00190201" w:rsidRPr="00FF7DA1">
        <w:rPr>
          <w:lang w:val="es-ES"/>
        </w:rPr>
        <w:noBreakHyphen/>
        <w:t>espacio, la Conferencia puede tener a bien estudiar la manera de reconocer esos casos de utilización sobre la base de las condiciones dimanantes de los estudios realizados por los Grupos de Trabajo 4A y 4C del UIT-R, a fin de evitar la interferencia con los sistemas que funcionen en las mismas bandas de frecuencias</w:t>
      </w:r>
      <w:r w:rsidRPr="00FF7DA1">
        <w:rPr>
          <w:lang w:val="es-ES"/>
        </w:rPr>
        <w:t>,</w:t>
      </w:r>
    </w:p>
    <w:p w14:paraId="50792760" w14:textId="77777777" w:rsidR="00EB7203" w:rsidRPr="00FF7DA1" w:rsidRDefault="00EB7203" w:rsidP="00245CC4">
      <w:pPr>
        <w:pStyle w:val="Call"/>
        <w:rPr>
          <w:lang w:val="es-ES"/>
        </w:rPr>
      </w:pPr>
      <w:r w:rsidRPr="00FF7DA1">
        <w:rPr>
          <w:lang w:val="es-ES"/>
        </w:rPr>
        <w:lastRenderedPageBreak/>
        <w:t>resuelve invitar al UIT-R</w:t>
      </w:r>
    </w:p>
    <w:p w14:paraId="52E87281" w14:textId="372FC2E8" w:rsidR="00EB7203" w:rsidRPr="00FF7DA1" w:rsidRDefault="00EB7203" w:rsidP="00245CC4">
      <w:pPr>
        <w:rPr>
          <w:lang w:val="es-ES"/>
        </w:rPr>
      </w:pPr>
      <w:r w:rsidRPr="00FF7DA1">
        <w:rPr>
          <w:lang w:val="es-ES"/>
        </w:rPr>
        <w:t>1</w:t>
      </w:r>
      <w:r w:rsidRPr="00FF7DA1">
        <w:rPr>
          <w:lang w:val="es-ES"/>
        </w:rPr>
        <w:tab/>
        <w:t>a estudiar las características técnicas y operativas de diferentes tipos de estaciones espaciales no OSG que explotan o prevén explotar enlaces espacio-espacio con redes OSG del SMS en las bandas 1 518-1 559 MHz, 1 626,5-1 660,5 MHz y 1 668-1 675</w:t>
      </w:r>
      <w:r w:rsidR="00DB202F" w:rsidRPr="00FF7DA1">
        <w:rPr>
          <w:lang w:val="es-ES"/>
        </w:rPr>
        <w:t> </w:t>
      </w:r>
      <w:r w:rsidRPr="00FF7DA1">
        <w:rPr>
          <w:lang w:val="es-ES"/>
        </w:rPr>
        <w:t>MHz;</w:t>
      </w:r>
    </w:p>
    <w:p w14:paraId="113A21A5" w14:textId="2FCBBCB5" w:rsidR="00E24A0A" w:rsidRPr="00FF7DA1" w:rsidRDefault="00E24A0A" w:rsidP="00245CC4">
      <w:pPr>
        <w:rPr>
          <w:lang w:val="es-ES"/>
        </w:rPr>
      </w:pPr>
      <w:r w:rsidRPr="00FF7DA1">
        <w:rPr>
          <w:lang w:val="es-ES"/>
        </w:rPr>
        <w:t>2</w:t>
      </w:r>
      <w:r w:rsidRPr="00FF7DA1">
        <w:rPr>
          <w:lang w:val="es-ES"/>
        </w:rPr>
        <w:tab/>
      </w:r>
      <w:r w:rsidR="00EB7203" w:rsidRPr="00FF7DA1">
        <w:rPr>
          <w:lang w:val="es-ES"/>
        </w:rPr>
        <w:t>a estudiar la compartición y compatibilidad de los enlaces espacio-espacio entre</w:t>
      </w:r>
      <w:r w:rsidR="00067A01" w:rsidRPr="00FF7DA1">
        <w:rPr>
          <w:lang w:val="es-ES"/>
        </w:rPr>
        <w:t>, por una parte,</w:t>
      </w:r>
      <w:r w:rsidR="00EB7203" w:rsidRPr="00FF7DA1">
        <w:rPr>
          <w:lang w:val="es-ES"/>
        </w:rPr>
        <w:t xml:space="preserve"> las estaciones espaciales OSG y no OSG </w:t>
      </w:r>
      <w:r w:rsidR="00067A01" w:rsidRPr="00FF7DA1">
        <w:rPr>
          <w:lang w:val="es-ES"/>
        </w:rPr>
        <w:t xml:space="preserve">en las bandas de frecuencias antes mencionadas </w:t>
      </w:r>
      <w:r w:rsidR="00EB7203" w:rsidRPr="00FF7DA1">
        <w:rPr>
          <w:lang w:val="es-ES"/>
        </w:rPr>
        <w:t>y</w:t>
      </w:r>
      <w:r w:rsidR="00067A01" w:rsidRPr="00FF7DA1">
        <w:rPr>
          <w:lang w:val="es-ES"/>
        </w:rPr>
        <w:t>, por otra parte,</w:t>
      </w:r>
      <w:r w:rsidR="00EB7203" w:rsidRPr="00FF7DA1">
        <w:rPr>
          <w:lang w:val="es-ES"/>
        </w:rPr>
        <w:t xml:space="preserve"> las estaciones actuales y planificadas de los servicios existentes </w:t>
      </w:r>
      <w:r w:rsidR="00067A01" w:rsidRPr="00FF7DA1">
        <w:rPr>
          <w:lang w:val="es-ES"/>
        </w:rPr>
        <w:t xml:space="preserve">que están atribuidos en las mismas </w:t>
      </w:r>
      <w:r w:rsidR="00EB7203" w:rsidRPr="00FF7DA1">
        <w:rPr>
          <w:lang w:val="es-ES"/>
        </w:rPr>
        <w:t>bandas de frecuencias a fin de asegurar la compatibilidad técnica</w:t>
      </w:r>
      <w:r w:rsidRPr="00FF7DA1">
        <w:rPr>
          <w:lang w:val="es-ES"/>
        </w:rPr>
        <w:t>;</w:t>
      </w:r>
    </w:p>
    <w:p w14:paraId="7E29665E" w14:textId="18473068" w:rsidR="00E24A0A" w:rsidRPr="00FF7DA1" w:rsidRDefault="00E24A0A" w:rsidP="00245CC4">
      <w:pPr>
        <w:rPr>
          <w:lang w:val="es-ES"/>
        </w:rPr>
      </w:pPr>
      <w:r w:rsidRPr="00FF7DA1">
        <w:rPr>
          <w:lang w:val="es-ES"/>
        </w:rPr>
        <w:t>3</w:t>
      </w:r>
      <w:r w:rsidRPr="00FF7DA1">
        <w:rPr>
          <w:lang w:val="es-ES"/>
        </w:rPr>
        <w:tab/>
      </w:r>
      <w:r w:rsidR="00067A01" w:rsidRPr="00FF7DA1">
        <w:rPr>
          <w:lang w:val="es-ES"/>
        </w:rPr>
        <w:t>a elaborar condiciones técnicas y disposiciones reglamentarias para el funcionamiento de los enlaces espacio-espacio en estas bandas, con inclusión de las atribuciones nuevas o revisadas que proceda, teniendo en cuenta los resultados de los estudios</w:t>
      </w:r>
      <w:r w:rsidRPr="00FF7DA1">
        <w:rPr>
          <w:lang w:val="es-ES"/>
        </w:rPr>
        <w:t>;</w:t>
      </w:r>
    </w:p>
    <w:p w14:paraId="15492388" w14:textId="20C94D81" w:rsidR="00E24A0A" w:rsidRPr="00FF7DA1" w:rsidRDefault="00E24A0A" w:rsidP="00245CC4">
      <w:pPr>
        <w:rPr>
          <w:lang w:val="es-ES"/>
        </w:rPr>
      </w:pPr>
      <w:r w:rsidRPr="00FF7DA1">
        <w:rPr>
          <w:lang w:val="es-ES"/>
        </w:rPr>
        <w:t>4</w:t>
      </w:r>
      <w:r w:rsidRPr="00FF7DA1">
        <w:rPr>
          <w:lang w:val="es-ES"/>
        </w:rPr>
        <w:tab/>
      </w:r>
      <w:r w:rsidR="00EB7203" w:rsidRPr="00FF7DA1">
        <w:rPr>
          <w:lang w:val="es-ES"/>
        </w:rPr>
        <w:t>a completar esos estudios antes de la Conferencia Mundial de Radiocomunicaciones de 2023,</w:t>
      </w:r>
    </w:p>
    <w:p w14:paraId="43EAC22B" w14:textId="77777777" w:rsidR="009C79FE" w:rsidRPr="00FF7DA1" w:rsidRDefault="009C79FE" w:rsidP="00245CC4">
      <w:pPr>
        <w:pStyle w:val="Call"/>
        <w:rPr>
          <w:lang w:val="es-ES"/>
        </w:rPr>
      </w:pPr>
      <w:r w:rsidRPr="00FF7DA1">
        <w:rPr>
          <w:lang w:val="es-ES"/>
        </w:rPr>
        <w:t>invita a las administraciones</w:t>
      </w:r>
    </w:p>
    <w:p w14:paraId="2027B461" w14:textId="77777777" w:rsidR="009C79FE" w:rsidRPr="00FF7DA1" w:rsidRDefault="009C79FE" w:rsidP="00245CC4">
      <w:pPr>
        <w:rPr>
          <w:rFonts w:eastAsia="Calibri"/>
          <w:szCs w:val="24"/>
          <w:lang w:val="es-ES"/>
        </w:rPr>
      </w:pPr>
      <w:r w:rsidRPr="00FF7DA1">
        <w:rPr>
          <w:lang w:val="es-ES"/>
        </w:rPr>
        <w:t>a participar en los estudios y aportar contribuciones al respecto</w:t>
      </w:r>
      <w:r w:rsidRPr="00FF7DA1">
        <w:rPr>
          <w:szCs w:val="24"/>
          <w:lang w:val="es-ES"/>
        </w:rPr>
        <w:t>,</w:t>
      </w:r>
    </w:p>
    <w:p w14:paraId="2E3FAF07" w14:textId="77777777" w:rsidR="009C79FE" w:rsidRPr="00FF7DA1" w:rsidRDefault="009C79FE" w:rsidP="00245CC4">
      <w:pPr>
        <w:pStyle w:val="Call"/>
        <w:rPr>
          <w:lang w:val="es-ES"/>
        </w:rPr>
      </w:pPr>
      <w:r w:rsidRPr="00FF7DA1">
        <w:rPr>
          <w:lang w:val="es-ES"/>
        </w:rPr>
        <w:t>resuelve invitar a la Conferencia Mundial de Radiocomunicaciones de 2023</w:t>
      </w:r>
    </w:p>
    <w:p w14:paraId="5C2A6573" w14:textId="77777777" w:rsidR="009C79FE" w:rsidRPr="00FF7DA1" w:rsidRDefault="009C79FE" w:rsidP="00245CC4">
      <w:pPr>
        <w:rPr>
          <w:lang w:val="es-ES"/>
        </w:rPr>
      </w:pPr>
      <w:r w:rsidRPr="00FF7DA1">
        <w:rPr>
          <w:szCs w:val="24"/>
          <w:lang w:val="es-ES"/>
        </w:rPr>
        <w:t>a considerar los resultados de los estudios arriba mencionados y tomar las medidas reglamentarias correspondientes, según proceda.</w:t>
      </w:r>
    </w:p>
    <w:p w14:paraId="7A726B6B" w14:textId="7030534D" w:rsidR="005F595F" w:rsidRPr="00FF7DA1" w:rsidRDefault="005F595F" w:rsidP="00245CC4">
      <w:pPr>
        <w:pStyle w:val="Reasons"/>
        <w:rPr>
          <w:lang w:val="es-ES"/>
        </w:rPr>
      </w:pPr>
    </w:p>
    <w:p w14:paraId="08F8B394" w14:textId="5648FE94" w:rsidR="00324F7F" w:rsidRPr="00FF7DA1" w:rsidRDefault="00324F7F" w:rsidP="00245CC4">
      <w:pPr>
        <w:rPr>
          <w:lang w:val="es-ES"/>
        </w:rPr>
      </w:pPr>
      <w:r w:rsidRPr="00FF7DA1">
        <w:rPr>
          <w:lang w:val="es-ES"/>
        </w:rPr>
        <w:br w:type="page"/>
      </w:r>
    </w:p>
    <w:p w14:paraId="730800E8" w14:textId="77777777" w:rsidR="003864B0" w:rsidRPr="00FF7DA1" w:rsidRDefault="003864B0" w:rsidP="00CE0C1B">
      <w:pPr>
        <w:pStyle w:val="AnnexNo"/>
        <w:spacing w:after="240"/>
        <w:rPr>
          <w:lang w:val="es-ES"/>
        </w:rPr>
      </w:pPr>
      <w:r w:rsidRPr="00FF7DA1">
        <w:rPr>
          <w:lang w:val="es-ES"/>
        </w:rPr>
        <w:lastRenderedPageBreak/>
        <w:t>anexo</w:t>
      </w:r>
    </w:p>
    <w:tbl>
      <w:tblPr>
        <w:tblpPr w:leftFromText="180" w:rightFromText="180" w:vertAnchor="text" w:tblpX="-84" w:tblpY="1"/>
        <w:tblOverlap w:val="never"/>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4862"/>
      </w:tblGrid>
      <w:tr w:rsidR="00CE0C1B" w:rsidRPr="00FF7DA1" w14:paraId="209050D0" w14:textId="77777777" w:rsidTr="00CE0C1B">
        <w:trPr>
          <w:cantSplit/>
        </w:trPr>
        <w:tc>
          <w:tcPr>
            <w:tcW w:w="9723" w:type="dxa"/>
            <w:gridSpan w:val="2"/>
          </w:tcPr>
          <w:p w14:paraId="3BFC5BF3" w14:textId="77777777" w:rsidR="00CE0C1B" w:rsidRPr="00FF7DA1" w:rsidRDefault="00CE0C1B" w:rsidP="00CE0C1B">
            <w:pPr>
              <w:rPr>
                <w:b/>
                <w:bCs/>
                <w:highlight w:val="yellow"/>
                <w:lang w:val="es-ES"/>
              </w:rPr>
            </w:pPr>
            <w:r w:rsidRPr="00FF7DA1">
              <w:rPr>
                <w:b/>
                <w:bCs/>
                <w:i/>
                <w:iCs/>
                <w:lang w:val="es-ES"/>
              </w:rPr>
              <w:t>Asunto:</w:t>
            </w:r>
          </w:p>
          <w:p w14:paraId="7315A60E" w14:textId="378864D2" w:rsidR="00CE0C1B" w:rsidRPr="00CE0C1B" w:rsidRDefault="00CE0C1B" w:rsidP="00CE0C1B">
            <w:pPr>
              <w:spacing w:after="120"/>
              <w:rPr>
                <w:lang w:val="es-ES"/>
              </w:rPr>
            </w:pPr>
            <w:r w:rsidRPr="00FF7DA1">
              <w:rPr>
                <w:lang w:val="es-ES"/>
              </w:rPr>
              <w:t>Examen de las posibles atribuciones al servicio móvil por satélite (espacio-espacio) en las bandas de frecuencias 1 518-1 559 MHz, 1 626,5-1 660,5 MHz y 1 668-1 675 MHz.</w:t>
            </w:r>
          </w:p>
        </w:tc>
      </w:tr>
      <w:tr w:rsidR="00CE0C1B" w:rsidRPr="00FF7DA1" w14:paraId="1E5F1B3F" w14:textId="77777777" w:rsidTr="00CE0C1B">
        <w:trPr>
          <w:cantSplit/>
        </w:trPr>
        <w:tc>
          <w:tcPr>
            <w:tcW w:w="9723" w:type="dxa"/>
            <w:gridSpan w:val="2"/>
          </w:tcPr>
          <w:p w14:paraId="132570A5" w14:textId="466BFAFC" w:rsidR="00CE0C1B" w:rsidRPr="00FF7DA1" w:rsidRDefault="00CE0C1B" w:rsidP="00CE0C1B">
            <w:pPr>
              <w:spacing w:after="120"/>
              <w:rPr>
                <w:b/>
                <w:bCs/>
                <w:i/>
                <w:iCs/>
                <w:lang w:val="es-ES"/>
              </w:rPr>
            </w:pPr>
            <w:r w:rsidRPr="00FF7DA1">
              <w:rPr>
                <w:b/>
                <w:bCs/>
                <w:i/>
                <w:iCs/>
                <w:lang w:val="es-ES"/>
              </w:rPr>
              <w:t>Origen:</w:t>
            </w:r>
            <w:r w:rsidRPr="00FF7DA1">
              <w:rPr>
                <w:lang w:val="es-ES"/>
              </w:rPr>
              <w:t xml:space="preserve"> </w:t>
            </w:r>
            <w:r w:rsidRPr="00CE0C1B">
              <w:rPr>
                <w:b/>
                <w:bCs/>
                <w:lang w:val="es-ES"/>
              </w:rPr>
              <w:t>Samoa</w:t>
            </w:r>
          </w:p>
        </w:tc>
      </w:tr>
      <w:tr w:rsidR="003864B0" w:rsidRPr="00FF7DA1" w14:paraId="5CB79F1F" w14:textId="77777777" w:rsidTr="00CE0C1B">
        <w:trPr>
          <w:cantSplit/>
        </w:trPr>
        <w:tc>
          <w:tcPr>
            <w:tcW w:w="9723" w:type="dxa"/>
            <w:gridSpan w:val="2"/>
          </w:tcPr>
          <w:p w14:paraId="58FACD0C" w14:textId="77777777" w:rsidR="003864B0" w:rsidRPr="00FF7DA1" w:rsidRDefault="003864B0" w:rsidP="001B09CC">
            <w:pPr>
              <w:rPr>
                <w:b/>
                <w:bCs/>
                <w:i/>
                <w:iCs/>
                <w:lang w:val="es-ES"/>
              </w:rPr>
            </w:pPr>
            <w:r w:rsidRPr="00FF7DA1">
              <w:rPr>
                <w:b/>
                <w:bCs/>
                <w:i/>
                <w:iCs/>
                <w:lang w:val="es-ES"/>
              </w:rPr>
              <w:t>Propuesta:</w:t>
            </w:r>
          </w:p>
          <w:p w14:paraId="15E71259" w14:textId="58A87102" w:rsidR="003864B0" w:rsidRPr="00FF7DA1" w:rsidRDefault="005239E6" w:rsidP="00CE0C1B">
            <w:pPr>
              <w:spacing w:after="120"/>
              <w:rPr>
                <w:lang w:val="es-ES"/>
              </w:rPr>
            </w:pPr>
            <w:r w:rsidRPr="00FF7DA1">
              <w:rPr>
                <w:lang w:val="es-ES"/>
              </w:rPr>
              <w:t>Examinar</w:t>
            </w:r>
            <w:r w:rsidR="00B11429" w:rsidRPr="00FF7DA1">
              <w:rPr>
                <w:lang w:val="es-ES"/>
              </w:rPr>
              <w:t xml:space="preserve"> </w:t>
            </w:r>
            <w:r w:rsidR="00DB202F" w:rsidRPr="00FF7DA1">
              <w:rPr>
                <w:lang w:val="es-ES"/>
              </w:rPr>
              <w:t>las</w:t>
            </w:r>
            <w:r w:rsidR="00B11429" w:rsidRPr="00FF7DA1">
              <w:rPr>
                <w:lang w:val="es-ES"/>
              </w:rPr>
              <w:t xml:space="preserve"> </w:t>
            </w:r>
            <w:r w:rsidRPr="00FF7DA1">
              <w:rPr>
                <w:lang w:val="es-ES"/>
              </w:rPr>
              <w:t>posible</w:t>
            </w:r>
            <w:r w:rsidR="00DB202F" w:rsidRPr="00FF7DA1">
              <w:rPr>
                <w:lang w:val="es-ES"/>
              </w:rPr>
              <w:t>s</w:t>
            </w:r>
            <w:r w:rsidRPr="00FF7DA1">
              <w:rPr>
                <w:lang w:val="es-ES"/>
              </w:rPr>
              <w:t xml:space="preserve"> </w:t>
            </w:r>
            <w:r w:rsidR="003864B0" w:rsidRPr="00FF7DA1">
              <w:rPr>
                <w:lang w:val="es-ES"/>
              </w:rPr>
              <w:t>atribuci</w:t>
            </w:r>
            <w:r w:rsidR="00DB202F" w:rsidRPr="00FF7DA1">
              <w:rPr>
                <w:lang w:val="es-ES"/>
              </w:rPr>
              <w:t>ones</w:t>
            </w:r>
            <w:r w:rsidR="003864B0" w:rsidRPr="00FF7DA1">
              <w:rPr>
                <w:lang w:val="es-ES"/>
              </w:rPr>
              <w:t xml:space="preserve"> </w:t>
            </w:r>
            <w:r w:rsidR="00B11429" w:rsidRPr="00FF7DA1">
              <w:rPr>
                <w:lang w:val="es-ES"/>
              </w:rPr>
              <w:t xml:space="preserve">en </w:t>
            </w:r>
            <w:r w:rsidR="003864B0" w:rsidRPr="00FF7DA1">
              <w:rPr>
                <w:lang w:val="es-ES"/>
              </w:rPr>
              <w:t>las bandas de frecuencias 1</w:t>
            </w:r>
            <w:r w:rsidR="00B11429" w:rsidRPr="00FF7DA1">
              <w:rPr>
                <w:lang w:val="es-ES"/>
              </w:rPr>
              <w:t> </w:t>
            </w:r>
            <w:r w:rsidR="003864B0" w:rsidRPr="00FF7DA1">
              <w:rPr>
                <w:lang w:val="es-ES"/>
              </w:rPr>
              <w:t>518</w:t>
            </w:r>
            <w:r w:rsidR="00B11429" w:rsidRPr="00FF7DA1">
              <w:rPr>
                <w:lang w:val="es-ES"/>
              </w:rPr>
              <w:t>-</w:t>
            </w:r>
            <w:r w:rsidR="003864B0" w:rsidRPr="00FF7DA1">
              <w:rPr>
                <w:lang w:val="es-ES"/>
              </w:rPr>
              <w:t>1</w:t>
            </w:r>
            <w:r w:rsidR="00B11429" w:rsidRPr="00FF7DA1">
              <w:rPr>
                <w:lang w:val="es-ES"/>
              </w:rPr>
              <w:t> </w:t>
            </w:r>
            <w:r w:rsidR="003864B0" w:rsidRPr="00FF7DA1">
              <w:rPr>
                <w:lang w:val="es-ES"/>
              </w:rPr>
              <w:t>559</w:t>
            </w:r>
            <w:r w:rsidR="00B11429" w:rsidRPr="00FF7DA1">
              <w:rPr>
                <w:lang w:val="es-ES"/>
              </w:rPr>
              <w:t> </w:t>
            </w:r>
            <w:r w:rsidR="003864B0" w:rsidRPr="00FF7DA1">
              <w:rPr>
                <w:lang w:val="es-ES"/>
              </w:rPr>
              <w:t>MHz, 1</w:t>
            </w:r>
            <w:r w:rsidR="00B11429" w:rsidRPr="00FF7DA1">
              <w:rPr>
                <w:lang w:val="es-ES"/>
              </w:rPr>
              <w:t> </w:t>
            </w:r>
            <w:r w:rsidR="003864B0" w:rsidRPr="00FF7DA1">
              <w:rPr>
                <w:lang w:val="es-ES"/>
              </w:rPr>
              <w:t>626,</w:t>
            </w:r>
            <w:r w:rsidR="00B11429" w:rsidRPr="00FF7DA1">
              <w:rPr>
                <w:lang w:val="es-ES"/>
              </w:rPr>
              <w:t>5</w:t>
            </w:r>
            <w:r w:rsidR="00B1609E" w:rsidRPr="00FF7DA1">
              <w:rPr>
                <w:lang w:val="es-ES"/>
              </w:rPr>
              <w:noBreakHyphen/>
            </w:r>
            <w:r w:rsidR="003864B0" w:rsidRPr="00FF7DA1">
              <w:rPr>
                <w:lang w:val="es-ES"/>
              </w:rPr>
              <w:t>1</w:t>
            </w:r>
            <w:r w:rsidR="00B11429" w:rsidRPr="00FF7DA1">
              <w:rPr>
                <w:lang w:val="es-ES"/>
              </w:rPr>
              <w:t> </w:t>
            </w:r>
            <w:r w:rsidR="003864B0" w:rsidRPr="00FF7DA1">
              <w:rPr>
                <w:lang w:val="es-ES"/>
              </w:rPr>
              <w:t>660,5</w:t>
            </w:r>
            <w:r w:rsidR="00B11429" w:rsidRPr="00FF7DA1">
              <w:rPr>
                <w:lang w:val="es-ES"/>
              </w:rPr>
              <w:t> </w:t>
            </w:r>
            <w:r w:rsidR="003864B0" w:rsidRPr="00FF7DA1">
              <w:rPr>
                <w:lang w:val="es-ES"/>
              </w:rPr>
              <w:t>MHz y 1</w:t>
            </w:r>
            <w:r w:rsidR="00B11429" w:rsidRPr="00FF7DA1">
              <w:rPr>
                <w:lang w:val="es-ES"/>
              </w:rPr>
              <w:t> </w:t>
            </w:r>
            <w:r w:rsidR="003864B0" w:rsidRPr="00FF7DA1">
              <w:rPr>
                <w:lang w:val="es-ES"/>
              </w:rPr>
              <w:t>668-1</w:t>
            </w:r>
            <w:r w:rsidR="00B11429" w:rsidRPr="00FF7DA1">
              <w:rPr>
                <w:lang w:val="es-ES"/>
              </w:rPr>
              <w:t> </w:t>
            </w:r>
            <w:r w:rsidR="003864B0" w:rsidRPr="00FF7DA1">
              <w:rPr>
                <w:lang w:val="es-ES"/>
              </w:rPr>
              <w:t>675</w:t>
            </w:r>
            <w:r w:rsidR="00B11429" w:rsidRPr="00FF7DA1">
              <w:rPr>
                <w:lang w:val="es-ES"/>
              </w:rPr>
              <w:t> </w:t>
            </w:r>
            <w:r w:rsidR="003864B0" w:rsidRPr="00FF7DA1">
              <w:rPr>
                <w:lang w:val="es-ES"/>
              </w:rPr>
              <w:t>MHz al servicio móvil por satélite (espacio</w:t>
            </w:r>
            <w:r w:rsidR="00B11429" w:rsidRPr="00FF7DA1">
              <w:rPr>
                <w:lang w:val="es-ES"/>
              </w:rPr>
              <w:t>-</w:t>
            </w:r>
            <w:r w:rsidR="003864B0" w:rsidRPr="00FF7DA1">
              <w:rPr>
                <w:lang w:val="es-ES"/>
              </w:rPr>
              <w:t>espacio).</w:t>
            </w:r>
          </w:p>
        </w:tc>
      </w:tr>
      <w:tr w:rsidR="003864B0" w:rsidRPr="00FF7DA1" w14:paraId="3DDF4684" w14:textId="77777777" w:rsidTr="00CE0C1B">
        <w:trPr>
          <w:cantSplit/>
        </w:trPr>
        <w:tc>
          <w:tcPr>
            <w:tcW w:w="9723" w:type="dxa"/>
            <w:gridSpan w:val="2"/>
          </w:tcPr>
          <w:p w14:paraId="0B604A59" w14:textId="77777777" w:rsidR="003864B0" w:rsidRPr="00FF7DA1" w:rsidRDefault="003864B0" w:rsidP="001B09CC">
            <w:pPr>
              <w:rPr>
                <w:b/>
                <w:bCs/>
                <w:i/>
                <w:iCs/>
                <w:lang w:val="es-ES"/>
              </w:rPr>
            </w:pPr>
            <w:r w:rsidRPr="00FF7DA1">
              <w:rPr>
                <w:b/>
                <w:bCs/>
                <w:i/>
                <w:iCs/>
                <w:lang w:val="es-ES"/>
              </w:rPr>
              <w:t>Antecedentes/motivos:</w:t>
            </w:r>
          </w:p>
          <w:p w14:paraId="60EB4C69" w14:textId="51831B17" w:rsidR="003864B0" w:rsidRPr="00FF7DA1" w:rsidRDefault="003864B0" w:rsidP="00CE0C1B">
            <w:pPr>
              <w:spacing w:after="120"/>
              <w:rPr>
                <w:lang w:val="es-ES"/>
              </w:rPr>
            </w:pPr>
            <w:r w:rsidRPr="00FF7DA1">
              <w:rPr>
                <w:lang w:val="es-ES"/>
              </w:rPr>
              <w:t xml:space="preserve">Muchos satélites en órbita terrestre baja (LEO) funcionan con un soporte limitado y en tiempo no real a través de una red de estaciones terrenas. Los operadores de satélites LEO consultados han indicado que la introducción de las comunicaciones espacio-espacio en el SMS permitiría mejorar la vigilancia y el </w:t>
            </w:r>
            <w:r w:rsidR="00DB202F" w:rsidRPr="00FF7DA1">
              <w:rPr>
                <w:lang w:val="es-ES"/>
              </w:rPr>
              <w:t>control</w:t>
            </w:r>
            <w:r w:rsidRPr="00FF7DA1">
              <w:rPr>
                <w:lang w:val="es-ES"/>
              </w:rPr>
              <w:t xml:space="preserve"> de los satélites LEO, lo que redundaría en una mayor seguridad y </w:t>
            </w:r>
            <w:r w:rsidR="00DB202F" w:rsidRPr="00FF7DA1">
              <w:rPr>
                <w:lang w:val="es-ES"/>
              </w:rPr>
              <w:t>eficacia</w:t>
            </w:r>
            <w:r w:rsidRPr="00FF7DA1">
              <w:rPr>
                <w:lang w:val="es-ES"/>
              </w:rPr>
              <w:t xml:space="preserve"> de las operaciones</w:t>
            </w:r>
            <w:r w:rsidR="00DB202F" w:rsidRPr="00FF7DA1">
              <w:rPr>
                <w:lang w:val="es-ES"/>
              </w:rPr>
              <w:t xml:space="preserve"> mediante la provisión de enlaces de comunicaciones de datos entre constelaciones OSG y no OSG</w:t>
            </w:r>
            <w:r w:rsidRPr="00FF7DA1">
              <w:rPr>
                <w:lang w:val="es-ES"/>
              </w:rPr>
              <w:t>.</w:t>
            </w:r>
          </w:p>
        </w:tc>
      </w:tr>
      <w:tr w:rsidR="003864B0" w:rsidRPr="00FF7DA1" w14:paraId="27E5E6C9" w14:textId="77777777" w:rsidTr="00CE0C1B">
        <w:trPr>
          <w:cantSplit/>
        </w:trPr>
        <w:tc>
          <w:tcPr>
            <w:tcW w:w="9723" w:type="dxa"/>
            <w:gridSpan w:val="2"/>
          </w:tcPr>
          <w:p w14:paraId="39A0FEC9" w14:textId="77777777" w:rsidR="003864B0" w:rsidRPr="00FF7DA1" w:rsidRDefault="003864B0" w:rsidP="00245CC4">
            <w:pPr>
              <w:rPr>
                <w:b/>
                <w:bCs/>
                <w:i/>
                <w:iCs/>
                <w:lang w:val="es-ES"/>
              </w:rPr>
            </w:pPr>
            <w:r w:rsidRPr="00FF7DA1">
              <w:rPr>
                <w:b/>
                <w:bCs/>
                <w:i/>
                <w:iCs/>
                <w:lang w:val="es-ES"/>
              </w:rPr>
              <w:t>Servicios de radiocomunicaciones en cuestión:</w:t>
            </w:r>
          </w:p>
          <w:p w14:paraId="164D2089" w14:textId="0DC98A39" w:rsidR="003864B0" w:rsidRPr="00FF7DA1" w:rsidRDefault="00BA0129" w:rsidP="00CE0C1B">
            <w:pPr>
              <w:spacing w:after="120"/>
              <w:rPr>
                <w:lang w:val="es-ES"/>
              </w:rPr>
            </w:pPr>
            <w:r w:rsidRPr="00FF7DA1">
              <w:rPr>
                <w:lang w:val="es-ES"/>
              </w:rPr>
              <w:t>SMS</w:t>
            </w:r>
          </w:p>
        </w:tc>
      </w:tr>
      <w:tr w:rsidR="00CE0C1B" w:rsidRPr="00FF7DA1" w14:paraId="461FC9AD" w14:textId="77777777" w:rsidTr="00CE0C1B">
        <w:trPr>
          <w:cantSplit/>
        </w:trPr>
        <w:tc>
          <w:tcPr>
            <w:tcW w:w="9723" w:type="dxa"/>
            <w:gridSpan w:val="2"/>
          </w:tcPr>
          <w:p w14:paraId="7DD215D9" w14:textId="77777777" w:rsidR="00CE0C1B" w:rsidRPr="00FF7DA1" w:rsidRDefault="00CE0C1B" w:rsidP="00CE0C1B">
            <w:pPr>
              <w:rPr>
                <w:b/>
                <w:bCs/>
                <w:i/>
                <w:iCs/>
                <w:lang w:val="es-ES"/>
              </w:rPr>
            </w:pPr>
            <w:r w:rsidRPr="00FF7DA1">
              <w:rPr>
                <w:b/>
                <w:bCs/>
                <w:i/>
                <w:iCs/>
                <w:lang w:val="es-ES"/>
              </w:rPr>
              <w:t>Indicación de posibles dificultades:</w:t>
            </w:r>
          </w:p>
          <w:p w14:paraId="2D162896" w14:textId="7F9D2415" w:rsidR="00CE0C1B" w:rsidRPr="00FF7DA1" w:rsidRDefault="00CE0C1B" w:rsidP="00CE0C1B">
            <w:pPr>
              <w:spacing w:after="120"/>
              <w:rPr>
                <w:b/>
                <w:bCs/>
                <w:i/>
                <w:iCs/>
                <w:lang w:val="es-ES"/>
              </w:rPr>
            </w:pPr>
            <w:r w:rsidRPr="00FF7DA1">
              <w:rPr>
                <w:lang w:val="es-ES"/>
              </w:rPr>
              <w:t>Es necesario estudiar la compartición con el SMS (espacio-Tierra) y con el SMS (Tierra-espacio).</w:t>
            </w:r>
          </w:p>
        </w:tc>
      </w:tr>
      <w:tr w:rsidR="00CE0C1B" w:rsidRPr="00FF7DA1" w14:paraId="0F7C6F9C" w14:textId="77777777" w:rsidTr="00CE0C1B">
        <w:trPr>
          <w:cantSplit/>
        </w:trPr>
        <w:tc>
          <w:tcPr>
            <w:tcW w:w="9723" w:type="dxa"/>
            <w:gridSpan w:val="2"/>
          </w:tcPr>
          <w:p w14:paraId="739331EA" w14:textId="77777777" w:rsidR="00CE0C1B" w:rsidRPr="00FF7DA1" w:rsidRDefault="00CE0C1B" w:rsidP="00CE0C1B">
            <w:pPr>
              <w:rPr>
                <w:b/>
                <w:bCs/>
                <w:i/>
                <w:iCs/>
                <w:lang w:val="es-ES"/>
              </w:rPr>
            </w:pPr>
            <w:r w:rsidRPr="00FF7DA1">
              <w:rPr>
                <w:b/>
                <w:bCs/>
                <w:i/>
                <w:iCs/>
                <w:lang w:val="es-ES"/>
              </w:rPr>
              <w:t>Estudios previos o en curso sobre el tema:</w:t>
            </w:r>
          </w:p>
          <w:p w14:paraId="2834DFDA" w14:textId="70EED3F1" w:rsidR="00CE0C1B" w:rsidRPr="00FF7DA1" w:rsidRDefault="00CE0C1B" w:rsidP="00CE0C1B">
            <w:pPr>
              <w:spacing w:after="120"/>
              <w:rPr>
                <w:b/>
                <w:bCs/>
                <w:i/>
                <w:iCs/>
                <w:lang w:val="es-ES"/>
              </w:rPr>
            </w:pPr>
            <w:r w:rsidRPr="00FF7DA1">
              <w:rPr>
                <w:lang w:val="es-ES"/>
              </w:rPr>
              <w:t>Ninguno</w:t>
            </w:r>
          </w:p>
        </w:tc>
      </w:tr>
      <w:tr w:rsidR="00CE0C1B" w:rsidRPr="00FF7DA1" w14:paraId="34EA3230" w14:textId="77777777" w:rsidTr="00E21F59">
        <w:trPr>
          <w:cantSplit/>
        </w:trPr>
        <w:tc>
          <w:tcPr>
            <w:tcW w:w="4861" w:type="dxa"/>
          </w:tcPr>
          <w:p w14:paraId="069C63B4" w14:textId="77777777" w:rsidR="00CE0C1B" w:rsidRPr="00FF7DA1" w:rsidRDefault="00CE0C1B" w:rsidP="00CE0C1B">
            <w:pPr>
              <w:rPr>
                <w:b/>
                <w:bCs/>
                <w:i/>
                <w:iCs/>
                <w:lang w:val="es-ES"/>
              </w:rPr>
            </w:pPr>
            <w:r w:rsidRPr="00FF7DA1">
              <w:rPr>
                <w:b/>
                <w:bCs/>
                <w:i/>
                <w:iCs/>
                <w:lang w:val="es-ES"/>
              </w:rPr>
              <w:t>Estudios que han de efectuarse a cargo de:</w:t>
            </w:r>
          </w:p>
          <w:p w14:paraId="3CF2213F" w14:textId="38A9A9C9" w:rsidR="00CE0C1B" w:rsidRPr="00FF7DA1" w:rsidRDefault="00CE0C1B" w:rsidP="00CE0C1B">
            <w:pPr>
              <w:spacing w:after="120"/>
              <w:rPr>
                <w:b/>
                <w:bCs/>
                <w:i/>
                <w:iCs/>
                <w:lang w:val="es-ES"/>
              </w:rPr>
            </w:pPr>
            <w:r w:rsidRPr="00FF7DA1">
              <w:rPr>
                <w:lang w:val="es-ES"/>
              </w:rPr>
              <w:t>Administraciones y Miembros de Sector del</w:t>
            </w:r>
            <w:r>
              <w:rPr>
                <w:lang w:val="es-ES"/>
              </w:rPr>
              <w:t> </w:t>
            </w:r>
            <w:r w:rsidRPr="00FF7DA1">
              <w:rPr>
                <w:lang w:val="es-ES"/>
              </w:rPr>
              <w:t>UIT-R</w:t>
            </w:r>
          </w:p>
        </w:tc>
        <w:tc>
          <w:tcPr>
            <w:tcW w:w="4862" w:type="dxa"/>
          </w:tcPr>
          <w:p w14:paraId="4ED0D898" w14:textId="77777777" w:rsidR="00CE0C1B" w:rsidRPr="00FF7DA1" w:rsidRDefault="00CE0C1B" w:rsidP="00CE0C1B">
            <w:pPr>
              <w:rPr>
                <w:b/>
                <w:bCs/>
                <w:i/>
                <w:iCs/>
                <w:lang w:val="es-ES"/>
              </w:rPr>
            </w:pPr>
            <w:r w:rsidRPr="00FF7DA1">
              <w:rPr>
                <w:b/>
                <w:bCs/>
                <w:i/>
                <w:iCs/>
                <w:lang w:val="es-ES"/>
              </w:rPr>
              <w:t>con participación de:</w:t>
            </w:r>
          </w:p>
          <w:p w14:paraId="5BC1CD34" w14:textId="3D12238C" w:rsidR="00CE0C1B" w:rsidRPr="00FF7DA1" w:rsidRDefault="00CE0C1B" w:rsidP="00CE0C1B">
            <w:pPr>
              <w:rPr>
                <w:b/>
                <w:bCs/>
                <w:i/>
                <w:iCs/>
                <w:lang w:val="es-ES"/>
              </w:rPr>
            </w:pPr>
            <w:r w:rsidRPr="00FF7DA1">
              <w:rPr>
                <w:lang w:val="es-ES"/>
              </w:rPr>
              <w:t>Operadores de satélites, OACI, OMI</w:t>
            </w:r>
          </w:p>
        </w:tc>
      </w:tr>
      <w:tr w:rsidR="00CE0C1B" w:rsidRPr="00FF7DA1" w14:paraId="7B160368" w14:textId="77777777" w:rsidTr="00CE0C1B">
        <w:trPr>
          <w:cantSplit/>
        </w:trPr>
        <w:tc>
          <w:tcPr>
            <w:tcW w:w="9723" w:type="dxa"/>
            <w:gridSpan w:val="2"/>
          </w:tcPr>
          <w:p w14:paraId="320E3110" w14:textId="77777777" w:rsidR="00CE0C1B" w:rsidRPr="00FF7DA1" w:rsidRDefault="00CE0C1B" w:rsidP="00CE0C1B">
            <w:pPr>
              <w:rPr>
                <w:b/>
                <w:bCs/>
                <w:i/>
                <w:iCs/>
                <w:lang w:val="es-ES"/>
              </w:rPr>
            </w:pPr>
            <w:r w:rsidRPr="00FF7DA1">
              <w:rPr>
                <w:b/>
                <w:bCs/>
                <w:i/>
                <w:iCs/>
                <w:lang w:val="es-ES"/>
              </w:rPr>
              <w:t>Comisiones de Estudio del UIT-R interesadas:</w:t>
            </w:r>
          </w:p>
          <w:p w14:paraId="663785D4" w14:textId="657D0349" w:rsidR="00CE0C1B" w:rsidRPr="00FF7DA1" w:rsidRDefault="00CE0C1B" w:rsidP="00CE0C1B">
            <w:pPr>
              <w:spacing w:after="120"/>
              <w:rPr>
                <w:b/>
                <w:bCs/>
                <w:i/>
                <w:iCs/>
                <w:lang w:val="es-ES"/>
              </w:rPr>
            </w:pPr>
            <w:r w:rsidRPr="00FF7DA1">
              <w:rPr>
                <w:lang w:val="es-ES"/>
              </w:rPr>
              <w:t>GT 4C</w:t>
            </w:r>
          </w:p>
        </w:tc>
      </w:tr>
      <w:tr w:rsidR="00CE0C1B" w:rsidRPr="00FF7DA1" w14:paraId="6FAC8A86" w14:textId="77777777" w:rsidTr="00CE0C1B">
        <w:trPr>
          <w:cantSplit/>
        </w:trPr>
        <w:tc>
          <w:tcPr>
            <w:tcW w:w="9723" w:type="dxa"/>
            <w:gridSpan w:val="2"/>
          </w:tcPr>
          <w:p w14:paraId="66FCC8CB" w14:textId="77777777" w:rsidR="00CE0C1B" w:rsidRPr="00FF7DA1" w:rsidRDefault="00CE0C1B" w:rsidP="00CE0C1B">
            <w:pPr>
              <w:rPr>
                <w:b/>
                <w:bCs/>
                <w:i/>
                <w:iCs/>
                <w:lang w:val="es-ES"/>
              </w:rPr>
            </w:pPr>
            <w:r w:rsidRPr="00FF7DA1">
              <w:rPr>
                <w:b/>
                <w:bCs/>
                <w:i/>
                <w:iCs/>
                <w:lang w:val="es-ES"/>
              </w:rPr>
              <w:t xml:space="preserve">Consecuencias en los recursos de la UIT, incluidas las implicaciones financieras </w:t>
            </w:r>
            <w:r w:rsidRPr="00FF7DA1">
              <w:rPr>
                <w:b/>
                <w:bCs/>
                <w:i/>
                <w:iCs/>
                <w:lang w:val="es-ES"/>
              </w:rPr>
              <w:br/>
              <w:t>(véase CV126):</w:t>
            </w:r>
          </w:p>
          <w:p w14:paraId="300FF812" w14:textId="0AB0148D" w:rsidR="00CE0C1B" w:rsidRPr="00FF7DA1" w:rsidRDefault="00CE0C1B" w:rsidP="00CE0C1B">
            <w:pPr>
              <w:spacing w:after="120"/>
              <w:rPr>
                <w:b/>
                <w:bCs/>
                <w:i/>
                <w:iCs/>
                <w:lang w:val="es-ES"/>
              </w:rPr>
            </w:pPr>
            <w:r w:rsidRPr="00FF7DA1">
              <w:rPr>
                <w:lang w:val="es-ES"/>
              </w:rPr>
              <w:t>Este punto del orden del día se estudiará en el marco de los procedimientos normales del UIT-R y de su presupuesto previsto.</w:t>
            </w:r>
          </w:p>
        </w:tc>
      </w:tr>
      <w:tr w:rsidR="00CE0C1B" w:rsidRPr="00FF7DA1" w14:paraId="211F6C37" w14:textId="77777777" w:rsidTr="007E28AD">
        <w:trPr>
          <w:cantSplit/>
        </w:trPr>
        <w:tc>
          <w:tcPr>
            <w:tcW w:w="4861" w:type="dxa"/>
          </w:tcPr>
          <w:p w14:paraId="722B301D" w14:textId="78ECDCB5" w:rsidR="00CE0C1B" w:rsidRPr="00FF7DA1" w:rsidRDefault="00CE0C1B" w:rsidP="00CE0C1B">
            <w:pPr>
              <w:rPr>
                <w:b/>
                <w:bCs/>
                <w:i/>
                <w:iCs/>
                <w:lang w:val="es-ES"/>
              </w:rPr>
            </w:pPr>
            <w:r w:rsidRPr="00FF7DA1">
              <w:rPr>
                <w:b/>
                <w:bCs/>
                <w:i/>
                <w:iCs/>
                <w:lang w:val="es-ES"/>
              </w:rPr>
              <w:t>Propuesta regional común:</w:t>
            </w:r>
            <w:r w:rsidRPr="00FF7DA1">
              <w:rPr>
                <w:rFonts w:eastAsia="MS Gothic"/>
                <w:b/>
                <w:bCs/>
                <w:i/>
                <w:iCs/>
                <w:kern w:val="2"/>
                <w:lang w:val="es-ES"/>
              </w:rPr>
              <w:t xml:space="preserve"> </w:t>
            </w:r>
            <w:r w:rsidRPr="00CE0C1B">
              <w:rPr>
                <w:rFonts w:eastAsia="SimSun"/>
                <w:b/>
                <w:bCs/>
                <w:lang w:val="es-ES" w:eastAsia="zh-CN"/>
              </w:rPr>
              <w:t>No</w:t>
            </w:r>
          </w:p>
        </w:tc>
        <w:tc>
          <w:tcPr>
            <w:tcW w:w="4862" w:type="dxa"/>
          </w:tcPr>
          <w:p w14:paraId="221AC2C3" w14:textId="77777777" w:rsidR="00CE0C1B" w:rsidRPr="00FF7DA1" w:rsidRDefault="00CE0C1B" w:rsidP="00CE0C1B">
            <w:pPr>
              <w:snapToGrid w:val="0"/>
              <w:spacing w:after="120"/>
              <w:jc w:val="both"/>
              <w:rPr>
                <w:rFonts w:eastAsia="MS Gothic"/>
                <w:caps/>
                <w:kern w:val="2"/>
                <w:lang w:val="es-ES" w:eastAsia="ja-JP"/>
              </w:rPr>
            </w:pPr>
            <w:r w:rsidRPr="00FF7DA1">
              <w:rPr>
                <w:b/>
                <w:bCs/>
                <w:i/>
                <w:iCs/>
                <w:lang w:val="es-ES"/>
              </w:rPr>
              <w:t>Propuesta presentada por más de un país:</w:t>
            </w:r>
            <w:r w:rsidRPr="00FF7DA1">
              <w:rPr>
                <w:rFonts w:eastAsia="MS Gothic"/>
                <w:b/>
                <w:bCs/>
                <w:i/>
                <w:iCs/>
                <w:kern w:val="2"/>
                <w:lang w:val="es-ES"/>
              </w:rPr>
              <w:t xml:space="preserve"> </w:t>
            </w:r>
            <w:r w:rsidRPr="00CE0C1B">
              <w:rPr>
                <w:rFonts w:eastAsia="MS Gothic"/>
                <w:b/>
                <w:iCs/>
                <w:kern w:val="2"/>
                <w:lang w:val="es-ES" w:eastAsia="ja-JP"/>
              </w:rPr>
              <w:t>No</w:t>
            </w:r>
          </w:p>
          <w:p w14:paraId="1660F839" w14:textId="77AE6A82" w:rsidR="00CE0C1B" w:rsidRPr="00FF7DA1" w:rsidRDefault="00CE0C1B" w:rsidP="00CE0C1B">
            <w:pPr>
              <w:spacing w:after="120"/>
              <w:rPr>
                <w:b/>
                <w:bCs/>
                <w:i/>
                <w:iCs/>
                <w:lang w:val="es-ES"/>
              </w:rPr>
            </w:pPr>
            <w:r w:rsidRPr="00FF7DA1">
              <w:rPr>
                <w:b/>
                <w:bCs/>
                <w:i/>
                <w:iCs/>
                <w:lang w:val="es-ES"/>
              </w:rPr>
              <w:t>Número de países:</w:t>
            </w:r>
            <w:r>
              <w:rPr>
                <w:b/>
                <w:bCs/>
                <w:i/>
                <w:iCs/>
                <w:lang w:val="es-ES"/>
              </w:rPr>
              <w:t xml:space="preserve"> </w:t>
            </w:r>
            <w:r w:rsidRPr="00CE0C1B">
              <w:rPr>
                <w:b/>
                <w:bCs/>
                <w:lang w:val="es-ES"/>
              </w:rPr>
              <w:t>0</w:t>
            </w:r>
          </w:p>
        </w:tc>
      </w:tr>
      <w:tr w:rsidR="00CE0C1B" w:rsidRPr="00FF7DA1" w14:paraId="0ADEF8F9" w14:textId="77777777" w:rsidTr="00CE0C1B">
        <w:trPr>
          <w:cantSplit/>
        </w:trPr>
        <w:tc>
          <w:tcPr>
            <w:tcW w:w="9723" w:type="dxa"/>
            <w:gridSpan w:val="2"/>
          </w:tcPr>
          <w:p w14:paraId="4C4EECCB" w14:textId="346715EC" w:rsidR="00CE0C1B" w:rsidRPr="00FF7DA1" w:rsidRDefault="00CE0C1B" w:rsidP="00CE0C1B">
            <w:pPr>
              <w:spacing w:after="120"/>
              <w:rPr>
                <w:b/>
                <w:bCs/>
                <w:i/>
                <w:iCs/>
                <w:lang w:val="es-ES"/>
              </w:rPr>
            </w:pPr>
            <w:r w:rsidRPr="00FF7DA1">
              <w:rPr>
                <w:b/>
                <w:bCs/>
                <w:i/>
                <w:iCs/>
                <w:lang w:val="es-ES"/>
              </w:rPr>
              <w:t>Observaciones</w:t>
            </w:r>
          </w:p>
        </w:tc>
      </w:tr>
    </w:tbl>
    <w:p w14:paraId="3516B93E" w14:textId="77777777" w:rsidR="00CE0C1B" w:rsidRDefault="00CE0C1B">
      <w:pPr>
        <w:jc w:val="center"/>
      </w:pPr>
      <w:bookmarkStart w:id="6" w:name="_GoBack"/>
      <w:bookmarkEnd w:id="6"/>
      <w:r>
        <w:t>______________</w:t>
      </w:r>
    </w:p>
    <w:sectPr w:rsidR="00CE0C1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02695" w14:textId="77777777" w:rsidR="003C0613" w:rsidRDefault="003C0613">
      <w:r>
        <w:separator/>
      </w:r>
    </w:p>
  </w:endnote>
  <w:endnote w:type="continuationSeparator" w:id="0">
    <w:p w14:paraId="0D65A311"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392E2"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16C024" w14:textId="70311363" w:rsidR="0077084A" w:rsidRPr="006B113C" w:rsidRDefault="0077084A">
    <w:pPr>
      <w:ind w:right="360"/>
    </w:pPr>
    <w:r>
      <w:fldChar w:fldCharType="begin"/>
    </w:r>
    <w:r w:rsidRPr="006B113C">
      <w:instrText xml:space="preserve"> FILENAME \p  \* MERGEFORMAT </w:instrText>
    </w:r>
    <w:r>
      <w:fldChar w:fldCharType="separate"/>
    </w:r>
    <w:r w:rsidR="00E800BA">
      <w:rPr>
        <w:noProof/>
      </w:rPr>
      <w:t>P:\ESP\ITU-R\CONF-R\CMR19\000\075ADD24S.docx</w:t>
    </w:r>
    <w:r>
      <w:fldChar w:fldCharType="end"/>
    </w:r>
    <w:r w:rsidRPr="006B113C">
      <w:tab/>
    </w:r>
    <w:r>
      <w:fldChar w:fldCharType="begin"/>
    </w:r>
    <w:r>
      <w:instrText xml:space="preserve"> SAVEDATE \@ DD.MM.YY </w:instrText>
    </w:r>
    <w:r>
      <w:fldChar w:fldCharType="separate"/>
    </w:r>
    <w:r w:rsidR="00E800BA">
      <w:rPr>
        <w:noProof/>
      </w:rPr>
      <w:t>23.10.19</w:t>
    </w:r>
    <w:r>
      <w:fldChar w:fldCharType="end"/>
    </w:r>
    <w:r w:rsidRPr="006B113C">
      <w:tab/>
    </w:r>
    <w:r>
      <w:fldChar w:fldCharType="begin"/>
    </w:r>
    <w:r>
      <w:instrText xml:space="preserve"> PRINTDATE \@ DD.MM.YY </w:instrText>
    </w:r>
    <w:r>
      <w:fldChar w:fldCharType="separate"/>
    </w:r>
    <w:r w:rsidR="00E800BA">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15512" w14:textId="12D97F83" w:rsidR="005C4F0B" w:rsidRPr="001F25E2" w:rsidRDefault="001F25E2" w:rsidP="001F25E2">
    <w:pPr>
      <w:pStyle w:val="Footer"/>
    </w:pPr>
    <w:fldSimple w:instr=" FILENAME \p  \* MERGEFORMAT ">
      <w:r w:rsidR="00E800BA">
        <w:t>P:\ESP\ITU-R\CONF-R\CMR19\000\075ADD24S.docx</w:t>
      </w:r>
    </w:fldSimple>
    <w:r>
      <w:t xml:space="preserve"> (462462)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C6A99" w14:textId="63589152" w:rsidR="0077084A" w:rsidRDefault="00CE0C1B" w:rsidP="001F25E2">
    <w:pPr>
      <w:pStyle w:val="Footer"/>
      <w:rPr>
        <w:lang w:val="en-US"/>
      </w:rPr>
    </w:pPr>
    <w:r>
      <w:fldChar w:fldCharType="begin"/>
    </w:r>
    <w:r>
      <w:instrText xml:space="preserve"> FILENAME \p  \* MERGEFORMAT </w:instrText>
    </w:r>
    <w:r>
      <w:fldChar w:fldCharType="separate"/>
    </w:r>
    <w:r w:rsidR="00E800BA">
      <w:t>P:\ESP\ITU-R\CONF-R\CMR19\000\075ADD24S.docx</w:t>
    </w:r>
    <w:r>
      <w:fldChar w:fldCharType="end"/>
    </w:r>
    <w:r w:rsidR="001F25E2">
      <w:t xml:space="preserve"> (462462)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20447" w14:textId="77777777" w:rsidR="003C0613" w:rsidRDefault="003C0613">
      <w:r>
        <w:rPr>
          <w:b/>
        </w:rPr>
        <w:t>_______________</w:t>
      </w:r>
    </w:p>
  </w:footnote>
  <w:footnote w:type="continuationSeparator" w:id="0">
    <w:p w14:paraId="3D79CDEE"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C15B1"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42191273" w14:textId="77777777" w:rsidR="0077084A" w:rsidRDefault="008750A8" w:rsidP="00C44E9E">
    <w:pPr>
      <w:pStyle w:val="Header"/>
      <w:rPr>
        <w:lang w:val="en-US"/>
      </w:rPr>
    </w:pPr>
    <w:r>
      <w:rPr>
        <w:lang w:val="en-US"/>
      </w:rPr>
      <w:t>CMR1</w:t>
    </w:r>
    <w:r w:rsidR="00C44E9E">
      <w:rPr>
        <w:lang w:val="en-US"/>
      </w:rPr>
      <w:t>9</w:t>
    </w:r>
    <w:r>
      <w:rPr>
        <w:lang w:val="en-US"/>
      </w:rPr>
      <w:t>/</w:t>
    </w:r>
    <w:r w:rsidR="00702F3D">
      <w:t>75(Add.24)-</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668C5"/>
    <w:rsid w:val="00067A01"/>
    <w:rsid w:val="00070A2B"/>
    <w:rsid w:val="00087AE8"/>
    <w:rsid w:val="000A5B9A"/>
    <w:rsid w:val="000E5BF9"/>
    <w:rsid w:val="000F0E6D"/>
    <w:rsid w:val="00121170"/>
    <w:rsid w:val="00123CC5"/>
    <w:rsid w:val="0015142D"/>
    <w:rsid w:val="001616DC"/>
    <w:rsid w:val="00163962"/>
    <w:rsid w:val="00190201"/>
    <w:rsid w:val="00191A97"/>
    <w:rsid w:val="0019729C"/>
    <w:rsid w:val="001A083F"/>
    <w:rsid w:val="001B09CC"/>
    <w:rsid w:val="001C41FA"/>
    <w:rsid w:val="001E2B52"/>
    <w:rsid w:val="001E3F27"/>
    <w:rsid w:val="001E5721"/>
    <w:rsid w:val="001E7D42"/>
    <w:rsid w:val="001F25E2"/>
    <w:rsid w:val="00200D2E"/>
    <w:rsid w:val="0023659C"/>
    <w:rsid w:val="00236D2A"/>
    <w:rsid w:val="0024569E"/>
    <w:rsid w:val="00245CC4"/>
    <w:rsid w:val="00251F13"/>
    <w:rsid w:val="00255F12"/>
    <w:rsid w:val="00262C09"/>
    <w:rsid w:val="002A791F"/>
    <w:rsid w:val="002C1A52"/>
    <w:rsid w:val="002C1B26"/>
    <w:rsid w:val="002C5D6C"/>
    <w:rsid w:val="002E701F"/>
    <w:rsid w:val="003248A9"/>
    <w:rsid w:val="00324F7F"/>
    <w:rsid w:val="00324FFA"/>
    <w:rsid w:val="0032680B"/>
    <w:rsid w:val="0033389D"/>
    <w:rsid w:val="00363A65"/>
    <w:rsid w:val="003864B0"/>
    <w:rsid w:val="003B1E8C"/>
    <w:rsid w:val="003C0613"/>
    <w:rsid w:val="003C2508"/>
    <w:rsid w:val="003D0AA3"/>
    <w:rsid w:val="003E2086"/>
    <w:rsid w:val="003F7F66"/>
    <w:rsid w:val="00405044"/>
    <w:rsid w:val="00440B3A"/>
    <w:rsid w:val="0044375A"/>
    <w:rsid w:val="0045384C"/>
    <w:rsid w:val="00454553"/>
    <w:rsid w:val="00472A86"/>
    <w:rsid w:val="004B124A"/>
    <w:rsid w:val="004B3095"/>
    <w:rsid w:val="004D2C7C"/>
    <w:rsid w:val="005133B5"/>
    <w:rsid w:val="005239E6"/>
    <w:rsid w:val="00524392"/>
    <w:rsid w:val="00532097"/>
    <w:rsid w:val="0053366F"/>
    <w:rsid w:val="00540C19"/>
    <w:rsid w:val="0058350F"/>
    <w:rsid w:val="00583C7E"/>
    <w:rsid w:val="0059098E"/>
    <w:rsid w:val="00595AF8"/>
    <w:rsid w:val="00597E67"/>
    <w:rsid w:val="005C4F0B"/>
    <w:rsid w:val="005D46FB"/>
    <w:rsid w:val="005F2605"/>
    <w:rsid w:val="005F3B0E"/>
    <w:rsid w:val="005F3DB8"/>
    <w:rsid w:val="005F559C"/>
    <w:rsid w:val="005F595F"/>
    <w:rsid w:val="00602857"/>
    <w:rsid w:val="0061167E"/>
    <w:rsid w:val="006124AD"/>
    <w:rsid w:val="00624009"/>
    <w:rsid w:val="00662BA0"/>
    <w:rsid w:val="0067344B"/>
    <w:rsid w:val="00684A94"/>
    <w:rsid w:val="00692AAE"/>
    <w:rsid w:val="006B113C"/>
    <w:rsid w:val="006C0E38"/>
    <w:rsid w:val="006D5A02"/>
    <w:rsid w:val="006D6E67"/>
    <w:rsid w:val="006E1A13"/>
    <w:rsid w:val="006F7D8C"/>
    <w:rsid w:val="00701C20"/>
    <w:rsid w:val="00702F3D"/>
    <w:rsid w:val="0070518E"/>
    <w:rsid w:val="007068AD"/>
    <w:rsid w:val="007354E9"/>
    <w:rsid w:val="007424E8"/>
    <w:rsid w:val="0074579D"/>
    <w:rsid w:val="00754198"/>
    <w:rsid w:val="00765578"/>
    <w:rsid w:val="00766333"/>
    <w:rsid w:val="0077084A"/>
    <w:rsid w:val="007952C7"/>
    <w:rsid w:val="007C0B95"/>
    <w:rsid w:val="007C2317"/>
    <w:rsid w:val="007D330A"/>
    <w:rsid w:val="008240EF"/>
    <w:rsid w:val="00866AE6"/>
    <w:rsid w:val="008750A8"/>
    <w:rsid w:val="008D3316"/>
    <w:rsid w:val="008E5AF2"/>
    <w:rsid w:val="0090121B"/>
    <w:rsid w:val="009144C9"/>
    <w:rsid w:val="0094091F"/>
    <w:rsid w:val="00962171"/>
    <w:rsid w:val="00973754"/>
    <w:rsid w:val="009C0BED"/>
    <w:rsid w:val="009C79FE"/>
    <w:rsid w:val="009D2DA9"/>
    <w:rsid w:val="009D5CCA"/>
    <w:rsid w:val="009E11EC"/>
    <w:rsid w:val="00A021CC"/>
    <w:rsid w:val="00A10683"/>
    <w:rsid w:val="00A10F57"/>
    <w:rsid w:val="00A118DB"/>
    <w:rsid w:val="00A4450C"/>
    <w:rsid w:val="00AA5E6C"/>
    <w:rsid w:val="00AE5677"/>
    <w:rsid w:val="00AE658F"/>
    <w:rsid w:val="00AF2F78"/>
    <w:rsid w:val="00B11429"/>
    <w:rsid w:val="00B12BFE"/>
    <w:rsid w:val="00B1609E"/>
    <w:rsid w:val="00B239FA"/>
    <w:rsid w:val="00B372AB"/>
    <w:rsid w:val="00B47331"/>
    <w:rsid w:val="00B51570"/>
    <w:rsid w:val="00B52D55"/>
    <w:rsid w:val="00B8288C"/>
    <w:rsid w:val="00B86034"/>
    <w:rsid w:val="00BA0129"/>
    <w:rsid w:val="00BE2E80"/>
    <w:rsid w:val="00BE5EDD"/>
    <w:rsid w:val="00BE6A1F"/>
    <w:rsid w:val="00C126C4"/>
    <w:rsid w:val="00C44E9E"/>
    <w:rsid w:val="00C63EB5"/>
    <w:rsid w:val="00C87969"/>
    <w:rsid w:val="00C87DA7"/>
    <w:rsid w:val="00CC01E0"/>
    <w:rsid w:val="00CD5FEE"/>
    <w:rsid w:val="00CE0C1B"/>
    <w:rsid w:val="00CE60D2"/>
    <w:rsid w:val="00CE7431"/>
    <w:rsid w:val="00D00CA8"/>
    <w:rsid w:val="00D0288A"/>
    <w:rsid w:val="00D72A5D"/>
    <w:rsid w:val="00DA71A3"/>
    <w:rsid w:val="00DB202F"/>
    <w:rsid w:val="00DC629B"/>
    <w:rsid w:val="00DE1C31"/>
    <w:rsid w:val="00E05BFF"/>
    <w:rsid w:val="00E24A0A"/>
    <w:rsid w:val="00E262F1"/>
    <w:rsid w:val="00E3176A"/>
    <w:rsid w:val="00E33A3D"/>
    <w:rsid w:val="00E36CE4"/>
    <w:rsid w:val="00E54754"/>
    <w:rsid w:val="00E55681"/>
    <w:rsid w:val="00E56BD3"/>
    <w:rsid w:val="00E71D14"/>
    <w:rsid w:val="00E800BA"/>
    <w:rsid w:val="00EA77F0"/>
    <w:rsid w:val="00EB7203"/>
    <w:rsid w:val="00F149D3"/>
    <w:rsid w:val="00F32316"/>
    <w:rsid w:val="00F66597"/>
    <w:rsid w:val="00F675D0"/>
    <w:rsid w:val="00F8150C"/>
    <w:rsid w:val="00FD03C4"/>
    <w:rsid w:val="00FE4574"/>
    <w:rsid w:val="00FF7D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71189D8"/>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semiHidden/>
    <w:unhideWhenUsed/>
    <w:rsid w:val="00A10F57"/>
    <w:rPr>
      <w:color w:val="800080" w:themeColor="followedHyperlink"/>
      <w:u w:val="single"/>
    </w:rPr>
  </w:style>
  <w:style w:type="character" w:styleId="UnresolvedMention">
    <w:name w:val="Unresolved Mention"/>
    <w:basedOn w:val="DefaultParagraphFont"/>
    <w:uiPriority w:val="99"/>
    <w:semiHidden/>
    <w:unhideWhenUsed/>
    <w:rsid w:val="003864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R16-WRC19-C-0075!A24!MSW-S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03EA6-93D7-437C-AF66-4CFD7A50C144}">
  <ds:schemaRefs>
    <ds:schemaRef ds:uri="http://purl.org/dc/dcmitype/"/>
    <ds:schemaRef ds:uri="http://purl.org/dc/terms/"/>
    <ds:schemaRef ds:uri="996b2e75-67fd-4955-a3b0-5ab9934cb50b"/>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32a1a8c5-2265-4ebc-b7a0-2071e2c5c9b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235EB14E-44D5-4DC1-9484-C84CD8528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1339</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R16-WRC19-C-0075!A24!MSW-S</vt:lpstr>
    </vt:vector>
  </TitlesOfParts>
  <Manager>Secretaría General - Pool</Manager>
  <Company>Unión Internacional de Telecomunicaciones (UIT)</Company>
  <LinksUpToDate>false</LinksUpToDate>
  <CharactersWithSpaces>8621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R16-WRC19-C-0075!A24!MSW-S</dc:title>
  <dc:subject>Conferencia Mundial de Radiocomunicaciones - 2019</dc:subject>
  <dc:creator>Documents Proposals Manager (DPM)</dc:creator>
  <cp:keywords>DPM_v2019.10.8.1_prod</cp:keywords>
  <dc:description/>
  <cp:lastModifiedBy>Spanish</cp:lastModifiedBy>
  <cp:revision>19</cp:revision>
  <cp:lastPrinted>2019-10-23T15:19:00Z</cp:lastPrinted>
  <dcterms:created xsi:type="dcterms:W3CDTF">2019-10-23T14:25:00Z</dcterms:created>
  <dcterms:modified xsi:type="dcterms:W3CDTF">2019-10-23T15:37:00Z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