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45CCC" w14:paraId="79507BCF" w14:textId="77777777" w:rsidTr="00D60D6A">
        <w:trPr>
          <w:cantSplit/>
        </w:trPr>
        <w:tc>
          <w:tcPr>
            <w:tcW w:w="6911" w:type="dxa"/>
          </w:tcPr>
          <w:p w14:paraId="6EE576A0" w14:textId="77777777" w:rsidR="00BB1D82" w:rsidRPr="00945CCC" w:rsidRDefault="00851625" w:rsidP="00F10064">
            <w:pPr>
              <w:spacing w:before="400" w:after="48" w:line="240" w:lineRule="atLeast"/>
              <w:rPr>
                <w:rFonts w:ascii="Verdana" w:hAnsi="Verdana"/>
                <w:b/>
                <w:bCs/>
                <w:sz w:val="20"/>
              </w:rPr>
            </w:pPr>
            <w:r w:rsidRPr="00945CCC">
              <w:rPr>
                <w:rFonts w:ascii="Verdana" w:hAnsi="Verdana"/>
                <w:b/>
                <w:bCs/>
                <w:sz w:val="20"/>
              </w:rPr>
              <w:t>Conférence mondiale des radiocommunications (CMR-1</w:t>
            </w:r>
            <w:r w:rsidR="00FD7AA3" w:rsidRPr="00945CCC">
              <w:rPr>
                <w:rFonts w:ascii="Verdana" w:hAnsi="Verdana"/>
                <w:b/>
                <w:bCs/>
                <w:sz w:val="20"/>
              </w:rPr>
              <w:t>9</w:t>
            </w:r>
            <w:r w:rsidRPr="00945CCC">
              <w:rPr>
                <w:rFonts w:ascii="Verdana" w:hAnsi="Verdana"/>
                <w:b/>
                <w:bCs/>
                <w:sz w:val="20"/>
              </w:rPr>
              <w:t>)</w:t>
            </w:r>
            <w:r w:rsidRPr="00945CCC">
              <w:rPr>
                <w:rFonts w:ascii="Verdana" w:hAnsi="Verdana"/>
                <w:b/>
                <w:bCs/>
                <w:sz w:val="20"/>
              </w:rPr>
              <w:br/>
            </w:r>
            <w:r w:rsidR="00063A1F" w:rsidRPr="00945CCC">
              <w:rPr>
                <w:rFonts w:ascii="Verdana" w:hAnsi="Verdana"/>
                <w:b/>
                <w:bCs/>
                <w:sz w:val="18"/>
                <w:szCs w:val="18"/>
              </w:rPr>
              <w:t xml:space="preserve">Charm el-Cheikh, </w:t>
            </w:r>
            <w:r w:rsidR="00081366" w:rsidRPr="00945CCC">
              <w:rPr>
                <w:rFonts w:ascii="Verdana" w:hAnsi="Verdana"/>
                <w:b/>
                <w:bCs/>
                <w:sz w:val="18"/>
                <w:szCs w:val="18"/>
              </w:rPr>
              <w:t>É</w:t>
            </w:r>
            <w:r w:rsidR="00063A1F" w:rsidRPr="00945CCC">
              <w:rPr>
                <w:rFonts w:ascii="Verdana" w:hAnsi="Verdana"/>
                <w:b/>
                <w:bCs/>
                <w:sz w:val="18"/>
                <w:szCs w:val="18"/>
              </w:rPr>
              <w:t>gypte</w:t>
            </w:r>
            <w:r w:rsidRPr="00945CCC">
              <w:rPr>
                <w:rFonts w:ascii="Verdana" w:hAnsi="Verdana"/>
                <w:b/>
                <w:bCs/>
                <w:sz w:val="18"/>
                <w:szCs w:val="18"/>
              </w:rPr>
              <w:t>,</w:t>
            </w:r>
            <w:r w:rsidR="00E537FF" w:rsidRPr="00945CCC">
              <w:rPr>
                <w:rFonts w:ascii="Verdana" w:hAnsi="Verdana"/>
                <w:b/>
                <w:bCs/>
                <w:sz w:val="18"/>
                <w:szCs w:val="18"/>
              </w:rPr>
              <w:t xml:space="preserve"> </w:t>
            </w:r>
            <w:r w:rsidRPr="00945CCC">
              <w:rPr>
                <w:rFonts w:ascii="Verdana" w:hAnsi="Verdana"/>
                <w:b/>
                <w:bCs/>
                <w:sz w:val="18"/>
                <w:szCs w:val="18"/>
              </w:rPr>
              <w:t>2</w:t>
            </w:r>
            <w:r w:rsidR="00FD7AA3" w:rsidRPr="00945CCC">
              <w:rPr>
                <w:rFonts w:ascii="Verdana" w:hAnsi="Verdana"/>
                <w:b/>
                <w:bCs/>
                <w:sz w:val="18"/>
                <w:szCs w:val="18"/>
              </w:rPr>
              <w:t xml:space="preserve">8 octobre </w:t>
            </w:r>
            <w:r w:rsidR="00F10064" w:rsidRPr="00945CCC">
              <w:rPr>
                <w:rFonts w:ascii="Verdana" w:hAnsi="Verdana"/>
                <w:b/>
                <w:bCs/>
                <w:sz w:val="18"/>
                <w:szCs w:val="18"/>
              </w:rPr>
              <w:t>–</w:t>
            </w:r>
            <w:r w:rsidR="00FD7AA3" w:rsidRPr="00945CCC">
              <w:rPr>
                <w:rFonts w:ascii="Verdana" w:hAnsi="Verdana"/>
                <w:b/>
                <w:bCs/>
                <w:sz w:val="18"/>
                <w:szCs w:val="18"/>
              </w:rPr>
              <w:t xml:space="preserve"> </w:t>
            </w:r>
            <w:r w:rsidRPr="00945CCC">
              <w:rPr>
                <w:rFonts w:ascii="Verdana" w:hAnsi="Verdana"/>
                <w:b/>
                <w:bCs/>
                <w:sz w:val="18"/>
                <w:szCs w:val="18"/>
              </w:rPr>
              <w:t>2</w:t>
            </w:r>
            <w:r w:rsidR="00FD7AA3" w:rsidRPr="00945CCC">
              <w:rPr>
                <w:rFonts w:ascii="Verdana" w:hAnsi="Verdana"/>
                <w:b/>
                <w:bCs/>
                <w:sz w:val="18"/>
                <w:szCs w:val="18"/>
              </w:rPr>
              <w:t>2</w:t>
            </w:r>
            <w:r w:rsidRPr="00945CCC">
              <w:rPr>
                <w:rFonts w:ascii="Verdana" w:hAnsi="Verdana"/>
                <w:b/>
                <w:bCs/>
                <w:sz w:val="18"/>
                <w:szCs w:val="18"/>
              </w:rPr>
              <w:t xml:space="preserve"> novembre 201</w:t>
            </w:r>
            <w:r w:rsidR="00FD7AA3" w:rsidRPr="00945CCC">
              <w:rPr>
                <w:rFonts w:ascii="Verdana" w:hAnsi="Verdana"/>
                <w:b/>
                <w:bCs/>
                <w:sz w:val="18"/>
                <w:szCs w:val="18"/>
              </w:rPr>
              <w:t>9</w:t>
            </w:r>
          </w:p>
        </w:tc>
        <w:tc>
          <w:tcPr>
            <w:tcW w:w="3120" w:type="dxa"/>
          </w:tcPr>
          <w:p w14:paraId="7404DAF2" w14:textId="77777777" w:rsidR="00BB1D82" w:rsidRPr="00945CCC" w:rsidRDefault="000A55AE" w:rsidP="002C28A4">
            <w:pPr>
              <w:spacing w:before="0" w:line="240" w:lineRule="atLeast"/>
              <w:jc w:val="right"/>
            </w:pPr>
            <w:bookmarkStart w:id="0" w:name="ditulogo"/>
            <w:bookmarkEnd w:id="0"/>
            <w:r w:rsidRPr="00945CCC">
              <w:rPr>
                <w:rFonts w:ascii="Verdana" w:hAnsi="Verdana"/>
                <w:b/>
                <w:bCs/>
                <w:lang w:eastAsia="fr-FR"/>
              </w:rPr>
              <w:drawing>
                <wp:inline distT="0" distB="0" distL="0" distR="0" wp14:anchorId="0F1BE1C6" wp14:editId="3BB1276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45CCC" w14:paraId="3CB2135C" w14:textId="77777777" w:rsidTr="00D60D6A">
        <w:trPr>
          <w:cantSplit/>
        </w:trPr>
        <w:tc>
          <w:tcPr>
            <w:tcW w:w="6911" w:type="dxa"/>
            <w:tcBorders>
              <w:bottom w:val="single" w:sz="12" w:space="0" w:color="auto"/>
            </w:tcBorders>
          </w:tcPr>
          <w:p w14:paraId="1FAAA4D2" w14:textId="77777777" w:rsidR="00BB1D82" w:rsidRPr="00945CCC"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7081C010" w14:textId="77777777" w:rsidR="00BB1D82" w:rsidRPr="00945CCC" w:rsidRDefault="00BB1D82" w:rsidP="00BB1D82">
            <w:pPr>
              <w:spacing w:before="0" w:line="240" w:lineRule="atLeast"/>
              <w:rPr>
                <w:rFonts w:ascii="Verdana" w:hAnsi="Verdana"/>
                <w:szCs w:val="24"/>
              </w:rPr>
            </w:pPr>
          </w:p>
        </w:tc>
      </w:tr>
      <w:tr w:rsidR="00BB1D82" w:rsidRPr="00945CCC" w14:paraId="5FF9EAF8" w14:textId="77777777" w:rsidTr="00BB1D82">
        <w:trPr>
          <w:cantSplit/>
        </w:trPr>
        <w:tc>
          <w:tcPr>
            <w:tcW w:w="6911" w:type="dxa"/>
            <w:tcBorders>
              <w:top w:val="single" w:sz="12" w:space="0" w:color="auto"/>
            </w:tcBorders>
          </w:tcPr>
          <w:p w14:paraId="169D797B" w14:textId="77777777" w:rsidR="00BB1D82" w:rsidRPr="00945CCC"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324A1AFB" w14:textId="77777777" w:rsidR="00BB1D82" w:rsidRPr="00945CCC" w:rsidRDefault="00BB1D82" w:rsidP="00BB1D82">
            <w:pPr>
              <w:spacing w:before="0" w:line="240" w:lineRule="atLeast"/>
              <w:rPr>
                <w:rFonts w:ascii="Verdana" w:hAnsi="Verdana"/>
                <w:sz w:val="20"/>
              </w:rPr>
            </w:pPr>
          </w:p>
        </w:tc>
      </w:tr>
      <w:tr w:rsidR="00BB1D82" w:rsidRPr="00945CCC" w14:paraId="21CD9DFE" w14:textId="77777777" w:rsidTr="00BB1D82">
        <w:trPr>
          <w:cantSplit/>
        </w:trPr>
        <w:tc>
          <w:tcPr>
            <w:tcW w:w="6911" w:type="dxa"/>
          </w:tcPr>
          <w:p w14:paraId="11B8197E" w14:textId="77777777" w:rsidR="00BB1D82" w:rsidRPr="00945CCC" w:rsidRDefault="006D4724" w:rsidP="00BA5BD0">
            <w:pPr>
              <w:spacing w:before="0"/>
              <w:rPr>
                <w:rFonts w:ascii="Verdana" w:hAnsi="Verdana"/>
                <w:b/>
                <w:sz w:val="20"/>
              </w:rPr>
            </w:pPr>
            <w:r w:rsidRPr="00945CCC">
              <w:rPr>
                <w:rFonts w:ascii="Verdana" w:hAnsi="Verdana"/>
                <w:b/>
                <w:sz w:val="20"/>
              </w:rPr>
              <w:t>SÉANCE PLÉNIÈRE</w:t>
            </w:r>
          </w:p>
        </w:tc>
        <w:tc>
          <w:tcPr>
            <w:tcW w:w="3120" w:type="dxa"/>
          </w:tcPr>
          <w:p w14:paraId="5EB6B1BE" w14:textId="77777777" w:rsidR="00BB1D82" w:rsidRPr="00945CCC" w:rsidRDefault="006D4724" w:rsidP="00BA5BD0">
            <w:pPr>
              <w:spacing w:before="0"/>
              <w:rPr>
                <w:rFonts w:ascii="Verdana" w:hAnsi="Verdana"/>
                <w:sz w:val="20"/>
              </w:rPr>
            </w:pPr>
            <w:r w:rsidRPr="00945CCC">
              <w:rPr>
                <w:rFonts w:ascii="Verdana" w:hAnsi="Verdana"/>
                <w:b/>
                <w:sz w:val="20"/>
              </w:rPr>
              <w:t>Addendum 24 au</w:t>
            </w:r>
            <w:r w:rsidRPr="00945CCC">
              <w:rPr>
                <w:rFonts w:ascii="Verdana" w:hAnsi="Verdana"/>
                <w:b/>
                <w:sz w:val="20"/>
              </w:rPr>
              <w:br/>
              <w:t>Document 75</w:t>
            </w:r>
            <w:r w:rsidR="00BB1D82" w:rsidRPr="00945CCC">
              <w:rPr>
                <w:rFonts w:ascii="Verdana" w:hAnsi="Verdana"/>
                <w:b/>
                <w:sz w:val="20"/>
              </w:rPr>
              <w:t>-</w:t>
            </w:r>
            <w:r w:rsidRPr="00945CCC">
              <w:rPr>
                <w:rFonts w:ascii="Verdana" w:hAnsi="Verdana"/>
                <w:b/>
                <w:sz w:val="20"/>
              </w:rPr>
              <w:t>F</w:t>
            </w:r>
          </w:p>
        </w:tc>
      </w:tr>
      <w:bookmarkEnd w:id="1"/>
      <w:tr w:rsidR="00690C7B" w:rsidRPr="00945CCC" w14:paraId="70C92DD8" w14:textId="77777777" w:rsidTr="00BB1D82">
        <w:trPr>
          <w:cantSplit/>
        </w:trPr>
        <w:tc>
          <w:tcPr>
            <w:tcW w:w="6911" w:type="dxa"/>
          </w:tcPr>
          <w:p w14:paraId="6832D630" w14:textId="77777777" w:rsidR="00690C7B" w:rsidRPr="00945CCC" w:rsidRDefault="00690C7B" w:rsidP="00BA5BD0">
            <w:pPr>
              <w:spacing w:before="0"/>
              <w:rPr>
                <w:rFonts w:ascii="Verdana" w:hAnsi="Verdana"/>
                <w:b/>
                <w:sz w:val="20"/>
              </w:rPr>
            </w:pPr>
          </w:p>
        </w:tc>
        <w:tc>
          <w:tcPr>
            <w:tcW w:w="3120" w:type="dxa"/>
          </w:tcPr>
          <w:p w14:paraId="014FE322" w14:textId="77777777" w:rsidR="00690C7B" w:rsidRPr="00945CCC" w:rsidRDefault="00690C7B" w:rsidP="00BA5BD0">
            <w:pPr>
              <w:spacing w:before="0"/>
              <w:rPr>
                <w:rFonts w:ascii="Verdana" w:hAnsi="Verdana"/>
                <w:b/>
                <w:sz w:val="20"/>
              </w:rPr>
            </w:pPr>
            <w:r w:rsidRPr="00945CCC">
              <w:rPr>
                <w:rFonts w:ascii="Verdana" w:hAnsi="Verdana"/>
                <w:b/>
                <w:sz w:val="20"/>
              </w:rPr>
              <w:t>18 octobre 2019</w:t>
            </w:r>
          </w:p>
        </w:tc>
      </w:tr>
      <w:tr w:rsidR="00690C7B" w:rsidRPr="00945CCC" w14:paraId="31501D20" w14:textId="77777777" w:rsidTr="00BB1D82">
        <w:trPr>
          <w:cantSplit/>
        </w:trPr>
        <w:tc>
          <w:tcPr>
            <w:tcW w:w="6911" w:type="dxa"/>
          </w:tcPr>
          <w:p w14:paraId="70F0B4E6" w14:textId="77777777" w:rsidR="00690C7B" w:rsidRPr="00945CCC" w:rsidRDefault="00690C7B" w:rsidP="00BA5BD0">
            <w:pPr>
              <w:spacing w:before="0" w:after="48"/>
              <w:rPr>
                <w:rFonts w:ascii="Verdana" w:hAnsi="Verdana"/>
                <w:b/>
                <w:smallCaps/>
                <w:sz w:val="20"/>
              </w:rPr>
            </w:pPr>
          </w:p>
        </w:tc>
        <w:tc>
          <w:tcPr>
            <w:tcW w:w="3120" w:type="dxa"/>
          </w:tcPr>
          <w:p w14:paraId="5D58C37B" w14:textId="77777777" w:rsidR="00690C7B" w:rsidRPr="00945CCC" w:rsidRDefault="00690C7B" w:rsidP="00BA5BD0">
            <w:pPr>
              <w:spacing w:before="0"/>
              <w:rPr>
                <w:rFonts w:ascii="Verdana" w:hAnsi="Verdana"/>
                <w:b/>
                <w:sz w:val="20"/>
              </w:rPr>
            </w:pPr>
            <w:r w:rsidRPr="00945CCC">
              <w:rPr>
                <w:rFonts w:ascii="Verdana" w:hAnsi="Verdana"/>
                <w:b/>
                <w:sz w:val="20"/>
              </w:rPr>
              <w:t>Original: anglais</w:t>
            </w:r>
          </w:p>
        </w:tc>
      </w:tr>
      <w:tr w:rsidR="00690C7B" w:rsidRPr="00945CCC" w14:paraId="0F2FFE96" w14:textId="77777777" w:rsidTr="00D60D6A">
        <w:trPr>
          <w:cantSplit/>
        </w:trPr>
        <w:tc>
          <w:tcPr>
            <w:tcW w:w="10031" w:type="dxa"/>
            <w:gridSpan w:val="2"/>
          </w:tcPr>
          <w:p w14:paraId="697A2D7D" w14:textId="77777777" w:rsidR="00690C7B" w:rsidRPr="00945CCC" w:rsidRDefault="00690C7B" w:rsidP="00BA5BD0">
            <w:pPr>
              <w:spacing w:before="0"/>
              <w:rPr>
                <w:rFonts w:ascii="Verdana" w:hAnsi="Verdana"/>
                <w:b/>
                <w:sz w:val="20"/>
              </w:rPr>
            </w:pPr>
          </w:p>
        </w:tc>
      </w:tr>
      <w:tr w:rsidR="00690C7B" w:rsidRPr="00945CCC" w14:paraId="0F12094B" w14:textId="77777777" w:rsidTr="00D60D6A">
        <w:trPr>
          <w:cantSplit/>
        </w:trPr>
        <w:tc>
          <w:tcPr>
            <w:tcW w:w="10031" w:type="dxa"/>
            <w:gridSpan w:val="2"/>
          </w:tcPr>
          <w:p w14:paraId="3F4682BB" w14:textId="616D9622" w:rsidR="00690C7B" w:rsidRPr="00945CCC" w:rsidRDefault="00690C7B" w:rsidP="00690C7B">
            <w:pPr>
              <w:pStyle w:val="Source"/>
            </w:pPr>
            <w:bookmarkStart w:id="2" w:name="dsource" w:colFirst="0" w:colLast="0"/>
            <w:r w:rsidRPr="00945CCC">
              <w:t>Samoa (</w:t>
            </w:r>
            <w:r w:rsidR="00A40BEE" w:rsidRPr="00945CCC">
              <w:t>É</w:t>
            </w:r>
            <w:r w:rsidRPr="00945CCC">
              <w:t>tat indépendant du)</w:t>
            </w:r>
          </w:p>
        </w:tc>
      </w:tr>
      <w:tr w:rsidR="00690C7B" w:rsidRPr="00945CCC" w14:paraId="5C48F763" w14:textId="77777777" w:rsidTr="00D60D6A">
        <w:trPr>
          <w:cantSplit/>
        </w:trPr>
        <w:tc>
          <w:tcPr>
            <w:tcW w:w="10031" w:type="dxa"/>
            <w:gridSpan w:val="2"/>
          </w:tcPr>
          <w:p w14:paraId="41FB2F0E" w14:textId="77777777" w:rsidR="00690C7B" w:rsidRPr="00945CCC" w:rsidRDefault="00690C7B" w:rsidP="00690C7B">
            <w:pPr>
              <w:pStyle w:val="Title1"/>
            </w:pPr>
            <w:bookmarkStart w:id="3" w:name="dtitle1" w:colFirst="0" w:colLast="0"/>
            <w:bookmarkEnd w:id="2"/>
            <w:r w:rsidRPr="00945CCC">
              <w:t>Propositions pour les travaux de la conférence</w:t>
            </w:r>
          </w:p>
        </w:tc>
      </w:tr>
      <w:tr w:rsidR="00690C7B" w:rsidRPr="00945CCC" w14:paraId="3000EE2B" w14:textId="77777777" w:rsidTr="00D60D6A">
        <w:trPr>
          <w:cantSplit/>
        </w:trPr>
        <w:tc>
          <w:tcPr>
            <w:tcW w:w="10031" w:type="dxa"/>
            <w:gridSpan w:val="2"/>
          </w:tcPr>
          <w:p w14:paraId="76477FDB" w14:textId="77777777" w:rsidR="00690C7B" w:rsidRPr="00945CCC" w:rsidRDefault="00690C7B" w:rsidP="005A2988">
            <w:pPr>
              <w:pStyle w:val="Title2"/>
              <w:spacing w:before="0"/>
            </w:pPr>
            <w:bookmarkStart w:id="4" w:name="dtitle2" w:colFirst="0" w:colLast="0"/>
            <w:bookmarkEnd w:id="3"/>
          </w:p>
        </w:tc>
      </w:tr>
      <w:tr w:rsidR="00690C7B" w:rsidRPr="00945CCC" w14:paraId="3F942A79" w14:textId="77777777" w:rsidTr="00D60D6A">
        <w:trPr>
          <w:cantSplit/>
        </w:trPr>
        <w:tc>
          <w:tcPr>
            <w:tcW w:w="10031" w:type="dxa"/>
            <w:gridSpan w:val="2"/>
          </w:tcPr>
          <w:p w14:paraId="2EBDB9F8" w14:textId="77777777" w:rsidR="00690C7B" w:rsidRPr="00945CCC" w:rsidRDefault="00690C7B" w:rsidP="005A2988">
            <w:pPr>
              <w:pStyle w:val="Agendaitem"/>
              <w:spacing w:before="160"/>
              <w:rPr>
                <w:lang w:val="fr-FR"/>
              </w:rPr>
            </w:pPr>
            <w:bookmarkStart w:id="5" w:name="dtitle3" w:colFirst="0" w:colLast="0"/>
            <w:bookmarkEnd w:id="4"/>
            <w:r w:rsidRPr="00945CCC">
              <w:rPr>
                <w:lang w:val="fr-FR"/>
              </w:rPr>
              <w:t>Point 10 de l'ordre du jour</w:t>
            </w:r>
          </w:p>
        </w:tc>
      </w:tr>
    </w:tbl>
    <w:bookmarkEnd w:id="5"/>
    <w:p w14:paraId="322E3375" w14:textId="07E94D76" w:rsidR="00D60D6A" w:rsidRPr="00945CCC" w:rsidRDefault="002462A1" w:rsidP="005A2988">
      <w:pPr>
        <w:spacing w:before="80"/>
      </w:pPr>
      <w:r w:rsidRPr="00945CCC">
        <w:t>10</w:t>
      </w:r>
      <w:r w:rsidRPr="00945CCC">
        <w:tab/>
        <w:t xml:space="preserve">recommander au Conseil des points à inscrire à l'ordre du jour de la CMR suivante et exposer ses vues sur l'ordre du jour préliminaire de la conférence ultérieure ainsi que sur des points </w:t>
      </w:r>
      <w:r w:rsidRPr="00945CCC">
        <w:rPr>
          <w:spacing w:val="-4"/>
        </w:rPr>
        <w:t>éventuels à inscrire à l'ordre du jour de conférences futures, conformément à l'article 7 de la</w:t>
      </w:r>
      <w:r w:rsidR="005A2988" w:rsidRPr="00945CCC">
        <w:rPr>
          <w:spacing w:val="-4"/>
        </w:rPr>
        <w:t xml:space="preserve"> </w:t>
      </w:r>
      <w:r w:rsidRPr="00945CCC">
        <w:rPr>
          <w:spacing w:val="-4"/>
        </w:rPr>
        <w:t>Convention,</w:t>
      </w:r>
    </w:p>
    <w:p w14:paraId="5A0A3278" w14:textId="77777777" w:rsidR="00BD42E2" w:rsidRPr="00945CCC" w:rsidRDefault="00BD42E2" w:rsidP="005A2988">
      <w:pPr>
        <w:pStyle w:val="Headingb"/>
        <w:spacing w:before="80"/>
        <w:rPr>
          <w:lang w:eastAsia="ko-KR"/>
        </w:rPr>
      </w:pPr>
      <w:r w:rsidRPr="00945CCC">
        <w:rPr>
          <w:lang w:eastAsia="ko-KR"/>
        </w:rPr>
        <w:t>Considérations générales</w:t>
      </w:r>
    </w:p>
    <w:p w14:paraId="3178DEA1" w14:textId="5AC8477B" w:rsidR="00D60D6A" w:rsidRPr="00945CCC" w:rsidRDefault="00D60D6A" w:rsidP="005A2988">
      <w:pPr>
        <w:spacing w:before="80"/>
        <w:rPr>
          <w:spacing w:val="-3"/>
        </w:rPr>
      </w:pPr>
      <w:r w:rsidRPr="00945CCC">
        <w:t>À l'heure actuelle, la quasi</w:t>
      </w:r>
      <w:r w:rsidR="005A2988" w:rsidRPr="00945CCC">
        <w:t>-</w:t>
      </w:r>
      <w:r w:rsidRPr="00945CCC">
        <w:t>totalité des</w:t>
      </w:r>
      <w:r w:rsidR="00BD42E2" w:rsidRPr="00945CCC">
        <w:t xml:space="preserve"> satellites </w:t>
      </w:r>
      <w:r w:rsidR="00E71B09" w:rsidRPr="00945CCC">
        <w:t xml:space="preserve">commerciaux </w:t>
      </w:r>
      <w:r w:rsidR="00BD42E2" w:rsidRPr="00945CCC">
        <w:t xml:space="preserve">en orbite terrestre basse (LEO) </w:t>
      </w:r>
      <w:r w:rsidR="003B219F" w:rsidRPr="00945CCC">
        <w:t>prennent en charge les communications de donné</w:t>
      </w:r>
      <w:r w:rsidR="00E71B09" w:rsidRPr="00945CCC">
        <w:t>e</w:t>
      </w:r>
      <w:r w:rsidR="003B219F" w:rsidRPr="00945CCC">
        <w:t xml:space="preserve">s de façon </w:t>
      </w:r>
      <w:r w:rsidR="00BD42E2" w:rsidRPr="00945CCC">
        <w:t>limité</w:t>
      </w:r>
      <w:r w:rsidR="003B219F" w:rsidRPr="00945CCC">
        <w:t>e et non</w:t>
      </w:r>
      <w:r w:rsidR="005A2988" w:rsidRPr="00945CCC">
        <w:t xml:space="preserve"> </w:t>
      </w:r>
      <w:r w:rsidR="003B219F" w:rsidRPr="00945CCC">
        <w:t>continue,</w:t>
      </w:r>
      <w:r w:rsidR="00BD42E2" w:rsidRPr="00945CCC">
        <w:t xml:space="preserve"> </w:t>
      </w:r>
      <w:r w:rsidR="003B219F" w:rsidRPr="00945CCC">
        <w:t xml:space="preserve">et </w:t>
      </w:r>
      <w:r w:rsidR="00BD42E2" w:rsidRPr="00945CCC">
        <w:t>en différé</w:t>
      </w:r>
      <w:r w:rsidR="003B219F" w:rsidRPr="00945CCC">
        <w:t>,</w:t>
      </w:r>
      <w:r w:rsidR="00BD42E2" w:rsidRPr="00945CCC">
        <w:t xml:space="preserve"> via un réseau de stations terriennes. Il ressort de</w:t>
      </w:r>
      <w:r w:rsidR="005A2988" w:rsidRPr="00945CCC">
        <w:t>s</w:t>
      </w:r>
      <w:r w:rsidR="00BD42E2" w:rsidRPr="00945CCC">
        <w:t xml:space="preserve"> discussions avec les opérateurs de satellites LEO </w:t>
      </w:r>
      <w:r w:rsidR="00BD42E2" w:rsidRPr="00945CCC">
        <w:rPr>
          <w:spacing w:val="-3"/>
        </w:rPr>
        <w:t xml:space="preserve">que l'adjonction des communications espace-espace dans le SMS </w:t>
      </w:r>
      <w:r w:rsidR="00DB6AAD" w:rsidRPr="00945CCC">
        <w:rPr>
          <w:spacing w:val="-3"/>
        </w:rPr>
        <w:t>permettra</w:t>
      </w:r>
      <w:r w:rsidR="00BD42E2" w:rsidRPr="00945CCC">
        <w:rPr>
          <w:spacing w:val="-3"/>
        </w:rPr>
        <w:t xml:space="preserve"> d'assurer une surveillance</w:t>
      </w:r>
      <w:r w:rsidR="00BD42E2" w:rsidRPr="00945CCC">
        <w:t xml:space="preserve"> </w:t>
      </w:r>
      <w:r w:rsidR="00BD42E2" w:rsidRPr="00945CCC">
        <w:rPr>
          <w:spacing w:val="-3"/>
        </w:rPr>
        <w:t xml:space="preserve">et un contrôle de ces satellites LEO, </w:t>
      </w:r>
      <w:r w:rsidR="00DB6AAD" w:rsidRPr="00945CCC">
        <w:rPr>
          <w:spacing w:val="-3"/>
        </w:rPr>
        <w:t xml:space="preserve">à la demande, en continu et presque en temps réel. </w:t>
      </w:r>
      <w:r w:rsidR="00DF272D" w:rsidRPr="00945CCC">
        <w:rPr>
          <w:spacing w:val="-3"/>
        </w:rPr>
        <w:t>N</w:t>
      </w:r>
      <w:r w:rsidR="006A22CE" w:rsidRPr="00945CCC">
        <w:rPr>
          <w:spacing w:val="-3"/>
        </w:rPr>
        <w:t>on seulement</w:t>
      </w:r>
      <w:r w:rsidR="00DF272D" w:rsidRPr="00945CCC">
        <w:rPr>
          <w:spacing w:val="-3"/>
        </w:rPr>
        <w:t>,</w:t>
      </w:r>
      <w:r w:rsidR="006A22CE" w:rsidRPr="00945CCC">
        <w:rPr>
          <w:spacing w:val="-3"/>
        </w:rPr>
        <w:t xml:space="preserve"> </w:t>
      </w:r>
      <w:r w:rsidR="00DB6AAD" w:rsidRPr="00945CCC">
        <w:rPr>
          <w:spacing w:val="-3"/>
        </w:rPr>
        <w:t>la sécurité et l'efficacité de l'exploitation des satellites LEO</w:t>
      </w:r>
      <w:r w:rsidR="00DF272D" w:rsidRPr="00945CCC">
        <w:rPr>
          <w:spacing w:val="-3"/>
        </w:rPr>
        <w:t xml:space="preserve"> se trouveront améliorées</w:t>
      </w:r>
      <w:r w:rsidR="00DB6AAD" w:rsidRPr="00945CCC">
        <w:rPr>
          <w:spacing w:val="-3"/>
        </w:rPr>
        <w:t xml:space="preserve">, mais </w:t>
      </w:r>
      <w:r w:rsidR="00DF272D" w:rsidRPr="00945CCC">
        <w:rPr>
          <w:spacing w:val="-3"/>
        </w:rPr>
        <w:t xml:space="preserve">de nouveaux cas </w:t>
      </w:r>
      <w:r w:rsidR="00DB6AAD" w:rsidRPr="00945CCC">
        <w:rPr>
          <w:spacing w:val="-3"/>
        </w:rPr>
        <w:t>d'utilis</w:t>
      </w:r>
      <w:r w:rsidR="00DF272D" w:rsidRPr="00945CCC">
        <w:rPr>
          <w:spacing w:val="-3"/>
        </w:rPr>
        <w:t xml:space="preserve">ation seront possibles pour les </w:t>
      </w:r>
      <w:r w:rsidR="00DB6AAD" w:rsidRPr="00945CCC">
        <w:rPr>
          <w:spacing w:val="-3"/>
        </w:rPr>
        <w:t>missions</w:t>
      </w:r>
      <w:r w:rsidR="00DF272D" w:rsidRPr="00945CCC">
        <w:rPr>
          <w:spacing w:val="-3"/>
        </w:rPr>
        <w:t xml:space="preserve"> des satellites</w:t>
      </w:r>
      <w:r w:rsidR="00DB6AAD" w:rsidRPr="00945CCC">
        <w:rPr>
          <w:spacing w:val="-3"/>
        </w:rPr>
        <w:t xml:space="preserve"> LEO, ce qui permettra </w:t>
      </w:r>
      <w:r w:rsidR="00DF272D" w:rsidRPr="00945CCC">
        <w:rPr>
          <w:spacing w:val="-3"/>
        </w:rPr>
        <w:t>de réaffecter l'utilisation de</w:t>
      </w:r>
      <w:r w:rsidR="00DB6AAD" w:rsidRPr="00945CCC">
        <w:rPr>
          <w:spacing w:val="-3"/>
        </w:rPr>
        <w:t xml:space="preserve"> ces satellites </w:t>
      </w:r>
      <w:r w:rsidR="00DF272D" w:rsidRPr="00945CCC">
        <w:rPr>
          <w:spacing w:val="-3"/>
        </w:rPr>
        <w:t>pour</w:t>
      </w:r>
      <w:r w:rsidR="00DB6AAD" w:rsidRPr="00945CCC">
        <w:rPr>
          <w:spacing w:val="-3"/>
        </w:rPr>
        <w:t xml:space="preserve"> de nombreuses applications innovantes et importantes et d'o</w:t>
      </w:r>
      <w:r w:rsidR="00DF272D" w:rsidRPr="00945CCC">
        <w:rPr>
          <w:spacing w:val="-3"/>
        </w:rPr>
        <w:t xml:space="preserve">ffrir des chances égales aux </w:t>
      </w:r>
      <w:r w:rsidR="00DB6AAD" w:rsidRPr="00945CCC">
        <w:rPr>
          <w:spacing w:val="-3"/>
        </w:rPr>
        <w:t xml:space="preserve">nouveaux acteurs </w:t>
      </w:r>
      <w:r w:rsidR="00DF272D" w:rsidRPr="00945CCC">
        <w:rPr>
          <w:spacing w:val="-3"/>
        </w:rPr>
        <w:t>partout dans le</w:t>
      </w:r>
      <w:r w:rsidR="00DB6AAD" w:rsidRPr="00945CCC">
        <w:rPr>
          <w:spacing w:val="-3"/>
        </w:rPr>
        <w:t xml:space="preserve"> monde.</w:t>
      </w:r>
    </w:p>
    <w:p w14:paraId="4F6834F7" w14:textId="699CB9D4" w:rsidR="00BD42E2" w:rsidRPr="00945CCC" w:rsidRDefault="00BD42E2" w:rsidP="005A2988">
      <w:pPr>
        <w:pStyle w:val="Headingb"/>
        <w:spacing w:before="80"/>
      </w:pPr>
      <w:r w:rsidRPr="00945CCC">
        <w:t>Propositions</w:t>
      </w:r>
    </w:p>
    <w:p w14:paraId="3C91F8A5" w14:textId="2CB8A1AE" w:rsidR="00BD42E2" w:rsidRPr="00945CCC" w:rsidRDefault="00BD42E2" w:rsidP="005A2988">
      <w:pPr>
        <w:spacing w:before="80"/>
      </w:pPr>
      <w:r w:rsidRPr="00945CCC">
        <w:t xml:space="preserve">Pour </w:t>
      </w:r>
      <w:r w:rsidR="006A22CE" w:rsidRPr="00945CCC">
        <w:t>répondre à ce besoin</w:t>
      </w:r>
      <w:r w:rsidRPr="00945CCC">
        <w:t>, il est proposé d'</w:t>
      </w:r>
      <w:r w:rsidR="00DF272D" w:rsidRPr="00945CCC">
        <w:t xml:space="preserve">inscrire </w:t>
      </w:r>
      <w:r w:rsidRPr="00945CCC">
        <w:t>un nouveau point de l'ordre du jour de la CMR</w:t>
      </w:r>
      <w:r w:rsidR="00DF272D" w:rsidRPr="00945CCC">
        <w:noBreakHyphen/>
      </w:r>
      <w:r w:rsidRPr="00945CCC">
        <w:t xml:space="preserve">23, </w:t>
      </w:r>
      <w:r w:rsidR="00DF272D" w:rsidRPr="00945CCC">
        <w:t xml:space="preserve">afin d'envisager </w:t>
      </w:r>
      <w:r w:rsidRPr="00945CCC">
        <w:t>une attribution au service mobile par satellite (espace-espace) dans les bandes de fréquences 1</w:t>
      </w:r>
      <w:r w:rsidR="00DF272D" w:rsidRPr="00945CCC">
        <w:t> </w:t>
      </w:r>
      <w:r w:rsidRPr="00945CCC">
        <w:t>518</w:t>
      </w:r>
      <w:r w:rsidR="00DF272D" w:rsidRPr="00945CCC">
        <w:noBreakHyphen/>
      </w:r>
      <w:r w:rsidRPr="00945CCC">
        <w:t>1</w:t>
      </w:r>
      <w:r w:rsidR="00DF272D" w:rsidRPr="00945CCC">
        <w:t> </w:t>
      </w:r>
      <w:r w:rsidRPr="00945CCC">
        <w:t>559</w:t>
      </w:r>
      <w:r w:rsidR="00DF272D" w:rsidRPr="00945CCC">
        <w:t> </w:t>
      </w:r>
      <w:r w:rsidRPr="00945CCC">
        <w:t>MHz, 1</w:t>
      </w:r>
      <w:r w:rsidR="00DF272D" w:rsidRPr="00945CCC">
        <w:t> </w:t>
      </w:r>
      <w:r w:rsidRPr="00945CCC">
        <w:t>626,</w:t>
      </w:r>
      <w:r w:rsidR="00DF272D" w:rsidRPr="00945CCC">
        <w:t>5</w:t>
      </w:r>
      <w:r w:rsidR="00DF272D" w:rsidRPr="00945CCC">
        <w:noBreakHyphen/>
      </w:r>
      <w:r w:rsidRPr="00945CCC">
        <w:t>1</w:t>
      </w:r>
      <w:r w:rsidR="00DF272D" w:rsidRPr="00945CCC">
        <w:t> </w:t>
      </w:r>
      <w:r w:rsidRPr="00945CCC">
        <w:t>660,5</w:t>
      </w:r>
      <w:r w:rsidR="00DF272D" w:rsidRPr="00945CCC">
        <w:t> </w:t>
      </w:r>
      <w:r w:rsidRPr="00945CCC">
        <w:t>MHz et 1</w:t>
      </w:r>
      <w:r w:rsidR="00DF272D" w:rsidRPr="00945CCC">
        <w:t> </w:t>
      </w:r>
      <w:r w:rsidRPr="00945CCC">
        <w:t>668</w:t>
      </w:r>
      <w:r w:rsidR="00DF272D" w:rsidRPr="00945CCC">
        <w:noBreakHyphen/>
      </w:r>
      <w:r w:rsidRPr="00945CCC">
        <w:t>1</w:t>
      </w:r>
      <w:r w:rsidR="00DF272D" w:rsidRPr="00945CCC">
        <w:t> </w:t>
      </w:r>
      <w:r w:rsidRPr="00945CCC">
        <w:t>675</w:t>
      </w:r>
      <w:r w:rsidR="00DF272D" w:rsidRPr="00945CCC">
        <w:t> </w:t>
      </w:r>
      <w:r w:rsidRPr="00945CCC">
        <w:t xml:space="preserve">MHz. </w:t>
      </w:r>
      <w:r w:rsidR="00DB6AAD" w:rsidRPr="00945CCC">
        <w:t>L'utilisation du service mobile par</w:t>
      </w:r>
      <w:r w:rsidRPr="00945CCC">
        <w:t xml:space="preserve"> satellite </w:t>
      </w:r>
      <w:r w:rsidR="00DB6AAD" w:rsidRPr="00945CCC">
        <w:t xml:space="preserve">entre stations spatiales </w:t>
      </w:r>
      <w:r w:rsidRPr="00945CCC">
        <w:t>(</w:t>
      </w:r>
      <w:r w:rsidR="00DB6AAD" w:rsidRPr="00945CCC">
        <w:t>e</w:t>
      </w:r>
      <w:r w:rsidRPr="00945CCC">
        <w:t>space-</w:t>
      </w:r>
      <w:r w:rsidR="00DB6AAD" w:rsidRPr="00945CCC">
        <w:t>e</w:t>
      </w:r>
      <w:r w:rsidRPr="00945CCC">
        <w:t xml:space="preserve">space) </w:t>
      </w:r>
      <w:r w:rsidR="006A22CE" w:rsidRPr="00945CCC">
        <w:t>est conforme à la dé</w:t>
      </w:r>
      <w:r w:rsidR="00DB6AAD" w:rsidRPr="00945CCC">
        <w:t xml:space="preserve">finition du service mobile par satellite (SMS) donnée au numéro </w:t>
      </w:r>
      <w:r w:rsidRPr="00945CCC">
        <w:rPr>
          <w:b/>
          <w:bCs/>
        </w:rPr>
        <w:t>1.25</w:t>
      </w:r>
      <w:r w:rsidRPr="00945CCC">
        <w:t xml:space="preserve"> </w:t>
      </w:r>
      <w:r w:rsidR="00DB6AAD" w:rsidRPr="00945CCC">
        <w:t>du Règlement des radiocommunications.</w:t>
      </w:r>
    </w:p>
    <w:p w14:paraId="6CCEB578" w14:textId="55808B28" w:rsidR="00BD42E2" w:rsidRPr="00945CCC" w:rsidRDefault="00DF272D" w:rsidP="005A2988">
      <w:pPr>
        <w:pStyle w:val="Headingb"/>
        <w:spacing w:before="80"/>
      </w:pPr>
      <w:r w:rsidRPr="00945CCC">
        <w:t>Étude p</w:t>
      </w:r>
      <w:r w:rsidR="00921E1A" w:rsidRPr="00945CCC">
        <w:t>ropos</w:t>
      </w:r>
      <w:r w:rsidRPr="00945CCC">
        <w:t>ée</w:t>
      </w:r>
    </w:p>
    <w:p w14:paraId="5114AA96" w14:textId="06E773E7" w:rsidR="00BD42E2" w:rsidRPr="00945CCC" w:rsidRDefault="006D193C" w:rsidP="005A2988">
      <w:pPr>
        <w:spacing w:before="80"/>
      </w:pPr>
      <w:r w:rsidRPr="00945CCC">
        <w:t>Il est proposé d'inscrire le</w:t>
      </w:r>
      <w:r w:rsidR="00DB6AAD" w:rsidRPr="00945CCC">
        <w:t xml:space="preserve"> point </w:t>
      </w:r>
      <w:r w:rsidRPr="00945CCC">
        <w:t xml:space="preserve">ci-après à </w:t>
      </w:r>
      <w:r w:rsidR="00DB6AAD" w:rsidRPr="00945CCC">
        <w:t>l'ordre du jour de la CMR</w:t>
      </w:r>
      <w:r w:rsidR="00131700" w:rsidRPr="00945CCC">
        <w:noBreakHyphen/>
      </w:r>
      <w:r w:rsidR="00DB6AAD" w:rsidRPr="00945CCC">
        <w:t xml:space="preserve">23, </w:t>
      </w:r>
      <w:r w:rsidR="00DF272D" w:rsidRPr="00945CCC">
        <w:t>conformément à un</w:t>
      </w:r>
      <w:r w:rsidR="006A22CE" w:rsidRPr="00945CCC">
        <w:t xml:space="preserve"> </w:t>
      </w:r>
      <w:r w:rsidRPr="00945CCC">
        <w:t xml:space="preserve">projet de </w:t>
      </w:r>
      <w:r w:rsidR="00DB6AAD" w:rsidRPr="00945CCC">
        <w:t>Résolution de la CMR</w:t>
      </w:r>
      <w:r w:rsidRPr="00945CCC">
        <w:t xml:space="preserve"> visant à envisager une attribution au service mobile par satellite (espace</w:t>
      </w:r>
      <w:r w:rsidR="00DF272D" w:rsidRPr="00945CCC">
        <w:noBreakHyphen/>
      </w:r>
      <w:r w:rsidRPr="00945CCC">
        <w:t>espace) dans les bandes de fréquences 1</w:t>
      </w:r>
      <w:r w:rsidR="00DF272D" w:rsidRPr="00945CCC">
        <w:t> </w:t>
      </w:r>
      <w:r w:rsidRPr="00945CCC">
        <w:t>518</w:t>
      </w:r>
      <w:r w:rsidR="00DF272D" w:rsidRPr="00945CCC">
        <w:noBreakHyphen/>
      </w:r>
      <w:r w:rsidRPr="00945CCC">
        <w:t>1</w:t>
      </w:r>
      <w:r w:rsidR="00DF272D" w:rsidRPr="00945CCC">
        <w:t> </w:t>
      </w:r>
      <w:r w:rsidRPr="00945CCC">
        <w:t>559 MHz, 1</w:t>
      </w:r>
      <w:r w:rsidR="00DF272D" w:rsidRPr="00945CCC">
        <w:t> </w:t>
      </w:r>
      <w:r w:rsidRPr="00945CCC">
        <w:t>626,5-1</w:t>
      </w:r>
      <w:r w:rsidR="00DF272D" w:rsidRPr="00945CCC">
        <w:t> </w:t>
      </w:r>
      <w:r w:rsidRPr="00945CCC">
        <w:t>660,</w:t>
      </w:r>
      <w:r w:rsidR="00BD42E2" w:rsidRPr="00945CCC">
        <w:t>5</w:t>
      </w:r>
      <w:r w:rsidR="00DF272D" w:rsidRPr="00945CCC">
        <w:t> </w:t>
      </w:r>
      <w:r w:rsidR="00BD42E2" w:rsidRPr="00945CCC">
        <w:t xml:space="preserve">MHz </w:t>
      </w:r>
      <w:r w:rsidRPr="00945CCC">
        <w:t xml:space="preserve">et </w:t>
      </w:r>
      <w:r w:rsidR="00BD42E2" w:rsidRPr="00945CCC">
        <w:t>1</w:t>
      </w:r>
      <w:r w:rsidR="00DF272D" w:rsidRPr="00945CCC">
        <w:t> </w:t>
      </w:r>
      <w:r w:rsidR="00BD42E2" w:rsidRPr="00945CCC">
        <w:t>668</w:t>
      </w:r>
      <w:r w:rsidR="00DF272D" w:rsidRPr="00945CCC">
        <w:noBreakHyphen/>
      </w:r>
      <w:r w:rsidR="00BD42E2" w:rsidRPr="00945CCC">
        <w:t>1</w:t>
      </w:r>
      <w:r w:rsidR="00DF272D" w:rsidRPr="00945CCC">
        <w:t> </w:t>
      </w:r>
      <w:r w:rsidR="00BD42E2" w:rsidRPr="00945CCC">
        <w:t>675</w:t>
      </w:r>
      <w:r w:rsidR="00DF272D" w:rsidRPr="00945CCC">
        <w:t> </w:t>
      </w:r>
      <w:r w:rsidR="00BD42E2" w:rsidRPr="00945CCC">
        <w:t>MHz.</w:t>
      </w:r>
      <w:r w:rsidR="006A22CE" w:rsidRPr="00945CCC">
        <w:t xml:space="preserve"> On trouvera ci-après la proposition, qui suit le modèle</w:t>
      </w:r>
      <w:r w:rsidRPr="00945CCC">
        <w:t xml:space="preserve"> fourni dans l'Annexe</w:t>
      </w:r>
      <w:r w:rsidR="00131700" w:rsidRPr="00945CCC">
        <w:t> </w:t>
      </w:r>
      <w:r w:rsidRPr="00945CCC">
        <w:t>2 de la Résolution</w:t>
      </w:r>
      <w:r w:rsidR="00A01012" w:rsidRPr="00945CCC">
        <w:t> </w:t>
      </w:r>
      <w:r w:rsidRPr="00945CCC">
        <w:rPr>
          <w:b/>
          <w:bCs/>
        </w:rPr>
        <w:t>804 (Rév.CMR-12)</w:t>
      </w:r>
      <w:r w:rsidRPr="00945CCC">
        <w:t>, ainsi qu'un projet de nouvelle Résolution de la CMR concernant ce nouveau point de l'ordre du jour.</w:t>
      </w:r>
    </w:p>
    <w:p w14:paraId="721F4490" w14:textId="61CE952E" w:rsidR="006D193C" w:rsidRPr="00945CCC" w:rsidRDefault="006D193C" w:rsidP="005A2988">
      <w:pPr>
        <w:spacing w:before="80"/>
      </w:pPr>
      <w:r w:rsidRPr="00945CCC">
        <w:t>Les administrations des États Membres sont invitées à env</w:t>
      </w:r>
      <w:r w:rsidR="006A22CE" w:rsidRPr="00945CCC">
        <w:t>isager l'inscription du point susmentionné</w:t>
      </w:r>
      <w:r w:rsidRPr="00945CCC">
        <w:t xml:space="preserve"> </w:t>
      </w:r>
      <w:r w:rsidR="00441A6A" w:rsidRPr="00945CCC">
        <w:t>au titre du</w:t>
      </w:r>
      <w:r w:rsidRPr="00945CCC">
        <w:t xml:space="preserve"> point 10 de l'ordre du jour, </w:t>
      </w:r>
      <w:r w:rsidR="00441A6A" w:rsidRPr="00945CCC">
        <w:t>pour permettre la fourniture de</w:t>
      </w:r>
      <w:r w:rsidRPr="00945CCC">
        <w:t xml:space="preserve"> liaisons de communication de donné</w:t>
      </w:r>
      <w:r w:rsidR="006A22CE" w:rsidRPr="00945CCC">
        <w:t>e</w:t>
      </w:r>
      <w:r w:rsidRPr="00945CCC">
        <w:t xml:space="preserve">s espace-espace conformément au numéro </w:t>
      </w:r>
      <w:r w:rsidRPr="00945CCC">
        <w:rPr>
          <w:b/>
        </w:rPr>
        <w:t>1.25</w:t>
      </w:r>
      <w:r w:rsidRPr="00945CCC">
        <w:t xml:space="preserve"> du Règlement des radiocommunications, en vue de l'exploitation efficace et effective des constellations de satellites non OSG et OSG.</w:t>
      </w:r>
    </w:p>
    <w:p w14:paraId="0D14E9C7" w14:textId="77777777" w:rsidR="00841249" w:rsidRPr="00945CCC" w:rsidRDefault="002462A1">
      <w:pPr>
        <w:pStyle w:val="Proposal"/>
      </w:pPr>
      <w:r w:rsidRPr="00945CCC">
        <w:lastRenderedPageBreak/>
        <w:t>ADD</w:t>
      </w:r>
      <w:r w:rsidRPr="00945CCC">
        <w:tab/>
        <w:t>SMO/75A24/1</w:t>
      </w:r>
    </w:p>
    <w:p w14:paraId="27FA17EE" w14:textId="29E03F37" w:rsidR="00BD42E2" w:rsidRPr="00945CCC" w:rsidRDefault="00BD42E2" w:rsidP="00BD42E2">
      <w:pPr>
        <w:pStyle w:val="ResNo"/>
      </w:pPr>
      <w:r w:rsidRPr="00945CCC">
        <w:t>projet de nouvelle résolution [SMO/MSS SAT LINKS IN L-BAND] (CMR</w:t>
      </w:r>
      <w:r w:rsidR="00131700" w:rsidRPr="00945CCC">
        <w:noBreakHyphen/>
      </w:r>
      <w:r w:rsidRPr="00945CCC">
        <w:t>19)</w:t>
      </w:r>
    </w:p>
    <w:p w14:paraId="245E6AB3" w14:textId="0870576A" w:rsidR="00BD42E2" w:rsidRPr="00945CCC" w:rsidRDefault="00317A0A" w:rsidP="00BD42E2">
      <w:pPr>
        <w:pStyle w:val="Restitle"/>
      </w:pPr>
      <w:r w:rsidRPr="00945CCC">
        <w:t xml:space="preserve">Envisager des attributions au service mobile par </w:t>
      </w:r>
      <w:r w:rsidR="00BD42E2" w:rsidRPr="00945CCC">
        <w:t>satellite (</w:t>
      </w:r>
      <w:r w:rsidRPr="00945CCC">
        <w:t>e</w:t>
      </w:r>
      <w:r w:rsidR="00BD42E2" w:rsidRPr="00945CCC">
        <w:t>space-</w:t>
      </w:r>
      <w:r w:rsidRPr="00945CCC">
        <w:t>e</w:t>
      </w:r>
      <w:r w:rsidR="00BD42E2" w:rsidRPr="00945CCC">
        <w:t xml:space="preserve">space) </w:t>
      </w:r>
      <w:r w:rsidRPr="00945CCC">
        <w:t xml:space="preserve">dans les bandes de fréquences </w:t>
      </w:r>
      <w:r w:rsidR="00BD42E2" w:rsidRPr="00945CCC">
        <w:t>1</w:t>
      </w:r>
      <w:r w:rsidR="00131700" w:rsidRPr="00945CCC">
        <w:t> </w:t>
      </w:r>
      <w:r w:rsidR="00BD42E2" w:rsidRPr="00945CCC">
        <w:t>518</w:t>
      </w:r>
      <w:r w:rsidR="00131700" w:rsidRPr="00945CCC">
        <w:noBreakHyphen/>
      </w:r>
      <w:r w:rsidR="00BD42E2" w:rsidRPr="00945CCC">
        <w:t>1</w:t>
      </w:r>
      <w:r w:rsidR="00131700" w:rsidRPr="00945CCC">
        <w:t> </w:t>
      </w:r>
      <w:r w:rsidR="00BD42E2" w:rsidRPr="00945CCC">
        <w:t>559</w:t>
      </w:r>
      <w:r w:rsidR="00131700" w:rsidRPr="00945CCC">
        <w:t> </w:t>
      </w:r>
      <w:r w:rsidR="00BD42E2" w:rsidRPr="00945CCC">
        <w:t>MHz, 1</w:t>
      </w:r>
      <w:r w:rsidR="00131700" w:rsidRPr="00945CCC">
        <w:t> </w:t>
      </w:r>
      <w:r w:rsidR="00BD42E2" w:rsidRPr="00945CCC">
        <w:t>626,5</w:t>
      </w:r>
      <w:r w:rsidR="00131700" w:rsidRPr="00945CCC">
        <w:noBreakHyphen/>
      </w:r>
      <w:r w:rsidR="00BD42E2" w:rsidRPr="00945CCC">
        <w:t>1</w:t>
      </w:r>
      <w:r w:rsidR="00131700" w:rsidRPr="00945CCC">
        <w:t> </w:t>
      </w:r>
      <w:r w:rsidR="00BD42E2" w:rsidRPr="00945CCC">
        <w:t>660,5</w:t>
      </w:r>
      <w:r w:rsidR="00131700" w:rsidRPr="00945CCC">
        <w:t> </w:t>
      </w:r>
      <w:r w:rsidR="00BD42E2" w:rsidRPr="00945CCC">
        <w:t xml:space="preserve">MHz </w:t>
      </w:r>
      <w:r w:rsidRPr="00945CCC">
        <w:t xml:space="preserve">et </w:t>
      </w:r>
      <w:r w:rsidR="00BD42E2" w:rsidRPr="00945CCC">
        <w:t>1</w:t>
      </w:r>
      <w:r w:rsidR="00131700" w:rsidRPr="00945CCC">
        <w:t> </w:t>
      </w:r>
      <w:r w:rsidR="00BD42E2" w:rsidRPr="00945CCC">
        <w:t>668</w:t>
      </w:r>
      <w:r w:rsidR="00131700" w:rsidRPr="00945CCC">
        <w:noBreakHyphen/>
      </w:r>
      <w:r w:rsidR="00BD42E2" w:rsidRPr="00945CCC">
        <w:t>1</w:t>
      </w:r>
      <w:r w:rsidR="00131700" w:rsidRPr="00945CCC">
        <w:t> </w:t>
      </w:r>
      <w:r w:rsidR="00BD42E2" w:rsidRPr="00945CCC">
        <w:t>675</w:t>
      </w:r>
      <w:r w:rsidR="00131700" w:rsidRPr="00945CCC">
        <w:t> </w:t>
      </w:r>
      <w:r w:rsidR="00BD42E2" w:rsidRPr="00945CCC">
        <w:t>MHz</w:t>
      </w:r>
    </w:p>
    <w:p w14:paraId="5859FBC0" w14:textId="39759BA2" w:rsidR="00841249" w:rsidRPr="00945CCC" w:rsidRDefault="00BD42E2" w:rsidP="005A2988">
      <w:pPr>
        <w:pStyle w:val="Normalaftertitle"/>
        <w:spacing w:line="235" w:lineRule="auto"/>
      </w:pPr>
      <w:r w:rsidRPr="00945CCC">
        <w:t>La Conférence mondiale des radiocommunications (Charm el-Cheikh, 2019),</w:t>
      </w:r>
    </w:p>
    <w:p w14:paraId="6FE06A4B" w14:textId="09CBF4A8" w:rsidR="00BD42E2" w:rsidRPr="00945CCC" w:rsidRDefault="00BD42E2" w:rsidP="005A2988">
      <w:pPr>
        <w:pStyle w:val="Call"/>
        <w:spacing w:line="235" w:lineRule="auto"/>
      </w:pPr>
      <w:r w:rsidRPr="00945CCC">
        <w:t>considérant</w:t>
      </w:r>
    </w:p>
    <w:p w14:paraId="70757F69" w14:textId="4D661940" w:rsidR="00BD42E2" w:rsidRPr="00945CCC" w:rsidRDefault="00BD42E2" w:rsidP="005A2988">
      <w:pPr>
        <w:spacing w:line="235" w:lineRule="auto"/>
      </w:pPr>
      <w:r w:rsidRPr="00945CCC">
        <w:rPr>
          <w:i/>
          <w:iCs/>
        </w:rPr>
        <w:t>a)</w:t>
      </w:r>
      <w:r w:rsidRPr="00945CCC">
        <w:tab/>
        <w:t xml:space="preserve">que la définition du service mobile par satellite (SMS) donnée au numéro </w:t>
      </w:r>
      <w:r w:rsidRPr="00945CCC">
        <w:rPr>
          <w:b/>
          <w:bCs/>
        </w:rPr>
        <w:t>1.25</w:t>
      </w:r>
      <w:r w:rsidRPr="00945CCC">
        <w:t xml:space="preserve"> du Règlement des radiocommunications comprend les communications entre stations spatiales;</w:t>
      </w:r>
    </w:p>
    <w:p w14:paraId="2541FF97" w14:textId="1A2092A1" w:rsidR="00BD42E2" w:rsidRPr="00945CCC" w:rsidRDefault="00BD42E2" w:rsidP="005A2988">
      <w:pPr>
        <w:spacing w:line="235" w:lineRule="auto"/>
      </w:pPr>
      <w:r w:rsidRPr="00945CCC">
        <w:rPr>
          <w:i/>
          <w:iCs/>
        </w:rPr>
        <w:t>b)</w:t>
      </w:r>
      <w:r w:rsidRPr="00945CCC">
        <w:tab/>
      </w:r>
      <w:r w:rsidR="00317A0A" w:rsidRPr="00945CCC">
        <w:t>que de nombreux</w:t>
      </w:r>
      <w:r w:rsidRPr="00945CCC">
        <w:t xml:space="preserve"> satellites </w:t>
      </w:r>
      <w:r w:rsidR="00317A0A" w:rsidRPr="00945CCC">
        <w:t xml:space="preserve">non géostationnaires (non OSG) fonctionnent </w:t>
      </w:r>
      <w:r w:rsidRPr="00945CCC">
        <w:t>avec un</w:t>
      </w:r>
      <w:r w:rsidR="00317A0A" w:rsidRPr="00945CCC">
        <w:t>e connectivité</w:t>
      </w:r>
      <w:r w:rsidRPr="00945CCC">
        <w:t xml:space="preserve"> limité</w:t>
      </w:r>
      <w:r w:rsidR="00317A0A" w:rsidRPr="00945CCC">
        <w:t>e</w:t>
      </w:r>
      <w:r w:rsidRPr="00945CCC">
        <w:t xml:space="preserve"> et en différé </w:t>
      </w:r>
      <w:r w:rsidR="00317A0A" w:rsidRPr="00945CCC">
        <w:t xml:space="preserve">avec </w:t>
      </w:r>
      <w:r w:rsidRPr="00945CCC">
        <w:t>de</w:t>
      </w:r>
      <w:r w:rsidR="00317A0A" w:rsidRPr="00945CCC">
        <w:t>s</w:t>
      </w:r>
      <w:r w:rsidRPr="00945CCC">
        <w:t xml:space="preserve"> stations terriennes;</w:t>
      </w:r>
    </w:p>
    <w:p w14:paraId="3F4CFD6A" w14:textId="5F1F8306" w:rsidR="00BD42E2" w:rsidRPr="00945CCC" w:rsidRDefault="00BD42E2" w:rsidP="005A2988">
      <w:pPr>
        <w:spacing w:line="235" w:lineRule="auto"/>
      </w:pPr>
      <w:r w:rsidRPr="00945CCC">
        <w:rPr>
          <w:i/>
          <w:iCs/>
        </w:rPr>
        <w:t>c)</w:t>
      </w:r>
      <w:r w:rsidRPr="00945CCC">
        <w:tab/>
      </w:r>
      <w:r w:rsidR="00317A0A" w:rsidRPr="00945CCC">
        <w:t xml:space="preserve">que </w:t>
      </w:r>
      <w:r w:rsidR="00441A6A" w:rsidRPr="00945CCC">
        <w:t>d</w:t>
      </w:r>
      <w:r w:rsidR="00317A0A" w:rsidRPr="00945CCC">
        <w:t>es communications espace-espace entre ces satellites non OSG et les satellites géostationnaires (OSG) du SMS permettraient d'améliorer la sécurité et l'efficacité d'exploitation</w:t>
      </w:r>
      <w:r w:rsidR="00FF3CBA" w:rsidRPr="00945CCC">
        <w:t>;</w:t>
      </w:r>
    </w:p>
    <w:p w14:paraId="650291FF" w14:textId="26B06174" w:rsidR="00317A0A" w:rsidRPr="00945CCC" w:rsidRDefault="00BD42E2" w:rsidP="005A2988">
      <w:pPr>
        <w:spacing w:line="235" w:lineRule="auto"/>
      </w:pPr>
      <w:r w:rsidRPr="00945CCC">
        <w:rPr>
          <w:i/>
          <w:iCs/>
        </w:rPr>
        <w:t>d)</w:t>
      </w:r>
      <w:r w:rsidRPr="00945CCC">
        <w:tab/>
      </w:r>
      <w:r w:rsidR="00317A0A" w:rsidRPr="00945CCC">
        <w:t>que les satellites OSG du SMS fonctionnant dans les bandes de fréquences 1</w:t>
      </w:r>
      <w:r w:rsidR="00131700" w:rsidRPr="00945CCC">
        <w:t> </w:t>
      </w:r>
      <w:r w:rsidR="00317A0A" w:rsidRPr="00945CCC">
        <w:t>518</w:t>
      </w:r>
      <w:r w:rsidR="00131700" w:rsidRPr="00945CCC">
        <w:noBreakHyphen/>
      </w:r>
      <w:r w:rsidR="00317A0A" w:rsidRPr="00945CCC">
        <w:t>1</w:t>
      </w:r>
      <w:r w:rsidR="00131700" w:rsidRPr="00945CCC">
        <w:t> </w:t>
      </w:r>
      <w:r w:rsidR="00317A0A" w:rsidRPr="00945CCC">
        <w:t>559</w:t>
      </w:r>
      <w:r w:rsidR="00131700" w:rsidRPr="00945CCC">
        <w:t> </w:t>
      </w:r>
      <w:r w:rsidR="00317A0A" w:rsidRPr="00945CCC">
        <w:t>MHz, 1</w:t>
      </w:r>
      <w:r w:rsidR="00131700" w:rsidRPr="00945CCC">
        <w:t> </w:t>
      </w:r>
      <w:r w:rsidR="00317A0A" w:rsidRPr="00945CCC">
        <w:t>626,5</w:t>
      </w:r>
      <w:r w:rsidR="00131700" w:rsidRPr="00945CCC">
        <w:noBreakHyphen/>
      </w:r>
      <w:r w:rsidR="00317A0A" w:rsidRPr="00945CCC">
        <w:t>1</w:t>
      </w:r>
      <w:r w:rsidR="00131700" w:rsidRPr="00945CCC">
        <w:t> </w:t>
      </w:r>
      <w:r w:rsidR="00317A0A" w:rsidRPr="00945CCC">
        <w:t>660,5</w:t>
      </w:r>
      <w:r w:rsidR="00131700" w:rsidRPr="00945CCC">
        <w:t> </w:t>
      </w:r>
      <w:r w:rsidR="00317A0A" w:rsidRPr="00945CCC">
        <w:t>MHz et 1</w:t>
      </w:r>
      <w:r w:rsidR="00131700" w:rsidRPr="00945CCC">
        <w:t> </w:t>
      </w:r>
      <w:r w:rsidR="00317A0A" w:rsidRPr="00945CCC">
        <w:t>668</w:t>
      </w:r>
      <w:r w:rsidR="00131700" w:rsidRPr="00945CCC">
        <w:noBreakHyphen/>
      </w:r>
      <w:r w:rsidR="00317A0A" w:rsidRPr="00945CCC">
        <w:t>1</w:t>
      </w:r>
      <w:r w:rsidR="00131700" w:rsidRPr="00945CCC">
        <w:t> </w:t>
      </w:r>
      <w:r w:rsidR="00317A0A" w:rsidRPr="00945CCC">
        <w:t>675</w:t>
      </w:r>
      <w:r w:rsidR="00131700" w:rsidRPr="00945CCC">
        <w:t> </w:t>
      </w:r>
      <w:r w:rsidR="00317A0A" w:rsidRPr="00945CCC">
        <w:t>MHz peuvent prendre en charge ce type d'exploitation;</w:t>
      </w:r>
    </w:p>
    <w:p w14:paraId="07D04070" w14:textId="555026E6" w:rsidR="00BD42E2" w:rsidRPr="00945CCC" w:rsidRDefault="00BD42E2" w:rsidP="005A2988">
      <w:pPr>
        <w:spacing w:line="235" w:lineRule="auto"/>
      </w:pPr>
      <w:r w:rsidRPr="00945CCC">
        <w:rPr>
          <w:i/>
          <w:iCs/>
        </w:rPr>
        <w:t>e)</w:t>
      </w:r>
      <w:r w:rsidRPr="00945CCC">
        <w:tab/>
      </w:r>
      <w:r w:rsidR="00317A0A" w:rsidRPr="00945CCC">
        <w:t xml:space="preserve">que les bandes de fréquences susmentionnées sont actuellement attribuées au SMS (espace vers Terre) </w:t>
      </w:r>
      <w:r w:rsidR="00441A6A" w:rsidRPr="00945CCC">
        <w:t>ou</w:t>
      </w:r>
      <w:r w:rsidR="00317A0A" w:rsidRPr="00945CCC">
        <w:t xml:space="preserve"> au SMS (Terre vers espace), mais pas au SMS (espace-espace);</w:t>
      </w:r>
    </w:p>
    <w:p w14:paraId="5B44ABFA" w14:textId="2E260609" w:rsidR="00BD42E2" w:rsidRPr="00945CCC" w:rsidRDefault="00BD42E2" w:rsidP="005A2988">
      <w:pPr>
        <w:spacing w:line="235" w:lineRule="auto"/>
      </w:pPr>
      <w:r w:rsidRPr="00945CCC">
        <w:rPr>
          <w:i/>
          <w:iCs/>
        </w:rPr>
        <w:t>f)</w:t>
      </w:r>
      <w:r w:rsidRPr="00945CCC">
        <w:tab/>
      </w:r>
      <w:r w:rsidR="00317A0A" w:rsidRPr="00945CCC">
        <w:t>que l'UIT-R a entrepris des études préliminaires sur les questions techniques et opérationnelles associées à l'exploitation des liaisons espace-espace entre les satellites non OSG et les satellites OSG du SMS dans les bandes de fréquences susmentionnées</w:t>
      </w:r>
      <w:r w:rsidRPr="00945CCC">
        <w:t>,</w:t>
      </w:r>
    </w:p>
    <w:p w14:paraId="748684DC" w14:textId="0CE19323" w:rsidR="00BD42E2" w:rsidRPr="00945CCC" w:rsidRDefault="00BD42E2" w:rsidP="005A2988">
      <w:pPr>
        <w:pStyle w:val="Call"/>
        <w:spacing w:line="235" w:lineRule="auto"/>
      </w:pPr>
      <w:r w:rsidRPr="00945CCC">
        <w:t>reconnaissant</w:t>
      </w:r>
    </w:p>
    <w:p w14:paraId="03C2514D" w14:textId="69AF4075" w:rsidR="00317A0A" w:rsidRPr="00945CCC" w:rsidRDefault="00317A0A" w:rsidP="005A2988">
      <w:pPr>
        <w:spacing w:line="235" w:lineRule="auto"/>
      </w:pPr>
      <w:r w:rsidRPr="00945CCC">
        <w:t>qu'il est nécessaire d'étudier l</w:t>
      </w:r>
      <w:r w:rsidR="00441A6A" w:rsidRPr="00945CCC">
        <w:t xml:space="preserve">a possible </w:t>
      </w:r>
      <w:r w:rsidRPr="00945CCC">
        <w:t>exploitation du SMS (espace-espace) dans les bandes de fréquences susmentionnées pour garantir la compatibilité avec tous les services bénéficiant d'attributions dans ces bandes et éviter les brouillages préjudiciables,</w:t>
      </w:r>
    </w:p>
    <w:p w14:paraId="0DB740FB" w14:textId="19B49B96" w:rsidR="00BD42E2" w:rsidRPr="00945CCC" w:rsidRDefault="00BD42E2" w:rsidP="005A2988">
      <w:pPr>
        <w:pStyle w:val="Call"/>
        <w:spacing w:line="235" w:lineRule="auto"/>
      </w:pPr>
      <w:r w:rsidRPr="00945CCC">
        <w:t>notant</w:t>
      </w:r>
    </w:p>
    <w:p w14:paraId="7087032F" w14:textId="0627AC32" w:rsidR="00BD42E2" w:rsidRPr="00945CCC" w:rsidRDefault="00BD42E2" w:rsidP="005A2988">
      <w:pPr>
        <w:spacing w:line="235" w:lineRule="auto"/>
      </w:pPr>
      <w:r w:rsidRPr="00945CCC">
        <w:rPr>
          <w:i/>
          <w:iCs/>
        </w:rPr>
        <w:t>a)</w:t>
      </w:r>
      <w:r w:rsidRPr="00945CCC">
        <w:tab/>
      </w:r>
      <w:r w:rsidR="00317A0A" w:rsidRPr="00945CCC">
        <w:t>qu'au §</w:t>
      </w:r>
      <w:r w:rsidR="00131700" w:rsidRPr="00945CCC">
        <w:t> </w:t>
      </w:r>
      <w:r w:rsidR="00317A0A" w:rsidRPr="00945CCC">
        <w:t>3.1.3.2 du Rapport du Directeur à la CMR-19 sur les activités du Secteur des radiocommunications, il est indiqué que le Bureau reçoit un nombre croissant de renseignements pour la publication anticipée (API) concernant des réseaux à satellite non géostationnaire dans des bandes de fréquences qui ne sont pas attribuées, en vertu de l'Article</w:t>
      </w:r>
      <w:r w:rsidR="0054200B" w:rsidRPr="00945CCC">
        <w:t> </w:t>
      </w:r>
      <w:r w:rsidR="00317A0A" w:rsidRPr="00945CCC">
        <w:rPr>
          <w:b/>
        </w:rPr>
        <w:t>5</w:t>
      </w:r>
      <w:r w:rsidR="00317A0A" w:rsidRPr="00945CCC">
        <w:t xml:space="preserve"> du Règlement des radiocommunications, pour le type de service prévu, y compris des fiches de notification de réseaux à satellite pour des applications inter-satellites dans des bandes attribuées uniquement dans les sens Terre vers espace et espace vers Terre</w:t>
      </w:r>
      <w:r w:rsidRPr="00945CCC">
        <w:t>;</w:t>
      </w:r>
    </w:p>
    <w:p w14:paraId="56DE7928" w14:textId="31030220" w:rsidR="007C4F98" w:rsidRPr="00945CCC" w:rsidRDefault="007C4F98" w:rsidP="005A2988">
      <w:pPr>
        <w:spacing w:line="235" w:lineRule="auto"/>
      </w:pPr>
      <w:r w:rsidRPr="00945CCC">
        <w:rPr>
          <w:i/>
          <w:iCs/>
        </w:rPr>
        <w:t>b)</w:t>
      </w:r>
      <w:r w:rsidRPr="00945CCC">
        <w:tab/>
      </w:r>
      <w:r w:rsidR="00317A0A" w:rsidRPr="00945CCC">
        <w:t>que, dans ce même rapport, il est conclu que</w:t>
      </w:r>
      <w:r w:rsidR="00441A6A" w:rsidRPr="00945CCC">
        <w:t>,</w:t>
      </w:r>
      <w:r w:rsidR="00317A0A" w:rsidRPr="00945CCC">
        <w:t xml:space="preserve"> compte tenu des progrès techniques récents et du nombre croissant de soumissions de liaisons inter-satellites dans des bandes de fréquences qui ne sont pas attribuées au service inter-satellites ou à un service spatial dans le sens espace-espace, la Conférence voudra peut-être réfléchir à la manière de reconnaître ces utilisations, sur la base des conditions découlant des études des Groupes de travail 4A et 4C de l'UIT-R, afin d'éviter que des brouillages ne soient causés aux systèmes existants fonctionnant dans les mêmes bandes de fréquences,</w:t>
      </w:r>
    </w:p>
    <w:p w14:paraId="7269A537" w14:textId="2990CF71" w:rsidR="007C4F98" w:rsidRPr="00945CCC" w:rsidRDefault="007C4F98" w:rsidP="007C4F98">
      <w:pPr>
        <w:pStyle w:val="Call"/>
      </w:pPr>
      <w:r w:rsidRPr="00945CCC">
        <w:lastRenderedPageBreak/>
        <w:t>décide d'inviter l'UIT-R</w:t>
      </w:r>
    </w:p>
    <w:p w14:paraId="3372E03E" w14:textId="075AD4A5" w:rsidR="007C4F98" w:rsidRPr="00945CCC" w:rsidRDefault="007C4F98" w:rsidP="00BD42E2">
      <w:r w:rsidRPr="00945CCC">
        <w:t>1</w:t>
      </w:r>
      <w:r w:rsidRPr="00945CCC">
        <w:tab/>
        <w:t>à étudier les caractéristiques techniques et opérationnelles des différents types de stations spatiales non OSG qui exploitent ou devraient exploiter des liaisons espace-espace avec des réseaux OSG du SMS dans les bandes de fréquences 1</w:t>
      </w:r>
      <w:r w:rsidR="00131700" w:rsidRPr="00945CCC">
        <w:t> </w:t>
      </w:r>
      <w:r w:rsidRPr="00945CCC">
        <w:t>518</w:t>
      </w:r>
      <w:r w:rsidR="00131700" w:rsidRPr="00945CCC">
        <w:noBreakHyphen/>
      </w:r>
      <w:r w:rsidRPr="00945CCC">
        <w:t>1</w:t>
      </w:r>
      <w:r w:rsidR="00131700" w:rsidRPr="00945CCC">
        <w:t> </w:t>
      </w:r>
      <w:r w:rsidRPr="00945CCC">
        <w:t>559</w:t>
      </w:r>
      <w:r w:rsidR="00131700" w:rsidRPr="00945CCC">
        <w:t> </w:t>
      </w:r>
      <w:r w:rsidRPr="00945CCC">
        <w:t>MHz, 1</w:t>
      </w:r>
      <w:r w:rsidR="00131700" w:rsidRPr="00945CCC">
        <w:t> </w:t>
      </w:r>
      <w:r w:rsidRPr="00945CCC">
        <w:t>626,5</w:t>
      </w:r>
      <w:r w:rsidR="00131700" w:rsidRPr="00945CCC">
        <w:noBreakHyphen/>
      </w:r>
      <w:r w:rsidRPr="00945CCC">
        <w:t>1</w:t>
      </w:r>
      <w:r w:rsidR="00131700" w:rsidRPr="00945CCC">
        <w:t> </w:t>
      </w:r>
      <w:r w:rsidRPr="00945CCC">
        <w:t>660,5</w:t>
      </w:r>
      <w:r w:rsidR="00131700" w:rsidRPr="00945CCC">
        <w:t> </w:t>
      </w:r>
      <w:r w:rsidRPr="00945CCC">
        <w:t>MHz et 1 668</w:t>
      </w:r>
      <w:r w:rsidR="00131700" w:rsidRPr="00945CCC">
        <w:noBreakHyphen/>
      </w:r>
      <w:r w:rsidRPr="00945CCC">
        <w:t>1</w:t>
      </w:r>
      <w:r w:rsidR="00131700" w:rsidRPr="00945CCC">
        <w:t> </w:t>
      </w:r>
      <w:r w:rsidRPr="00945CCC">
        <w:t>675</w:t>
      </w:r>
      <w:r w:rsidR="00131700" w:rsidRPr="00945CCC">
        <w:t> </w:t>
      </w:r>
      <w:r w:rsidRPr="00945CCC">
        <w:t>MHz;</w:t>
      </w:r>
    </w:p>
    <w:p w14:paraId="0497EB7F" w14:textId="5FAF6196" w:rsidR="007C4F98" w:rsidRPr="00945CCC" w:rsidRDefault="007C4F98" w:rsidP="002177A0">
      <w:r w:rsidRPr="00945CCC">
        <w:t>2</w:t>
      </w:r>
      <w:r w:rsidRPr="00945CCC">
        <w:tab/>
      </w:r>
      <w:r w:rsidR="002177A0" w:rsidRPr="00945CCC">
        <w:t>à mener des études de partage et de compatibilité entre, d'une part, les liaisons espace</w:t>
      </w:r>
      <w:r w:rsidR="005A2988" w:rsidRPr="00945CCC">
        <w:noBreakHyphen/>
      </w:r>
      <w:r w:rsidR="002177A0" w:rsidRPr="00945CCC">
        <w:t>espace entre les stations spatiales non OSG et OSG dans les bandes de fréquences susmentionnées et, d'autre part, les stations existantes ou en projet des services bénéficiant actuellement d'attributions dans les mêmes bandes de fréquences, afin de garantir leur compatibilité technique;</w:t>
      </w:r>
    </w:p>
    <w:p w14:paraId="6FF312FC" w14:textId="273B8017" w:rsidR="007C4F98" w:rsidRPr="00945CCC" w:rsidRDefault="007C4F98" w:rsidP="00BD42E2">
      <w:r w:rsidRPr="00945CCC">
        <w:t>3</w:t>
      </w:r>
      <w:r w:rsidRPr="00945CCC">
        <w:tab/>
      </w:r>
      <w:r w:rsidR="002177A0" w:rsidRPr="00945CCC">
        <w:t xml:space="preserve">à </w:t>
      </w:r>
      <w:r w:rsidR="00441A6A" w:rsidRPr="00945CCC">
        <w:t>élaborer</w:t>
      </w:r>
      <w:r w:rsidR="002177A0" w:rsidRPr="00945CCC">
        <w:t xml:space="preserve"> des conditions techniques et des dispositions réglementaires pour l'exploitation des liaisons espace-espace dans ces bandes de fréquences, y compris des attributions nouvelles ou révisées, selon qu'il conviendra, compte tenu des résultats des études;</w:t>
      </w:r>
    </w:p>
    <w:p w14:paraId="631925A1" w14:textId="2816AF86" w:rsidR="007C4F98" w:rsidRPr="00945CCC" w:rsidRDefault="007C4F98" w:rsidP="00BD42E2">
      <w:r w:rsidRPr="00945CCC">
        <w:t>4</w:t>
      </w:r>
      <w:r w:rsidRPr="00945CCC">
        <w:tab/>
        <w:t>à terminer ces études avant la Conférence mondiale des radiocommunications de 2023,</w:t>
      </w:r>
    </w:p>
    <w:p w14:paraId="095877C8" w14:textId="0538EA5F" w:rsidR="007C4F98" w:rsidRPr="00945CCC" w:rsidRDefault="007C4F98" w:rsidP="007C4F98">
      <w:pPr>
        <w:pStyle w:val="Call"/>
      </w:pPr>
      <w:r w:rsidRPr="00945CCC">
        <w:t>invite les administrations</w:t>
      </w:r>
    </w:p>
    <w:p w14:paraId="07A6857F" w14:textId="77777777" w:rsidR="007C4F98" w:rsidRPr="00945CCC" w:rsidRDefault="007C4F98" w:rsidP="007C4F98">
      <w:pPr>
        <w:rPr>
          <w:iCs/>
        </w:rPr>
      </w:pPr>
      <w:r w:rsidRPr="00945CCC">
        <w:rPr>
          <w:iCs/>
        </w:rPr>
        <w:t>à participer aux études et à fournir des contributions,</w:t>
      </w:r>
    </w:p>
    <w:p w14:paraId="1A5C183B" w14:textId="77777777" w:rsidR="007C4F98" w:rsidRPr="00945CCC" w:rsidRDefault="007C4F98" w:rsidP="007C4F98">
      <w:pPr>
        <w:pStyle w:val="Call"/>
      </w:pPr>
      <w:r w:rsidRPr="00945CCC">
        <w:t>décide d'inviter la Conférence mondiale des radiocommunications de 2023</w:t>
      </w:r>
    </w:p>
    <w:p w14:paraId="5A1A40A9" w14:textId="5D7F62C7" w:rsidR="007C4F98" w:rsidRPr="00945CCC" w:rsidRDefault="007C4F98" w:rsidP="007C4F98">
      <w:pPr>
        <w:rPr>
          <w:iCs/>
        </w:rPr>
      </w:pPr>
      <w:r w:rsidRPr="00945CCC">
        <w:rPr>
          <w:iCs/>
        </w:rPr>
        <w:t>à examiner les résultats des études susmentionnées et à prendre les mesures réglementaires nécessaires, le cas échéant.</w:t>
      </w:r>
    </w:p>
    <w:p w14:paraId="7AFD61A1" w14:textId="77777777" w:rsidR="00752264" w:rsidRPr="00945CCC" w:rsidRDefault="00752264" w:rsidP="00752264">
      <w:pPr>
        <w:pStyle w:val="Reasons"/>
      </w:pPr>
    </w:p>
    <w:p w14:paraId="7B204266" w14:textId="35BD8488" w:rsidR="007C4F98" w:rsidRPr="00945CCC" w:rsidRDefault="007C4F98" w:rsidP="00C57753">
      <w:pPr>
        <w:pStyle w:val="AppendixNo"/>
        <w:spacing w:after="140" w:line="235" w:lineRule="auto"/>
      </w:pPr>
      <w:r w:rsidRPr="00945CCC">
        <w:t>pièce jointe</w:t>
      </w:r>
    </w:p>
    <w:tbl>
      <w:tblPr>
        <w:tblStyle w:val="TableGrid"/>
        <w:tblpPr w:leftFromText="180" w:rightFromText="180" w:vertAnchor="text" w:tblpX="-84" w:tblpY="1"/>
        <w:tblOverlap w:val="never"/>
        <w:tblW w:w="9723" w:type="dxa"/>
        <w:tblLook w:val="04A0" w:firstRow="1" w:lastRow="0" w:firstColumn="1" w:lastColumn="0" w:noHBand="0" w:noVBand="1"/>
      </w:tblPr>
      <w:tblGrid>
        <w:gridCol w:w="4627"/>
        <w:gridCol w:w="5096"/>
      </w:tblGrid>
      <w:tr w:rsidR="007E59AF" w:rsidRPr="00945CCC" w14:paraId="4B0D21E1" w14:textId="77777777" w:rsidTr="00C57753">
        <w:tc>
          <w:tcPr>
            <w:tcW w:w="9723" w:type="dxa"/>
            <w:gridSpan w:val="2"/>
            <w:tcBorders>
              <w:top w:val="nil"/>
              <w:left w:val="nil"/>
              <w:bottom w:val="nil"/>
              <w:right w:val="nil"/>
            </w:tcBorders>
          </w:tcPr>
          <w:p w14:paraId="06C1EADB" w14:textId="77777777" w:rsidR="00C57753" w:rsidRPr="00945CCC" w:rsidRDefault="007E59AF" w:rsidP="00752264">
            <w:pPr>
              <w:spacing w:after="120"/>
              <w:rPr>
                <w:b/>
                <w:bCs/>
              </w:rPr>
            </w:pPr>
            <w:r w:rsidRPr="00945CCC">
              <w:rPr>
                <w:b/>
                <w:bCs/>
                <w:i/>
                <w:iCs/>
              </w:rPr>
              <w:t>Objet</w:t>
            </w:r>
            <w:r w:rsidRPr="00945CCC">
              <w:rPr>
                <w:b/>
                <w:bCs/>
              </w:rPr>
              <w:t>:</w:t>
            </w:r>
          </w:p>
          <w:p w14:paraId="0FDDCCF9" w14:textId="00EC5D3F" w:rsidR="007E59AF" w:rsidRPr="00945CCC" w:rsidRDefault="007E59AF" w:rsidP="00752264">
            <w:pPr>
              <w:spacing w:after="120"/>
              <w:rPr>
                <w:b/>
                <w:bCs/>
                <w:i/>
                <w:iCs/>
              </w:rPr>
            </w:pPr>
            <w:r w:rsidRPr="00945CCC">
              <w:t>Envisager des attributions au service mobile par satellite (espace-espace) dans les bandes de fréquences 1 518</w:t>
            </w:r>
            <w:r w:rsidRPr="00945CCC">
              <w:noBreakHyphen/>
              <w:t>1 559 MHz, 1 626,5</w:t>
            </w:r>
            <w:r w:rsidRPr="00945CCC">
              <w:noBreakHyphen/>
              <w:t>1 660,5 MHz et 1 668</w:t>
            </w:r>
            <w:r w:rsidRPr="00945CCC">
              <w:noBreakHyphen/>
              <w:t>1 675 MHz.</w:t>
            </w:r>
          </w:p>
        </w:tc>
      </w:tr>
      <w:tr w:rsidR="007E59AF" w:rsidRPr="00945CCC" w14:paraId="6A1EB88A" w14:textId="77777777" w:rsidTr="00C57753">
        <w:tc>
          <w:tcPr>
            <w:tcW w:w="9723" w:type="dxa"/>
            <w:gridSpan w:val="2"/>
            <w:tcBorders>
              <w:top w:val="nil"/>
              <w:left w:val="nil"/>
              <w:bottom w:val="single" w:sz="4" w:space="0" w:color="auto"/>
              <w:right w:val="nil"/>
            </w:tcBorders>
          </w:tcPr>
          <w:p w14:paraId="252DD3AF" w14:textId="2CB1A2C1" w:rsidR="007E59AF" w:rsidRPr="00945CCC" w:rsidRDefault="007E59AF" w:rsidP="00752264">
            <w:pPr>
              <w:spacing w:after="120"/>
              <w:rPr>
                <w:b/>
                <w:bCs/>
                <w:i/>
                <w:iCs/>
              </w:rPr>
            </w:pPr>
            <w:r w:rsidRPr="00945CCC">
              <w:rPr>
                <w:b/>
                <w:bCs/>
                <w:i/>
                <w:iCs/>
              </w:rPr>
              <w:t>Origine</w:t>
            </w:r>
            <w:r w:rsidRPr="00945CCC">
              <w:rPr>
                <w:b/>
                <w:bCs/>
              </w:rPr>
              <w:t>:</w:t>
            </w:r>
            <w:r w:rsidRPr="00945CCC">
              <w:t xml:space="preserve"> Samoa</w:t>
            </w:r>
          </w:p>
        </w:tc>
      </w:tr>
      <w:tr w:rsidR="007C4F98" w:rsidRPr="00945CCC" w14:paraId="18215F06" w14:textId="77777777" w:rsidTr="00D60D6A">
        <w:tc>
          <w:tcPr>
            <w:tcW w:w="9723" w:type="dxa"/>
            <w:gridSpan w:val="2"/>
            <w:tcBorders>
              <w:top w:val="single" w:sz="4" w:space="0" w:color="auto"/>
              <w:left w:val="nil"/>
              <w:bottom w:val="single" w:sz="4" w:space="0" w:color="auto"/>
              <w:right w:val="nil"/>
            </w:tcBorders>
          </w:tcPr>
          <w:p w14:paraId="1FA03E3D" w14:textId="77777777" w:rsidR="007C4F98" w:rsidRPr="00945CCC" w:rsidRDefault="007C4F98" w:rsidP="00752264">
            <w:pPr>
              <w:spacing w:before="80"/>
            </w:pPr>
            <w:r w:rsidRPr="00945CCC">
              <w:rPr>
                <w:b/>
                <w:bCs/>
                <w:i/>
                <w:iCs/>
              </w:rPr>
              <w:t>Proposition</w:t>
            </w:r>
            <w:r w:rsidRPr="00945CCC">
              <w:rPr>
                <w:b/>
                <w:bCs/>
              </w:rPr>
              <w:t>:</w:t>
            </w:r>
          </w:p>
          <w:p w14:paraId="61807550" w14:textId="28723FFB" w:rsidR="007C4F98" w:rsidRPr="00945CCC" w:rsidRDefault="002177A0" w:rsidP="00752264">
            <w:pPr>
              <w:spacing w:after="120"/>
              <w:rPr>
                <w:bCs/>
                <w:iCs/>
              </w:rPr>
            </w:pPr>
            <w:r w:rsidRPr="00945CCC">
              <w:rPr>
                <w:bCs/>
                <w:iCs/>
              </w:rPr>
              <w:t xml:space="preserve">Envisager </w:t>
            </w:r>
            <w:r w:rsidR="00131700" w:rsidRPr="00945CCC">
              <w:rPr>
                <w:bCs/>
                <w:iCs/>
              </w:rPr>
              <w:t xml:space="preserve">une </w:t>
            </w:r>
            <w:r w:rsidR="002462A1" w:rsidRPr="00945CCC">
              <w:rPr>
                <w:bCs/>
                <w:iCs/>
              </w:rPr>
              <w:t xml:space="preserve">attribution </w:t>
            </w:r>
            <w:r w:rsidR="00131700" w:rsidRPr="00945CCC">
              <w:rPr>
                <w:bCs/>
                <w:iCs/>
              </w:rPr>
              <w:t>dans les</w:t>
            </w:r>
            <w:r w:rsidR="002462A1" w:rsidRPr="00945CCC">
              <w:rPr>
                <w:bCs/>
                <w:iCs/>
              </w:rPr>
              <w:t xml:space="preserve"> bandes de fréquences 1</w:t>
            </w:r>
            <w:r w:rsidR="00131700" w:rsidRPr="00945CCC">
              <w:rPr>
                <w:bCs/>
                <w:iCs/>
              </w:rPr>
              <w:t> </w:t>
            </w:r>
            <w:r w:rsidR="002462A1" w:rsidRPr="00945CCC">
              <w:rPr>
                <w:bCs/>
                <w:iCs/>
              </w:rPr>
              <w:t>518</w:t>
            </w:r>
            <w:r w:rsidR="00131700" w:rsidRPr="00945CCC">
              <w:rPr>
                <w:bCs/>
                <w:iCs/>
              </w:rPr>
              <w:noBreakHyphen/>
            </w:r>
            <w:r w:rsidR="002462A1" w:rsidRPr="00945CCC">
              <w:rPr>
                <w:bCs/>
                <w:iCs/>
              </w:rPr>
              <w:t>1</w:t>
            </w:r>
            <w:r w:rsidR="00131700" w:rsidRPr="00945CCC">
              <w:rPr>
                <w:bCs/>
                <w:iCs/>
              </w:rPr>
              <w:t> </w:t>
            </w:r>
            <w:r w:rsidR="002462A1" w:rsidRPr="00945CCC">
              <w:rPr>
                <w:bCs/>
                <w:iCs/>
              </w:rPr>
              <w:t>559</w:t>
            </w:r>
            <w:r w:rsidR="00131700" w:rsidRPr="00945CCC">
              <w:rPr>
                <w:bCs/>
                <w:iCs/>
              </w:rPr>
              <w:t> </w:t>
            </w:r>
            <w:r w:rsidR="002462A1" w:rsidRPr="00945CCC">
              <w:rPr>
                <w:bCs/>
                <w:iCs/>
              </w:rPr>
              <w:t>MHz, 1</w:t>
            </w:r>
            <w:r w:rsidR="00131700" w:rsidRPr="00945CCC">
              <w:rPr>
                <w:bCs/>
                <w:iCs/>
              </w:rPr>
              <w:t> </w:t>
            </w:r>
            <w:r w:rsidR="002462A1" w:rsidRPr="00945CCC">
              <w:rPr>
                <w:bCs/>
                <w:iCs/>
              </w:rPr>
              <w:t>626,</w:t>
            </w:r>
            <w:r w:rsidR="00C57753" w:rsidRPr="00945CCC">
              <w:rPr>
                <w:bCs/>
                <w:iCs/>
              </w:rPr>
              <w:t>5</w:t>
            </w:r>
            <w:r w:rsidR="00131700" w:rsidRPr="00945CCC">
              <w:rPr>
                <w:bCs/>
                <w:iCs/>
              </w:rPr>
              <w:noBreakHyphen/>
            </w:r>
            <w:r w:rsidR="002462A1" w:rsidRPr="00945CCC">
              <w:rPr>
                <w:bCs/>
                <w:iCs/>
              </w:rPr>
              <w:t>1</w:t>
            </w:r>
            <w:r w:rsidR="00131700" w:rsidRPr="00945CCC">
              <w:rPr>
                <w:bCs/>
                <w:iCs/>
              </w:rPr>
              <w:t> </w:t>
            </w:r>
            <w:r w:rsidR="002462A1" w:rsidRPr="00945CCC">
              <w:rPr>
                <w:bCs/>
                <w:iCs/>
              </w:rPr>
              <w:t>660,5</w:t>
            </w:r>
            <w:r w:rsidR="00131700" w:rsidRPr="00945CCC">
              <w:rPr>
                <w:bCs/>
                <w:iCs/>
              </w:rPr>
              <w:t> </w:t>
            </w:r>
            <w:r w:rsidR="002462A1" w:rsidRPr="00945CCC">
              <w:rPr>
                <w:bCs/>
                <w:iCs/>
              </w:rPr>
              <w:t>MHz et 1</w:t>
            </w:r>
            <w:r w:rsidR="00131700" w:rsidRPr="00945CCC">
              <w:rPr>
                <w:bCs/>
                <w:iCs/>
              </w:rPr>
              <w:t> </w:t>
            </w:r>
            <w:r w:rsidR="002462A1" w:rsidRPr="00945CCC">
              <w:rPr>
                <w:bCs/>
                <w:iCs/>
              </w:rPr>
              <w:t>668</w:t>
            </w:r>
            <w:r w:rsidR="00131700" w:rsidRPr="00945CCC">
              <w:rPr>
                <w:bCs/>
                <w:iCs/>
              </w:rPr>
              <w:noBreakHyphen/>
            </w:r>
            <w:r w:rsidR="002462A1" w:rsidRPr="00945CCC">
              <w:rPr>
                <w:bCs/>
                <w:iCs/>
              </w:rPr>
              <w:t>1</w:t>
            </w:r>
            <w:r w:rsidR="00131700" w:rsidRPr="00945CCC">
              <w:rPr>
                <w:bCs/>
                <w:iCs/>
              </w:rPr>
              <w:t> </w:t>
            </w:r>
            <w:r w:rsidR="002462A1" w:rsidRPr="00945CCC">
              <w:rPr>
                <w:bCs/>
                <w:iCs/>
              </w:rPr>
              <w:t>675</w:t>
            </w:r>
            <w:r w:rsidR="00131700" w:rsidRPr="00945CCC">
              <w:rPr>
                <w:bCs/>
                <w:iCs/>
              </w:rPr>
              <w:t> </w:t>
            </w:r>
            <w:r w:rsidR="002462A1" w:rsidRPr="00945CCC">
              <w:rPr>
                <w:bCs/>
                <w:iCs/>
              </w:rPr>
              <w:t>MHz au service mobile par satellite (espace-espace)</w:t>
            </w:r>
          </w:p>
        </w:tc>
      </w:tr>
      <w:tr w:rsidR="007C4F98" w:rsidRPr="00945CCC" w14:paraId="6C1DD80C" w14:textId="77777777" w:rsidTr="00D60D6A">
        <w:tc>
          <w:tcPr>
            <w:tcW w:w="9723" w:type="dxa"/>
            <w:gridSpan w:val="2"/>
            <w:tcBorders>
              <w:top w:val="single" w:sz="4" w:space="0" w:color="auto"/>
              <w:left w:val="nil"/>
              <w:bottom w:val="single" w:sz="4" w:space="0" w:color="auto"/>
              <w:right w:val="nil"/>
            </w:tcBorders>
          </w:tcPr>
          <w:p w14:paraId="53471E4E" w14:textId="77777777" w:rsidR="007C4F98" w:rsidRPr="00945CCC" w:rsidRDefault="007C4F98" w:rsidP="00752264">
            <w:pPr>
              <w:spacing w:before="80"/>
              <w:rPr>
                <w:b/>
                <w:bCs/>
                <w:i/>
                <w:iCs/>
              </w:rPr>
            </w:pPr>
            <w:r w:rsidRPr="00945CCC">
              <w:rPr>
                <w:b/>
                <w:bCs/>
                <w:i/>
                <w:iCs/>
              </w:rPr>
              <w:t>Contexte/motif</w:t>
            </w:r>
            <w:r w:rsidRPr="00945CCC">
              <w:rPr>
                <w:b/>
                <w:bCs/>
              </w:rPr>
              <w:t>:</w:t>
            </w:r>
          </w:p>
          <w:p w14:paraId="0A369C7B" w14:textId="42A4B7B2" w:rsidR="007C4F98" w:rsidRPr="00945CCC" w:rsidRDefault="002177A0" w:rsidP="00752264">
            <w:pPr>
              <w:spacing w:after="120"/>
              <w:rPr>
                <w:b/>
                <w:i/>
              </w:rPr>
            </w:pPr>
            <w:r w:rsidRPr="00945CCC">
              <w:rPr>
                <w:bCs/>
                <w:iCs/>
              </w:rPr>
              <w:t xml:space="preserve">Un grand nombre de satellites LEO </w:t>
            </w:r>
            <w:r w:rsidR="00131700" w:rsidRPr="00945CCC">
              <w:rPr>
                <w:bCs/>
                <w:iCs/>
              </w:rPr>
              <w:t>prennent en charge des communications</w:t>
            </w:r>
            <w:r w:rsidRPr="00945CCC">
              <w:rPr>
                <w:bCs/>
                <w:iCs/>
              </w:rPr>
              <w:t xml:space="preserve"> limité</w:t>
            </w:r>
            <w:r w:rsidR="00131700" w:rsidRPr="00945CCC">
              <w:rPr>
                <w:bCs/>
                <w:iCs/>
              </w:rPr>
              <w:t>es</w:t>
            </w:r>
            <w:r w:rsidRPr="00945CCC">
              <w:rPr>
                <w:bCs/>
                <w:iCs/>
              </w:rPr>
              <w:t xml:space="preserve"> et en différé </w:t>
            </w:r>
            <w:r w:rsidR="00131700" w:rsidRPr="00945CCC">
              <w:rPr>
                <w:bCs/>
                <w:iCs/>
              </w:rPr>
              <w:t xml:space="preserve">via </w:t>
            </w:r>
            <w:r w:rsidRPr="00945CCC">
              <w:rPr>
                <w:bCs/>
                <w:iCs/>
              </w:rPr>
              <w:t>un réseau de stations terriennes</w:t>
            </w:r>
            <w:r w:rsidR="002462A1" w:rsidRPr="00945CCC">
              <w:rPr>
                <w:bCs/>
                <w:iCs/>
              </w:rPr>
              <w:t>. Il ressort de</w:t>
            </w:r>
            <w:r w:rsidR="00131700" w:rsidRPr="00945CCC">
              <w:rPr>
                <w:bCs/>
                <w:iCs/>
              </w:rPr>
              <w:t>s</w:t>
            </w:r>
            <w:r w:rsidR="002462A1" w:rsidRPr="00945CCC">
              <w:rPr>
                <w:bCs/>
                <w:iCs/>
              </w:rPr>
              <w:t xml:space="preserve"> discussions avec les opérateurs de satellites LEO que l'adjonction des communications espace-espace dans le SMS offrira un moyen efficace d'assurer une surveillance et un contrôle continus de ces satellites LEO, ce qui améliorerait la sécurité</w:t>
            </w:r>
            <w:r w:rsidRPr="00945CCC">
              <w:rPr>
                <w:bCs/>
                <w:iCs/>
              </w:rPr>
              <w:t xml:space="preserve"> et l'efficacité des opérations </w:t>
            </w:r>
            <w:r w:rsidR="00B700A0" w:rsidRPr="00945CCC">
              <w:rPr>
                <w:bCs/>
                <w:iCs/>
              </w:rPr>
              <w:t xml:space="preserve">grâce à </w:t>
            </w:r>
            <w:r w:rsidR="00131700" w:rsidRPr="00945CCC">
              <w:rPr>
                <w:bCs/>
                <w:iCs/>
              </w:rPr>
              <w:t>la fourniture</w:t>
            </w:r>
            <w:r w:rsidR="00B700A0" w:rsidRPr="00945CCC">
              <w:rPr>
                <w:bCs/>
                <w:iCs/>
              </w:rPr>
              <w:t xml:space="preserve"> </w:t>
            </w:r>
            <w:r w:rsidRPr="00945CCC">
              <w:rPr>
                <w:bCs/>
                <w:iCs/>
              </w:rPr>
              <w:t>de liaisons de communication de données entre les constellation</w:t>
            </w:r>
            <w:r w:rsidR="00945CCC">
              <w:rPr>
                <w:bCs/>
                <w:iCs/>
              </w:rPr>
              <w:t>s</w:t>
            </w:r>
            <w:r w:rsidRPr="00945CCC">
              <w:rPr>
                <w:bCs/>
                <w:iCs/>
              </w:rPr>
              <w:t xml:space="preserve"> de satellites non OSG et OSG.</w:t>
            </w:r>
            <w:bookmarkStart w:id="6" w:name="_GoBack"/>
            <w:bookmarkEnd w:id="6"/>
          </w:p>
        </w:tc>
      </w:tr>
      <w:tr w:rsidR="007C4F98" w:rsidRPr="00945CCC" w14:paraId="46FC64E8" w14:textId="77777777" w:rsidTr="00D60D6A">
        <w:tc>
          <w:tcPr>
            <w:tcW w:w="9723" w:type="dxa"/>
            <w:gridSpan w:val="2"/>
            <w:tcBorders>
              <w:top w:val="single" w:sz="4" w:space="0" w:color="auto"/>
              <w:left w:val="nil"/>
              <w:bottom w:val="single" w:sz="4" w:space="0" w:color="auto"/>
              <w:right w:val="nil"/>
            </w:tcBorders>
          </w:tcPr>
          <w:p w14:paraId="4FF63B7F" w14:textId="77777777" w:rsidR="007C4F98" w:rsidRPr="00945CCC" w:rsidRDefault="007C4F98" w:rsidP="00752264">
            <w:pPr>
              <w:spacing w:before="80"/>
            </w:pPr>
            <w:r w:rsidRPr="00945CCC">
              <w:rPr>
                <w:b/>
                <w:bCs/>
                <w:i/>
                <w:iCs/>
              </w:rPr>
              <w:t>Services de radiocommunication concernés</w:t>
            </w:r>
            <w:r w:rsidRPr="00945CCC">
              <w:rPr>
                <w:b/>
                <w:bCs/>
              </w:rPr>
              <w:t>:</w:t>
            </w:r>
          </w:p>
          <w:p w14:paraId="345549C9" w14:textId="517BC805" w:rsidR="007C4F98" w:rsidRPr="00945CCC" w:rsidRDefault="00921E1A" w:rsidP="00752264">
            <w:pPr>
              <w:spacing w:after="120"/>
              <w:rPr>
                <w:bCs/>
                <w:iCs/>
              </w:rPr>
            </w:pPr>
            <w:r w:rsidRPr="00945CCC">
              <w:rPr>
                <w:bCs/>
                <w:iCs/>
              </w:rPr>
              <w:t>SMS</w:t>
            </w:r>
          </w:p>
        </w:tc>
      </w:tr>
      <w:tr w:rsidR="007C4F98" w:rsidRPr="00945CCC" w14:paraId="3D7F3D60" w14:textId="77777777" w:rsidTr="00D60D6A">
        <w:tc>
          <w:tcPr>
            <w:tcW w:w="9723" w:type="dxa"/>
            <w:gridSpan w:val="2"/>
            <w:tcBorders>
              <w:top w:val="single" w:sz="4" w:space="0" w:color="auto"/>
              <w:left w:val="nil"/>
              <w:bottom w:val="single" w:sz="4" w:space="0" w:color="auto"/>
              <w:right w:val="nil"/>
            </w:tcBorders>
          </w:tcPr>
          <w:p w14:paraId="5BB7FDA8" w14:textId="77777777" w:rsidR="007C4F98" w:rsidRPr="00945CCC" w:rsidRDefault="007C4F98" w:rsidP="00752264">
            <w:pPr>
              <w:keepNext/>
              <w:keepLines/>
            </w:pPr>
            <w:r w:rsidRPr="00945CCC">
              <w:rPr>
                <w:b/>
                <w:bCs/>
                <w:i/>
                <w:iCs/>
              </w:rPr>
              <w:lastRenderedPageBreak/>
              <w:t>Indication des difficultés éventuelles</w:t>
            </w:r>
            <w:r w:rsidRPr="00945CCC">
              <w:rPr>
                <w:b/>
                <w:bCs/>
              </w:rPr>
              <w:t>:</w:t>
            </w:r>
          </w:p>
          <w:p w14:paraId="3C8B0D05" w14:textId="6B67A7C6" w:rsidR="007C4F98" w:rsidRPr="00945CCC" w:rsidRDefault="00921E1A" w:rsidP="00752264">
            <w:pPr>
              <w:keepNext/>
              <w:keepLines/>
              <w:spacing w:after="120"/>
              <w:rPr>
                <w:bCs/>
                <w:iCs/>
              </w:rPr>
            </w:pPr>
            <w:r w:rsidRPr="00945CCC">
              <w:rPr>
                <w:bCs/>
                <w:iCs/>
              </w:rPr>
              <w:t>Le partage avec le SMS</w:t>
            </w:r>
            <w:r w:rsidR="002462A1" w:rsidRPr="00945CCC">
              <w:rPr>
                <w:bCs/>
                <w:iCs/>
              </w:rPr>
              <w:t xml:space="preserve"> (</w:t>
            </w:r>
            <w:r w:rsidRPr="00945CCC">
              <w:rPr>
                <w:bCs/>
                <w:iCs/>
              </w:rPr>
              <w:t>e</w:t>
            </w:r>
            <w:r w:rsidR="002462A1" w:rsidRPr="00945CCC">
              <w:rPr>
                <w:bCs/>
                <w:iCs/>
              </w:rPr>
              <w:t>space</w:t>
            </w:r>
            <w:r w:rsidRPr="00945CCC">
              <w:rPr>
                <w:bCs/>
                <w:iCs/>
              </w:rPr>
              <w:t xml:space="preserve"> vers Terre</w:t>
            </w:r>
            <w:r w:rsidR="002462A1" w:rsidRPr="00945CCC">
              <w:rPr>
                <w:bCs/>
                <w:iCs/>
              </w:rPr>
              <w:t xml:space="preserve">) </w:t>
            </w:r>
            <w:r w:rsidRPr="00945CCC">
              <w:rPr>
                <w:bCs/>
                <w:iCs/>
              </w:rPr>
              <w:t>et le SMS</w:t>
            </w:r>
            <w:r w:rsidR="002462A1" w:rsidRPr="00945CCC">
              <w:rPr>
                <w:bCs/>
                <w:iCs/>
              </w:rPr>
              <w:t xml:space="preserve"> (</w:t>
            </w:r>
            <w:r w:rsidRPr="00945CCC">
              <w:rPr>
                <w:bCs/>
                <w:iCs/>
              </w:rPr>
              <w:t>Terre vers e</w:t>
            </w:r>
            <w:r w:rsidR="002462A1" w:rsidRPr="00945CCC">
              <w:rPr>
                <w:bCs/>
                <w:iCs/>
              </w:rPr>
              <w:t xml:space="preserve">space) </w:t>
            </w:r>
            <w:r w:rsidRPr="00945CCC">
              <w:rPr>
                <w:bCs/>
                <w:iCs/>
              </w:rPr>
              <w:t>doit être étudié</w:t>
            </w:r>
            <w:r w:rsidR="002462A1" w:rsidRPr="00945CCC">
              <w:rPr>
                <w:bCs/>
                <w:iCs/>
              </w:rPr>
              <w:t>.</w:t>
            </w:r>
          </w:p>
        </w:tc>
      </w:tr>
      <w:tr w:rsidR="007C4F98" w:rsidRPr="00945CCC" w14:paraId="5A0C1F4B" w14:textId="77777777" w:rsidTr="00D60D6A">
        <w:tc>
          <w:tcPr>
            <w:tcW w:w="9723" w:type="dxa"/>
            <w:gridSpan w:val="2"/>
            <w:tcBorders>
              <w:top w:val="single" w:sz="4" w:space="0" w:color="auto"/>
              <w:left w:val="nil"/>
              <w:bottom w:val="single" w:sz="4" w:space="0" w:color="auto"/>
              <w:right w:val="nil"/>
            </w:tcBorders>
          </w:tcPr>
          <w:p w14:paraId="55626D6E" w14:textId="77777777" w:rsidR="007C4F98" w:rsidRPr="00945CCC" w:rsidRDefault="007C4F98" w:rsidP="00752264">
            <w:pPr>
              <w:spacing w:before="80"/>
            </w:pPr>
            <w:r w:rsidRPr="00945CCC">
              <w:rPr>
                <w:b/>
                <w:bCs/>
                <w:i/>
                <w:iCs/>
              </w:rPr>
              <w:t>Études précédentes ou en cours sur la question</w:t>
            </w:r>
            <w:r w:rsidRPr="00945CCC">
              <w:rPr>
                <w:b/>
                <w:bCs/>
              </w:rPr>
              <w:t>:</w:t>
            </w:r>
          </w:p>
          <w:p w14:paraId="3C0D01D5" w14:textId="687460DD" w:rsidR="007C4F98" w:rsidRPr="00945CCC" w:rsidRDefault="002462A1" w:rsidP="00752264">
            <w:pPr>
              <w:spacing w:after="120"/>
              <w:rPr>
                <w:bCs/>
                <w:iCs/>
              </w:rPr>
            </w:pPr>
            <w:r w:rsidRPr="00945CCC">
              <w:rPr>
                <w:bCs/>
                <w:iCs/>
              </w:rPr>
              <w:t>Aucune</w:t>
            </w:r>
          </w:p>
        </w:tc>
      </w:tr>
      <w:tr w:rsidR="007C4F98" w:rsidRPr="00945CCC" w14:paraId="16349180" w14:textId="77777777" w:rsidTr="00D60D6A">
        <w:tc>
          <w:tcPr>
            <w:tcW w:w="4627" w:type="dxa"/>
            <w:tcBorders>
              <w:top w:val="single" w:sz="4" w:space="0" w:color="auto"/>
              <w:left w:val="nil"/>
              <w:bottom w:val="single" w:sz="4" w:space="0" w:color="auto"/>
              <w:right w:val="single" w:sz="4" w:space="0" w:color="auto"/>
            </w:tcBorders>
          </w:tcPr>
          <w:p w14:paraId="1E197510" w14:textId="77777777" w:rsidR="007C4F98" w:rsidRPr="00945CCC" w:rsidRDefault="007C4F98" w:rsidP="00752264">
            <w:pPr>
              <w:spacing w:before="80"/>
            </w:pPr>
            <w:r w:rsidRPr="00945CCC">
              <w:rPr>
                <w:b/>
                <w:bCs/>
                <w:i/>
                <w:iCs/>
              </w:rPr>
              <w:t>Études devant être réalisées par</w:t>
            </w:r>
            <w:r w:rsidRPr="00945CCC">
              <w:rPr>
                <w:b/>
                <w:bCs/>
              </w:rPr>
              <w:t>:</w:t>
            </w:r>
          </w:p>
          <w:p w14:paraId="51ACA11B" w14:textId="1BC74E1D" w:rsidR="007C4F98" w:rsidRPr="00945CCC" w:rsidRDefault="00921E1A" w:rsidP="00752264">
            <w:pPr>
              <w:spacing w:after="120"/>
              <w:rPr>
                <w:bCs/>
                <w:iCs/>
                <w:color w:val="000000"/>
              </w:rPr>
            </w:pPr>
            <w:r w:rsidRPr="00945CCC">
              <w:rPr>
                <w:bCs/>
                <w:iCs/>
                <w:color w:val="000000"/>
              </w:rPr>
              <w:t>Administrations et Membres du Secteur de l'UIT-R</w:t>
            </w:r>
          </w:p>
        </w:tc>
        <w:tc>
          <w:tcPr>
            <w:tcW w:w="5096" w:type="dxa"/>
            <w:tcBorders>
              <w:top w:val="single" w:sz="4" w:space="0" w:color="auto"/>
              <w:left w:val="single" w:sz="4" w:space="0" w:color="auto"/>
              <w:bottom w:val="single" w:sz="4" w:space="0" w:color="auto"/>
              <w:right w:val="nil"/>
            </w:tcBorders>
          </w:tcPr>
          <w:p w14:paraId="66AD6EC9" w14:textId="77777777" w:rsidR="007C4F98" w:rsidRPr="00945CCC" w:rsidRDefault="007C4F98" w:rsidP="00752264">
            <w:pPr>
              <w:spacing w:before="80"/>
              <w:rPr>
                <w:b/>
                <w:bCs/>
              </w:rPr>
            </w:pPr>
            <w:r w:rsidRPr="00945CCC">
              <w:rPr>
                <w:b/>
                <w:bCs/>
                <w:i/>
                <w:iCs/>
              </w:rPr>
              <w:t>avec la participation de</w:t>
            </w:r>
            <w:r w:rsidRPr="00945CCC">
              <w:rPr>
                <w:b/>
                <w:bCs/>
              </w:rPr>
              <w:t>:</w:t>
            </w:r>
          </w:p>
          <w:p w14:paraId="267FF707" w14:textId="2924E976" w:rsidR="007C4F98" w:rsidRPr="00945CCC" w:rsidRDefault="00921E1A" w:rsidP="00752264">
            <w:pPr>
              <w:spacing w:after="120"/>
              <w:rPr>
                <w:bCs/>
                <w:iCs/>
                <w:color w:val="000000"/>
              </w:rPr>
            </w:pPr>
            <w:r w:rsidRPr="00945CCC">
              <w:rPr>
                <w:bCs/>
                <w:iCs/>
                <w:color w:val="000000"/>
              </w:rPr>
              <w:t>Opérateurs de s</w:t>
            </w:r>
            <w:r w:rsidR="002462A1" w:rsidRPr="00945CCC">
              <w:rPr>
                <w:bCs/>
                <w:iCs/>
                <w:color w:val="000000"/>
              </w:rPr>
              <w:t>atellite</w:t>
            </w:r>
            <w:r w:rsidRPr="00945CCC">
              <w:rPr>
                <w:bCs/>
                <w:iCs/>
                <w:color w:val="000000"/>
              </w:rPr>
              <w:t>s</w:t>
            </w:r>
            <w:r w:rsidR="002462A1" w:rsidRPr="00945CCC">
              <w:rPr>
                <w:bCs/>
                <w:iCs/>
                <w:color w:val="000000"/>
              </w:rPr>
              <w:t xml:space="preserve">, </w:t>
            </w:r>
            <w:r w:rsidRPr="00945CCC">
              <w:rPr>
                <w:bCs/>
                <w:iCs/>
                <w:color w:val="000000"/>
              </w:rPr>
              <w:t>OACI</w:t>
            </w:r>
            <w:r w:rsidR="002462A1" w:rsidRPr="00945CCC">
              <w:rPr>
                <w:bCs/>
                <w:iCs/>
                <w:color w:val="000000"/>
              </w:rPr>
              <w:t xml:space="preserve">, </w:t>
            </w:r>
            <w:r w:rsidRPr="00945CCC">
              <w:rPr>
                <w:bCs/>
                <w:iCs/>
                <w:color w:val="000000"/>
              </w:rPr>
              <w:t>OMI</w:t>
            </w:r>
          </w:p>
        </w:tc>
      </w:tr>
      <w:tr w:rsidR="007C4F98" w:rsidRPr="00945CCC" w14:paraId="43DC879A" w14:textId="77777777" w:rsidTr="00D60D6A">
        <w:tc>
          <w:tcPr>
            <w:tcW w:w="9723" w:type="dxa"/>
            <w:gridSpan w:val="2"/>
            <w:tcBorders>
              <w:top w:val="single" w:sz="4" w:space="0" w:color="auto"/>
              <w:left w:val="nil"/>
              <w:bottom w:val="single" w:sz="4" w:space="0" w:color="auto"/>
              <w:right w:val="nil"/>
            </w:tcBorders>
          </w:tcPr>
          <w:p w14:paraId="79BE99B0" w14:textId="77777777" w:rsidR="007C4F98" w:rsidRPr="00945CCC" w:rsidRDefault="007C4F98" w:rsidP="00752264">
            <w:pPr>
              <w:spacing w:before="80"/>
            </w:pPr>
            <w:r w:rsidRPr="00945CCC">
              <w:rPr>
                <w:b/>
                <w:bCs/>
                <w:i/>
                <w:iCs/>
              </w:rPr>
              <w:t>Commissions d'études de l'UIT-R concernées</w:t>
            </w:r>
            <w:r w:rsidRPr="00945CCC">
              <w:rPr>
                <w:b/>
                <w:bCs/>
              </w:rPr>
              <w:t>:</w:t>
            </w:r>
          </w:p>
          <w:p w14:paraId="201AEC00" w14:textId="5F0571BD" w:rsidR="007C4F98" w:rsidRPr="00945CCC" w:rsidRDefault="00921E1A" w:rsidP="00752264">
            <w:pPr>
              <w:spacing w:after="120"/>
              <w:rPr>
                <w:bCs/>
                <w:iCs/>
              </w:rPr>
            </w:pPr>
            <w:r w:rsidRPr="00945CCC">
              <w:rPr>
                <w:bCs/>
                <w:iCs/>
              </w:rPr>
              <w:t>Groupe de travail</w:t>
            </w:r>
            <w:r w:rsidR="002462A1" w:rsidRPr="00945CCC">
              <w:rPr>
                <w:bCs/>
                <w:iCs/>
              </w:rPr>
              <w:t xml:space="preserve"> 4C</w:t>
            </w:r>
          </w:p>
        </w:tc>
      </w:tr>
      <w:tr w:rsidR="007C4F98" w:rsidRPr="00945CCC" w14:paraId="201D9A5A" w14:textId="77777777" w:rsidTr="00D60D6A">
        <w:tc>
          <w:tcPr>
            <w:tcW w:w="9723" w:type="dxa"/>
            <w:gridSpan w:val="2"/>
            <w:tcBorders>
              <w:top w:val="single" w:sz="4" w:space="0" w:color="auto"/>
              <w:left w:val="nil"/>
              <w:bottom w:val="single" w:sz="4" w:space="0" w:color="auto"/>
              <w:right w:val="nil"/>
            </w:tcBorders>
          </w:tcPr>
          <w:p w14:paraId="7E4B0359" w14:textId="25063557" w:rsidR="007C4F98" w:rsidRPr="00945CCC" w:rsidRDefault="007C4F98" w:rsidP="00752264">
            <w:pPr>
              <w:spacing w:before="80"/>
            </w:pPr>
            <w:r w:rsidRPr="00945CCC">
              <w:rPr>
                <w:b/>
                <w:bCs/>
                <w:i/>
                <w:iCs/>
              </w:rPr>
              <w:t>Répercussions au niveau des ressources de l'UIT, y compris incidences financières</w:t>
            </w:r>
            <w:r w:rsidR="00C57753" w:rsidRPr="00945CCC">
              <w:rPr>
                <w:b/>
                <w:bCs/>
                <w:i/>
                <w:iCs/>
              </w:rPr>
              <w:t xml:space="preserve"> </w:t>
            </w:r>
            <w:r w:rsidRPr="00945CCC">
              <w:rPr>
                <w:b/>
                <w:bCs/>
                <w:i/>
                <w:iCs/>
              </w:rPr>
              <w:t>(voir le numéro 126 de la Convention)</w:t>
            </w:r>
            <w:r w:rsidRPr="00945CCC">
              <w:rPr>
                <w:b/>
                <w:bCs/>
              </w:rPr>
              <w:t>:</w:t>
            </w:r>
          </w:p>
          <w:p w14:paraId="1ECC5675" w14:textId="7784B748" w:rsidR="007C4F98" w:rsidRPr="00945CCC" w:rsidRDefault="00AA5A86" w:rsidP="00752264">
            <w:pPr>
              <w:spacing w:after="120"/>
              <w:rPr>
                <w:bCs/>
                <w:iCs/>
              </w:rPr>
            </w:pPr>
            <w:r w:rsidRPr="00945CCC">
              <w:rPr>
                <w:bCs/>
                <w:iCs/>
              </w:rPr>
              <w:t>Ce point de l'ordre du jour sera étudié dans le cadre des procédures normales et du budget associé de l'UIT-R. Aucun surcoût n'est prévu.</w:t>
            </w:r>
          </w:p>
        </w:tc>
      </w:tr>
      <w:tr w:rsidR="007C4F98" w:rsidRPr="00945CCC" w14:paraId="28C45106" w14:textId="77777777" w:rsidTr="00D60D6A">
        <w:tc>
          <w:tcPr>
            <w:tcW w:w="4627" w:type="dxa"/>
            <w:tcBorders>
              <w:top w:val="single" w:sz="4" w:space="0" w:color="auto"/>
              <w:left w:val="nil"/>
              <w:bottom w:val="single" w:sz="4" w:space="0" w:color="auto"/>
              <w:right w:val="nil"/>
            </w:tcBorders>
          </w:tcPr>
          <w:p w14:paraId="0F796E42" w14:textId="77777777" w:rsidR="00C57753" w:rsidRPr="00945CCC" w:rsidRDefault="007C4F98" w:rsidP="00752264">
            <w:pPr>
              <w:spacing w:before="80"/>
            </w:pPr>
            <w:r w:rsidRPr="00945CCC">
              <w:rPr>
                <w:b/>
                <w:bCs/>
                <w:i/>
                <w:iCs/>
              </w:rPr>
              <w:t>Proposition régionale commune</w:t>
            </w:r>
            <w:r w:rsidRPr="00945CCC">
              <w:rPr>
                <w:b/>
                <w:bCs/>
              </w:rPr>
              <w:t>:</w:t>
            </w:r>
            <w:r w:rsidRPr="00945CCC">
              <w:t xml:space="preserve"> </w:t>
            </w:r>
          </w:p>
          <w:p w14:paraId="2AB72BFD" w14:textId="40879159" w:rsidR="007C4F98" w:rsidRPr="00945CCC" w:rsidRDefault="00C57753" w:rsidP="00752264">
            <w:pPr>
              <w:spacing w:before="80"/>
              <w:rPr>
                <w:b/>
                <w:iCs/>
              </w:rPr>
            </w:pPr>
            <w:r w:rsidRPr="00945CCC">
              <w:t>N</w:t>
            </w:r>
            <w:r w:rsidR="002462A1" w:rsidRPr="00945CCC">
              <w:t>on</w:t>
            </w:r>
          </w:p>
        </w:tc>
        <w:tc>
          <w:tcPr>
            <w:tcW w:w="5096" w:type="dxa"/>
            <w:tcBorders>
              <w:top w:val="single" w:sz="4" w:space="0" w:color="auto"/>
              <w:left w:val="nil"/>
              <w:bottom w:val="single" w:sz="4" w:space="0" w:color="auto"/>
              <w:right w:val="nil"/>
            </w:tcBorders>
          </w:tcPr>
          <w:p w14:paraId="478AC344" w14:textId="77777777" w:rsidR="00C57753" w:rsidRPr="00945CCC" w:rsidRDefault="007C4F98" w:rsidP="00752264">
            <w:pPr>
              <w:spacing w:before="80"/>
              <w:rPr>
                <w:b/>
                <w:bCs/>
              </w:rPr>
            </w:pPr>
            <w:r w:rsidRPr="00945CCC">
              <w:rPr>
                <w:b/>
                <w:bCs/>
                <w:i/>
                <w:iCs/>
              </w:rPr>
              <w:t>Proposition soumise par plusieurs pays</w:t>
            </w:r>
            <w:r w:rsidRPr="00945CCC">
              <w:rPr>
                <w:b/>
                <w:bCs/>
              </w:rPr>
              <w:t>:</w:t>
            </w:r>
          </w:p>
          <w:p w14:paraId="501F52B7" w14:textId="3171E969" w:rsidR="007C4F98" w:rsidRPr="00945CCC" w:rsidRDefault="007C4F98" w:rsidP="00752264">
            <w:pPr>
              <w:spacing w:before="80"/>
            </w:pPr>
            <w:r w:rsidRPr="00945CCC">
              <w:t>Non</w:t>
            </w:r>
          </w:p>
          <w:p w14:paraId="5CB50D19" w14:textId="7342029C" w:rsidR="007C4F98" w:rsidRPr="00945CCC" w:rsidRDefault="007C4F98" w:rsidP="00752264">
            <w:pPr>
              <w:spacing w:before="80" w:after="120"/>
            </w:pPr>
            <w:r w:rsidRPr="00945CCC">
              <w:rPr>
                <w:b/>
                <w:bCs/>
                <w:i/>
                <w:iCs/>
              </w:rPr>
              <w:t>Nombre de pays</w:t>
            </w:r>
            <w:r w:rsidRPr="00945CCC">
              <w:rPr>
                <w:b/>
                <w:bCs/>
              </w:rPr>
              <w:t>:</w:t>
            </w:r>
            <w:r w:rsidR="00131700" w:rsidRPr="00945CCC">
              <w:rPr>
                <w:b/>
                <w:bCs/>
              </w:rPr>
              <w:t xml:space="preserve"> </w:t>
            </w:r>
            <w:r w:rsidR="00131700" w:rsidRPr="00945CCC">
              <w:t>0</w:t>
            </w:r>
          </w:p>
        </w:tc>
      </w:tr>
      <w:tr w:rsidR="007C4F98" w:rsidRPr="00945CCC" w14:paraId="6FF372C6" w14:textId="77777777" w:rsidTr="00D60D6A">
        <w:tc>
          <w:tcPr>
            <w:tcW w:w="9723" w:type="dxa"/>
            <w:gridSpan w:val="2"/>
            <w:tcBorders>
              <w:top w:val="single" w:sz="4" w:space="0" w:color="auto"/>
              <w:left w:val="nil"/>
              <w:bottom w:val="nil"/>
              <w:right w:val="nil"/>
            </w:tcBorders>
          </w:tcPr>
          <w:p w14:paraId="583B247B" w14:textId="466B0944" w:rsidR="007C4F98" w:rsidRPr="00945CCC" w:rsidRDefault="007C4F98" w:rsidP="00752264">
            <w:pPr>
              <w:spacing w:before="80" w:after="80"/>
            </w:pPr>
            <w:r w:rsidRPr="00945CCC">
              <w:rPr>
                <w:b/>
                <w:bCs/>
                <w:i/>
                <w:iCs/>
              </w:rPr>
              <w:t>Observations</w:t>
            </w:r>
          </w:p>
        </w:tc>
      </w:tr>
    </w:tbl>
    <w:p w14:paraId="400EA56F" w14:textId="77777777" w:rsidR="007C4F98" w:rsidRPr="00945CCC" w:rsidRDefault="007C4F98">
      <w:pPr>
        <w:jc w:val="center"/>
      </w:pPr>
      <w:r w:rsidRPr="00945CCC">
        <w:t>______________</w:t>
      </w:r>
    </w:p>
    <w:sectPr w:rsidR="007C4F98" w:rsidRPr="00945CC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82388" w14:textId="77777777" w:rsidR="00385398" w:rsidRDefault="00385398">
      <w:r>
        <w:separator/>
      </w:r>
    </w:p>
  </w:endnote>
  <w:endnote w:type="continuationSeparator" w:id="0">
    <w:p w14:paraId="1BACE225" w14:textId="77777777" w:rsidR="00385398" w:rsidRDefault="0038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7C47" w14:textId="743721BF" w:rsidR="00385398" w:rsidRDefault="00385398">
    <w:pPr>
      <w:rPr>
        <w:lang w:val="en-US"/>
      </w:rPr>
    </w:pPr>
    <w:r>
      <w:fldChar w:fldCharType="begin"/>
    </w:r>
    <w:r>
      <w:rPr>
        <w:lang w:val="en-US"/>
      </w:rPr>
      <w:instrText xml:space="preserve"> FILENAME \p  \* MERGEFORMAT </w:instrText>
    </w:r>
    <w:r>
      <w:fldChar w:fldCharType="separate"/>
    </w:r>
    <w:r w:rsidR="006C4732">
      <w:rPr>
        <w:noProof/>
        <w:lang w:val="en-US"/>
      </w:rPr>
      <w:t>P:\FRA\ITU-R\CONF-R\CMR19\000\075ADD24F.docx</w:t>
    </w:r>
    <w:r>
      <w:fldChar w:fldCharType="end"/>
    </w:r>
    <w:r>
      <w:rPr>
        <w:lang w:val="en-US"/>
      </w:rPr>
      <w:tab/>
    </w:r>
    <w:r>
      <w:fldChar w:fldCharType="begin"/>
    </w:r>
    <w:r>
      <w:instrText xml:space="preserve"> SAVEDATE \@ DD.MM.YY </w:instrText>
    </w:r>
    <w:r>
      <w:fldChar w:fldCharType="separate"/>
    </w:r>
    <w:r w:rsidR="006C4732">
      <w:rPr>
        <w:noProof/>
      </w:rPr>
      <w:t>28.10.19</w:t>
    </w:r>
    <w:r>
      <w:fldChar w:fldCharType="end"/>
    </w:r>
    <w:r>
      <w:rPr>
        <w:lang w:val="en-US"/>
      </w:rPr>
      <w:tab/>
    </w:r>
    <w:r>
      <w:fldChar w:fldCharType="begin"/>
    </w:r>
    <w:r>
      <w:instrText xml:space="preserve"> PRINTDATE \@ DD.MM.YY </w:instrText>
    </w:r>
    <w:r>
      <w:fldChar w:fldCharType="separate"/>
    </w:r>
    <w:r w:rsidR="006C4732">
      <w:rPr>
        <w:noProof/>
      </w:rPr>
      <w:t>28.10.19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FE84" w14:textId="3634D931" w:rsidR="00385398" w:rsidRPr="00413F07" w:rsidRDefault="00385398" w:rsidP="007B2C34">
    <w:pPr>
      <w:pStyle w:val="Footer"/>
      <w:rPr>
        <w:lang w:val="en-GB"/>
      </w:rPr>
    </w:pPr>
    <w:r>
      <w:fldChar w:fldCharType="begin"/>
    </w:r>
    <w:r>
      <w:rPr>
        <w:lang w:val="en-US"/>
      </w:rPr>
      <w:instrText xml:space="preserve"> FILENAME \p  \* MERGEFORMAT </w:instrText>
    </w:r>
    <w:r>
      <w:fldChar w:fldCharType="separate"/>
    </w:r>
    <w:r w:rsidR="006C4732">
      <w:rPr>
        <w:lang w:val="en-US"/>
      </w:rPr>
      <w:t>P:\FRA\ITU-R\CONF-R\CMR19\000\075ADD24F.docx</w:t>
    </w:r>
    <w:r>
      <w:fldChar w:fldCharType="end"/>
    </w:r>
    <w:r w:rsidRPr="00413F07">
      <w:rPr>
        <w:lang w:val="en-GB"/>
      </w:rPr>
      <w:t xml:space="preserve"> </w:t>
    </w:r>
    <w:r>
      <w:rPr>
        <w:lang w:val="en-GB"/>
      </w:rPr>
      <w:t>(462462)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83B0" w14:textId="67D9F3C4" w:rsidR="00385398" w:rsidRPr="00413F07" w:rsidRDefault="00385398" w:rsidP="001A11F6">
    <w:pPr>
      <w:pStyle w:val="Footer"/>
      <w:rPr>
        <w:lang w:val="en-GB"/>
      </w:rPr>
    </w:pPr>
    <w:r>
      <w:fldChar w:fldCharType="begin"/>
    </w:r>
    <w:r>
      <w:rPr>
        <w:lang w:val="en-US"/>
      </w:rPr>
      <w:instrText xml:space="preserve"> FILENAME \p  \* MERGEFORMAT </w:instrText>
    </w:r>
    <w:r>
      <w:fldChar w:fldCharType="separate"/>
    </w:r>
    <w:r w:rsidR="006C4732">
      <w:rPr>
        <w:lang w:val="en-US"/>
      </w:rPr>
      <w:t>P:\FRA\ITU-R\CONF-R\CMR19\000\075ADD24F.docx</w:t>
    </w:r>
    <w:r>
      <w:fldChar w:fldCharType="end"/>
    </w:r>
    <w:r w:rsidRPr="00413F07">
      <w:rPr>
        <w:lang w:val="en-GB"/>
      </w:rPr>
      <w:t xml:space="preserve"> </w:t>
    </w:r>
    <w:r>
      <w:rPr>
        <w:lang w:val="en-GB"/>
      </w:rPr>
      <w:t>(462462)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22072" w14:textId="77777777" w:rsidR="00385398" w:rsidRDefault="00385398">
      <w:r>
        <w:rPr>
          <w:b/>
        </w:rPr>
        <w:t>_______________</w:t>
      </w:r>
    </w:p>
  </w:footnote>
  <w:footnote w:type="continuationSeparator" w:id="0">
    <w:p w14:paraId="0D5E1771" w14:textId="77777777" w:rsidR="00385398" w:rsidRDefault="0038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0D84" w14:textId="77777777" w:rsidR="00385398" w:rsidRDefault="00385398" w:rsidP="004F1F8E">
    <w:pPr>
      <w:pStyle w:val="Header"/>
    </w:pPr>
    <w:r>
      <w:fldChar w:fldCharType="begin"/>
    </w:r>
    <w:r>
      <w:instrText xml:space="preserve"> PAGE </w:instrText>
    </w:r>
    <w:r>
      <w:fldChar w:fldCharType="separate"/>
    </w:r>
    <w:r w:rsidR="00B700A0">
      <w:rPr>
        <w:noProof/>
      </w:rPr>
      <w:t>5</w:t>
    </w:r>
    <w:r>
      <w:fldChar w:fldCharType="end"/>
    </w:r>
  </w:p>
  <w:p w14:paraId="046951E1" w14:textId="77777777" w:rsidR="00385398" w:rsidRDefault="00385398" w:rsidP="00FD7AA3">
    <w:pPr>
      <w:pStyle w:val="Header"/>
    </w:pPr>
    <w:r>
      <w:t>CMR19/75(Add.24)-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31700"/>
    <w:rsid w:val="0015203F"/>
    <w:rsid w:val="00160C64"/>
    <w:rsid w:val="0018169B"/>
    <w:rsid w:val="001837D2"/>
    <w:rsid w:val="0019352B"/>
    <w:rsid w:val="001960D0"/>
    <w:rsid w:val="001A11F6"/>
    <w:rsid w:val="001E143C"/>
    <w:rsid w:val="001F17E8"/>
    <w:rsid w:val="00204306"/>
    <w:rsid w:val="002177A0"/>
    <w:rsid w:val="00232FD2"/>
    <w:rsid w:val="002462A1"/>
    <w:rsid w:val="0026554E"/>
    <w:rsid w:val="002A4622"/>
    <w:rsid w:val="002A6F8F"/>
    <w:rsid w:val="002B17E5"/>
    <w:rsid w:val="002C0EBF"/>
    <w:rsid w:val="002C28A4"/>
    <w:rsid w:val="002D7E0A"/>
    <w:rsid w:val="00315AFE"/>
    <w:rsid w:val="00317A0A"/>
    <w:rsid w:val="00322F79"/>
    <w:rsid w:val="003606A6"/>
    <w:rsid w:val="0036650C"/>
    <w:rsid w:val="00385398"/>
    <w:rsid w:val="00393ACD"/>
    <w:rsid w:val="003A583E"/>
    <w:rsid w:val="003B219F"/>
    <w:rsid w:val="003E112B"/>
    <w:rsid w:val="003E1D1C"/>
    <w:rsid w:val="003E7B05"/>
    <w:rsid w:val="003F3719"/>
    <w:rsid w:val="003F6F2D"/>
    <w:rsid w:val="00413F07"/>
    <w:rsid w:val="00441A6A"/>
    <w:rsid w:val="00466211"/>
    <w:rsid w:val="00483196"/>
    <w:rsid w:val="004834A9"/>
    <w:rsid w:val="004D01FC"/>
    <w:rsid w:val="004E28C3"/>
    <w:rsid w:val="004F1F8E"/>
    <w:rsid w:val="00512A32"/>
    <w:rsid w:val="005343DA"/>
    <w:rsid w:val="0054200B"/>
    <w:rsid w:val="005422AA"/>
    <w:rsid w:val="00560874"/>
    <w:rsid w:val="00586CF2"/>
    <w:rsid w:val="005A2988"/>
    <w:rsid w:val="005A7C75"/>
    <w:rsid w:val="005C3768"/>
    <w:rsid w:val="005C6C3F"/>
    <w:rsid w:val="00613635"/>
    <w:rsid w:val="0062093D"/>
    <w:rsid w:val="00637ECF"/>
    <w:rsid w:val="00647B59"/>
    <w:rsid w:val="00690C7B"/>
    <w:rsid w:val="006A22CE"/>
    <w:rsid w:val="006A4B45"/>
    <w:rsid w:val="006C4732"/>
    <w:rsid w:val="006D193C"/>
    <w:rsid w:val="006D4724"/>
    <w:rsid w:val="006F5FA2"/>
    <w:rsid w:val="0070076C"/>
    <w:rsid w:val="00701BAE"/>
    <w:rsid w:val="00721F04"/>
    <w:rsid w:val="00730E95"/>
    <w:rsid w:val="007426B9"/>
    <w:rsid w:val="00752264"/>
    <w:rsid w:val="00764342"/>
    <w:rsid w:val="00774362"/>
    <w:rsid w:val="00786598"/>
    <w:rsid w:val="00790C74"/>
    <w:rsid w:val="007A04E8"/>
    <w:rsid w:val="007B2C34"/>
    <w:rsid w:val="007C4F98"/>
    <w:rsid w:val="007E59AF"/>
    <w:rsid w:val="00830086"/>
    <w:rsid w:val="00841249"/>
    <w:rsid w:val="00851625"/>
    <w:rsid w:val="00863C0A"/>
    <w:rsid w:val="008A3120"/>
    <w:rsid w:val="008A4B97"/>
    <w:rsid w:val="008C5B8E"/>
    <w:rsid w:val="008C5DD5"/>
    <w:rsid w:val="008D41BE"/>
    <w:rsid w:val="008D58D3"/>
    <w:rsid w:val="008E3BC9"/>
    <w:rsid w:val="00921E1A"/>
    <w:rsid w:val="00923064"/>
    <w:rsid w:val="00930FFD"/>
    <w:rsid w:val="00936D25"/>
    <w:rsid w:val="00941EA5"/>
    <w:rsid w:val="00945CCC"/>
    <w:rsid w:val="00964700"/>
    <w:rsid w:val="00966C16"/>
    <w:rsid w:val="0098732F"/>
    <w:rsid w:val="009A045F"/>
    <w:rsid w:val="009A6A2B"/>
    <w:rsid w:val="009C7E7C"/>
    <w:rsid w:val="00A00473"/>
    <w:rsid w:val="00A01012"/>
    <w:rsid w:val="00A03C9B"/>
    <w:rsid w:val="00A33880"/>
    <w:rsid w:val="00A37105"/>
    <w:rsid w:val="00A40BEE"/>
    <w:rsid w:val="00A606C3"/>
    <w:rsid w:val="00A83B09"/>
    <w:rsid w:val="00A84541"/>
    <w:rsid w:val="00AA5A86"/>
    <w:rsid w:val="00AE36A0"/>
    <w:rsid w:val="00B00294"/>
    <w:rsid w:val="00B3749C"/>
    <w:rsid w:val="00B64FD0"/>
    <w:rsid w:val="00B700A0"/>
    <w:rsid w:val="00BA5BD0"/>
    <w:rsid w:val="00BB1D82"/>
    <w:rsid w:val="00BC217E"/>
    <w:rsid w:val="00BD42E2"/>
    <w:rsid w:val="00BD51C5"/>
    <w:rsid w:val="00BF26E7"/>
    <w:rsid w:val="00C53FCA"/>
    <w:rsid w:val="00C57753"/>
    <w:rsid w:val="00C76BAF"/>
    <w:rsid w:val="00C814B9"/>
    <w:rsid w:val="00CD516F"/>
    <w:rsid w:val="00D119A7"/>
    <w:rsid w:val="00D25FBA"/>
    <w:rsid w:val="00D32B28"/>
    <w:rsid w:val="00D400A6"/>
    <w:rsid w:val="00D42954"/>
    <w:rsid w:val="00D60D6A"/>
    <w:rsid w:val="00D66EAC"/>
    <w:rsid w:val="00D730DF"/>
    <w:rsid w:val="00D772F0"/>
    <w:rsid w:val="00D77BDC"/>
    <w:rsid w:val="00DB6AAD"/>
    <w:rsid w:val="00DC402B"/>
    <w:rsid w:val="00DE0932"/>
    <w:rsid w:val="00DF272D"/>
    <w:rsid w:val="00E03A27"/>
    <w:rsid w:val="00E049F1"/>
    <w:rsid w:val="00E37A25"/>
    <w:rsid w:val="00E537FF"/>
    <w:rsid w:val="00E60CB2"/>
    <w:rsid w:val="00E6539B"/>
    <w:rsid w:val="00E70A31"/>
    <w:rsid w:val="00E71B09"/>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 w:val="00FF3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90E3D0"/>
  <w15:docId w15:val="{F420C117-982A-4FD3-BC80-A93F1179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BD42E2"/>
    <w:rPr>
      <w:rFonts w:ascii="Times New Roman" w:hAnsi="Times New Roman"/>
      <w:b/>
      <w:sz w:val="24"/>
      <w:lang w:val="fr-FR" w:eastAsia="en-US"/>
    </w:rPr>
  </w:style>
  <w:style w:type="paragraph" w:customStyle="1" w:styleId="Cal">
    <w:name w:val="Cal"/>
    <w:basedOn w:val="Normal"/>
    <w:rsid w:val="007C4F98"/>
  </w:style>
  <w:style w:type="paragraph" w:customStyle="1" w:styleId="AppendixNoAfter24pts">
    <w:name w:val="Appendix_No + After 24pts"/>
    <w:basedOn w:val="AppendixNo"/>
    <w:rsid w:val="007E59AF"/>
  </w:style>
  <w:style w:type="paragraph" w:customStyle="1" w:styleId="AppendixNoAfter24pt">
    <w:name w:val="Appendix_No + After 24 pt"/>
    <w:basedOn w:val="AppendixNoAfter24pts"/>
    <w:rsid w:val="007E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1397">
      <w:bodyDiv w:val="1"/>
      <w:marLeft w:val="0"/>
      <w:marRight w:val="0"/>
      <w:marTop w:val="0"/>
      <w:marBottom w:val="0"/>
      <w:divBdr>
        <w:top w:val="none" w:sz="0" w:space="0" w:color="auto"/>
        <w:left w:val="none" w:sz="0" w:space="0" w:color="auto"/>
        <w:bottom w:val="none" w:sz="0" w:space="0" w:color="auto"/>
        <w:right w:val="none" w:sz="0" w:space="0" w:color="auto"/>
      </w:divBdr>
    </w:div>
    <w:div w:id="172838141">
      <w:bodyDiv w:val="1"/>
      <w:marLeft w:val="0"/>
      <w:marRight w:val="0"/>
      <w:marTop w:val="0"/>
      <w:marBottom w:val="0"/>
      <w:divBdr>
        <w:top w:val="none" w:sz="0" w:space="0" w:color="auto"/>
        <w:left w:val="none" w:sz="0" w:space="0" w:color="auto"/>
        <w:bottom w:val="none" w:sz="0" w:space="0" w:color="auto"/>
        <w:right w:val="none" w:sz="0" w:space="0" w:color="auto"/>
      </w:divBdr>
    </w:div>
    <w:div w:id="249975399">
      <w:bodyDiv w:val="1"/>
      <w:marLeft w:val="0"/>
      <w:marRight w:val="0"/>
      <w:marTop w:val="0"/>
      <w:marBottom w:val="0"/>
      <w:divBdr>
        <w:top w:val="none" w:sz="0" w:space="0" w:color="auto"/>
        <w:left w:val="none" w:sz="0" w:space="0" w:color="auto"/>
        <w:bottom w:val="none" w:sz="0" w:space="0" w:color="auto"/>
        <w:right w:val="none" w:sz="0" w:space="0" w:color="auto"/>
      </w:divBdr>
    </w:div>
    <w:div w:id="556668521">
      <w:bodyDiv w:val="1"/>
      <w:marLeft w:val="0"/>
      <w:marRight w:val="0"/>
      <w:marTop w:val="0"/>
      <w:marBottom w:val="0"/>
      <w:divBdr>
        <w:top w:val="none" w:sz="0" w:space="0" w:color="auto"/>
        <w:left w:val="none" w:sz="0" w:space="0" w:color="auto"/>
        <w:bottom w:val="none" w:sz="0" w:space="0" w:color="auto"/>
        <w:right w:val="none" w:sz="0" w:space="0" w:color="auto"/>
      </w:divBdr>
    </w:div>
    <w:div w:id="561872243">
      <w:bodyDiv w:val="1"/>
      <w:marLeft w:val="0"/>
      <w:marRight w:val="0"/>
      <w:marTop w:val="0"/>
      <w:marBottom w:val="0"/>
      <w:divBdr>
        <w:top w:val="none" w:sz="0" w:space="0" w:color="auto"/>
        <w:left w:val="none" w:sz="0" w:space="0" w:color="auto"/>
        <w:bottom w:val="none" w:sz="0" w:space="0" w:color="auto"/>
        <w:right w:val="none" w:sz="0" w:space="0" w:color="auto"/>
      </w:divBdr>
    </w:div>
    <w:div w:id="638455208">
      <w:bodyDiv w:val="1"/>
      <w:marLeft w:val="0"/>
      <w:marRight w:val="0"/>
      <w:marTop w:val="0"/>
      <w:marBottom w:val="0"/>
      <w:divBdr>
        <w:top w:val="none" w:sz="0" w:space="0" w:color="auto"/>
        <w:left w:val="none" w:sz="0" w:space="0" w:color="auto"/>
        <w:bottom w:val="none" w:sz="0" w:space="0" w:color="auto"/>
        <w:right w:val="none" w:sz="0" w:space="0" w:color="auto"/>
      </w:divBdr>
    </w:div>
    <w:div w:id="684402724">
      <w:bodyDiv w:val="1"/>
      <w:marLeft w:val="0"/>
      <w:marRight w:val="0"/>
      <w:marTop w:val="0"/>
      <w:marBottom w:val="0"/>
      <w:divBdr>
        <w:top w:val="none" w:sz="0" w:space="0" w:color="auto"/>
        <w:left w:val="none" w:sz="0" w:space="0" w:color="auto"/>
        <w:bottom w:val="none" w:sz="0" w:space="0" w:color="auto"/>
        <w:right w:val="none" w:sz="0" w:space="0" w:color="auto"/>
      </w:divBdr>
    </w:div>
    <w:div w:id="970785720">
      <w:bodyDiv w:val="1"/>
      <w:marLeft w:val="0"/>
      <w:marRight w:val="0"/>
      <w:marTop w:val="0"/>
      <w:marBottom w:val="0"/>
      <w:divBdr>
        <w:top w:val="none" w:sz="0" w:space="0" w:color="auto"/>
        <w:left w:val="none" w:sz="0" w:space="0" w:color="auto"/>
        <w:bottom w:val="none" w:sz="0" w:space="0" w:color="auto"/>
        <w:right w:val="none" w:sz="0" w:space="0" w:color="auto"/>
      </w:divBdr>
    </w:div>
    <w:div w:id="1287076538">
      <w:bodyDiv w:val="1"/>
      <w:marLeft w:val="0"/>
      <w:marRight w:val="0"/>
      <w:marTop w:val="0"/>
      <w:marBottom w:val="0"/>
      <w:divBdr>
        <w:top w:val="none" w:sz="0" w:space="0" w:color="auto"/>
        <w:left w:val="none" w:sz="0" w:space="0" w:color="auto"/>
        <w:bottom w:val="none" w:sz="0" w:space="0" w:color="auto"/>
        <w:right w:val="none" w:sz="0" w:space="0" w:color="auto"/>
      </w:divBdr>
    </w:div>
    <w:div w:id="1728332294">
      <w:bodyDiv w:val="1"/>
      <w:marLeft w:val="0"/>
      <w:marRight w:val="0"/>
      <w:marTop w:val="0"/>
      <w:marBottom w:val="0"/>
      <w:divBdr>
        <w:top w:val="none" w:sz="0" w:space="0" w:color="auto"/>
        <w:left w:val="none" w:sz="0" w:space="0" w:color="auto"/>
        <w:bottom w:val="none" w:sz="0" w:space="0" w:color="auto"/>
        <w:right w:val="none" w:sz="0" w:space="0" w:color="auto"/>
      </w:divBdr>
    </w:div>
    <w:div w:id="1888568358">
      <w:bodyDiv w:val="1"/>
      <w:marLeft w:val="0"/>
      <w:marRight w:val="0"/>
      <w:marTop w:val="0"/>
      <w:marBottom w:val="0"/>
      <w:divBdr>
        <w:top w:val="none" w:sz="0" w:space="0" w:color="auto"/>
        <w:left w:val="none" w:sz="0" w:space="0" w:color="auto"/>
        <w:bottom w:val="none" w:sz="0" w:space="0" w:color="auto"/>
        <w:right w:val="none" w:sz="0" w:space="0" w:color="auto"/>
      </w:divBdr>
    </w:div>
    <w:div w:id="1938440503">
      <w:bodyDiv w:val="1"/>
      <w:marLeft w:val="0"/>
      <w:marRight w:val="0"/>
      <w:marTop w:val="0"/>
      <w:marBottom w:val="0"/>
      <w:divBdr>
        <w:top w:val="none" w:sz="0" w:space="0" w:color="auto"/>
        <w:left w:val="none" w:sz="0" w:space="0" w:color="auto"/>
        <w:bottom w:val="none" w:sz="0" w:space="0" w:color="auto"/>
        <w:right w:val="none" w:sz="0" w:space="0" w:color="auto"/>
      </w:divBdr>
    </w:div>
    <w:div w:id="20965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C7F24-BCFE-4027-9587-B9502DE67EAA}">
  <ds:schemaRefs>
    <ds:schemaRef ds:uri="http://purl.org/dc/terms/"/>
    <ds:schemaRef ds:uri="http://schemas.microsoft.com/office/2006/metadata/properties"/>
    <ds:schemaRef ds:uri="http://schemas.microsoft.com/office/2006/documentManagement/types"/>
    <ds:schemaRef ds:uri="http://www.w3.org/XML/1998/namespace"/>
    <ds:schemaRef ds:uri="32a1a8c5-2265-4ebc-b7a0-2071e2c5c9bb"/>
    <ds:schemaRef ds:uri="http://purl.org/dc/dcmitype/"/>
    <ds:schemaRef ds:uri="http://schemas.microsoft.com/office/infopath/2007/PartnerControls"/>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14DBEC39-CAA1-44A2-8647-07A2FB1B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6114F-12C8-4DC4-B2BE-9AB7D1C51C33}">
  <ds:schemaRefs>
    <ds:schemaRef ds:uri="http://schemas.microsoft.com/sharepoint/events"/>
  </ds:schemaRefs>
</ds:datastoreItem>
</file>

<file path=customXml/itemProps4.xml><?xml version="1.0" encoding="utf-8"?>
<ds:datastoreItem xmlns:ds="http://schemas.openxmlformats.org/officeDocument/2006/customXml" ds:itemID="{D435218A-E7B8-4982-A355-F077B1C8B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1345</Words>
  <Characters>7572</Characters>
  <Application>Microsoft Office Word</Application>
  <DocSecurity>0</DocSecurity>
  <Lines>149</Lines>
  <Paragraphs>70</Paragraphs>
  <ScaleCrop>false</ScaleCrop>
  <HeadingPairs>
    <vt:vector size="2" baseType="variant">
      <vt:variant>
        <vt:lpstr>Title</vt:lpstr>
      </vt:variant>
      <vt:variant>
        <vt:i4>1</vt:i4>
      </vt:variant>
    </vt:vector>
  </HeadingPairs>
  <TitlesOfParts>
    <vt:vector size="1" baseType="lpstr">
      <vt:lpstr>R16-WRC19-C-0075!A24!MSW-F</vt:lpstr>
    </vt:vector>
  </TitlesOfParts>
  <Manager>Secrétariat général - Pool</Manager>
  <Company>Union internationale des télécommunications (UIT)</Company>
  <LinksUpToDate>false</LinksUpToDate>
  <CharactersWithSpaces>8849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R16-WRC19-C-0075!A24!MSW-F</dc:title>
  <dc:subject>Conférence mondiale des radiocommunications - 2019</dc:subject>
  <dc:creator>Documents Proposals Manager (DPM)</dc:creator>
  <cp:keywords>DPM_v2019.10.15.2_prod</cp:keywords>
  <dc:description/>
  <cp:lastModifiedBy>French1</cp:lastModifiedBy>
  <cp:revision>15</cp:revision>
  <cp:lastPrinted>2019-10-28T10:40:00Z</cp:lastPrinted>
  <dcterms:created xsi:type="dcterms:W3CDTF">2019-10-28T09:40:00Z</dcterms:created>
  <dcterms:modified xsi:type="dcterms:W3CDTF">2019-10-28T10:40:00Z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