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A100D4" w14:paraId="513E2609" w14:textId="77777777" w:rsidTr="0050008E">
        <w:trPr>
          <w:cantSplit/>
        </w:trPr>
        <w:tc>
          <w:tcPr>
            <w:tcW w:w="6911" w:type="dxa"/>
          </w:tcPr>
          <w:p w14:paraId="2E1A513F" w14:textId="77777777" w:rsidR="00BB1D82" w:rsidRPr="00A100D4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A100D4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A100D4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A100D4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A100D4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A100D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A100D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A100D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A100D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A100D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A100D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A100D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A100D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A100D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A100D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A100D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A100D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A100D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42ABBB53" w14:textId="77777777" w:rsidR="00BB1D82" w:rsidRPr="00A100D4" w:rsidRDefault="000A55AE" w:rsidP="002C28A4">
            <w:pPr>
              <w:spacing w:before="0" w:line="240" w:lineRule="atLeast"/>
              <w:jc w:val="right"/>
              <w:rPr>
                <w:lang w:val="fr-CH"/>
              </w:rPr>
            </w:pPr>
            <w:bookmarkStart w:id="0" w:name="ditulogo"/>
            <w:bookmarkEnd w:id="0"/>
            <w:r w:rsidRPr="00A100D4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57D656E0" wp14:editId="54CFC51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100D4" w14:paraId="27D98543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45FAAA" w14:textId="77777777" w:rsidR="00BB1D82" w:rsidRPr="00A100D4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AE2BF8" w14:textId="77777777" w:rsidR="00BB1D82" w:rsidRPr="00A100D4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A100D4" w14:paraId="09A911FA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EDA2FB5" w14:textId="77777777" w:rsidR="00BB1D82" w:rsidRPr="00A100D4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36520D2" w14:textId="77777777" w:rsidR="00BB1D82" w:rsidRPr="00A100D4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A100D4" w14:paraId="1A87E46C" w14:textId="77777777" w:rsidTr="00BB1D82">
        <w:trPr>
          <w:cantSplit/>
        </w:trPr>
        <w:tc>
          <w:tcPr>
            <w:tcW w:w="6911" w:type="dxa"/>
          </w:tcPr>
          <w:p w14:paraId="362356B3" w14:textId="77777777" w:rsidR="00BB1D82" w:rsidRPr="00A100D4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A100D4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04C1D152" w14:textId="77777777" w:rsidR="00BB1D82" w:rsidRPr="00A100D4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A100D4">
              <w:rPr>
                <w:rFonts w:ascii="Verdana" w:hAnsi="Verdana"/>
                <w:b/>
                <w:sz w:val="20"/>
                <w:lang w:val="fr-CH"/>
              </w:rPr>
              <w:t>Addendum 7 au</w:t>
            </w:r>
            <w:r w:rsidRPr="00A100D4">
              <w:rPr>
                <w:rFonts w:ascii="Verdana" w:hAnsi="Verdana"/>
                <w:b/>
                <w:sz w:val="20"/>
                <w:lang w:val="fr-CH"/>
              </w:rPr>
              <w:br/>
              <w:t>Document 75(Add.21)</w:t>
            </w:r>
            <w:r w:rsidR="00BB1D82" w:rsidRPr="00A100D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A100D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A100D4" w14:paraId="4EA57F1D" w14:textId="77777777" w:rsidTr="00BB1D82">
        <w:trPr>
          <w:cantSplit/>
        </w:trPr>
        <w:tc>
          <w:tcPr>
            <w:tcW w:w="6911" w:type="dxa"/>
          </w:tcPr>
          <w:p w14:paraId="6A52CE76" w14:textId="77777777" w:rsidR="00690C7B" w:rsidRPr="00A100D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05C76CCC" w14:textId="77777777" w:rsidR="00690C7B" w:rsidRPr="00A100D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A100D4">
              <w:rPr>
                <w:rFonts w:ascii="Verdana" w:hAnsi="Verdana"/>
                <w:b/>
                <w:sz w:val="20"/>
                <w:lang w:val="fr-CH"/>
              </w:rPr>
              <w:t>7 octobre 2019</w:t>
            </w:r>
          </w:p>
        </w:tc>
      </w:tr>
      <w:tr w:rsidR="00690C7B" w:rsidRPr="00A100D4" w14:paraId="16719CD7" w14:textId="77777777" w:rsidTr="00BB1D82">
        <w:trPr>
          <w:cantSplit/>
        </w:trPr>
        <w:tc>
          <w:tcPr>
            <w:tcW w:w="6911" w:type="dxa"/>
          </w:tcPr>
          <w:p w14:paraId="3E0A4D6F" w14:textId="77777777" w:rsidR="00690C7B" w:rsidRPr="00A100D4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2C496342" w14:textId="77777777" w:rsidR="00690C7B" w:rsidRPr="00A100D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A100D4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A100D4" w14:paraId="0C8474F6" w14:textId="77777777" w:rsidTr="00C11970">
        <w:trPr>
          <w:cantSplit/>
        </w:trPr>
        <w:tc>
          <w:tcPr>
            <w:tcW w:w="10031" w:type="dxa"/>
            <w:gridSpan w:val="2"/>
          </w:tcPr>
          <w:p w14:paraId="1F9AB0FC" w14:textId="77777777" w:rsidR="00690C7B" w:rsidRPr="00A100D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A100D4" w14:paraId="047BCE41" w14:textId="77777777" w:rsidTr="0050008E">
        <w:trPr>
          <w:cantSplit/>
        </w:trPr>
        <w:tc>
          <w:tcPr>
            <w:tcW w:w="10031" w:type="dxa"/>
            <w:gridSpan w:val="2"/>
          </w:tcPr>
          <w:p w14:paraId="5087CACC" w14:textId="6B03AC6E" w:rsidR="00690C7B" w:rsidRPr="00A100D4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A100D4">
              <w:rPr>
                <w:lang w:val="fr-CH"/>
              </w:rPr>
              <w:t>Samoa (</w:t>
            </w:r>
            <w:r w:rsidR="00CD51E9" w:rsidRPr="00A100D4">
              <w:rPr>
                <w:lang w:val="fr-CH"/>
              </w:rPr>
              <w:t>É</w:t>
            </w:r>
            <w:r w:rsidRPr="00A100D4">
              <w:rPr>
                <w:lang w:val="fr-CH"/>
              </w:rPr>
              <w:t>tat indépendant du)</w:t>
            </w:r>
          </w:p>
        </w:tc>
      </w:tr>
      <w:tr w:rsidR="00690C7B" w:rsidRPr="00A100D4" w14:paraId="627C4F3A" w14:textId="77777777" w:rsidTr="0050008E">
        <w:trPr>
          <w:cantSplit/>
        </w:trPr>
        <w:tc>
          <w:tcPr>
            <w:tcW w:w="10031" w:type="dxa"/>
            <w:gridSpan w:val="2"/>
          </w:tcPr>
          <w:p w14:paraId="1CA4346F" w14:textId="77777777" w:rsidR="00690C7B" w:rsidRPr="00A100D4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A100D4">
              <w:rPr>
                <w:lang w:val="fr-CH"/>
              </w:rPr>
              <w:t>Propositions pour les travaux de la conférence</w:t>
            </w:r>
          </w:p>
        </w:tc>
      </w:tr>
      <w:tr w:rsidR="00690C7B" w:rsidRPr="00A100D4" w14:paraId="33A79490" w14:textId="77777777" w:rsidTr="0050008E">
        <w:trPr>
          <w:cantSplit/>
        </w:trPr>
        <w:tc>
          <w:tcPr>
            <w:tcW w:w="10031" w:type="dxa"/>
            <w:gridSpan w:val="2"/>
          </w:tcPr>
          <w:p w14:paraId="55F85A28" w14:textId="77777777" w:rsidR="00690C7B" w:rsidRPr="00A100D4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A100D4" w14:paraId="42D19598" w14:textId="77777777" w:rsidTr="0050008E">
        <w:trPr>
          <w:cantSplit/>
        </w:trPr>
        <w:tc>
          <w:tcPr>
            <w:tcW w:w="10031" w:type="dxa"/>
            <w:gridSpan w:val="2"/>
          </w:tcPr>
          <w:p w14:paraId="3EFB1E98" w14:textId="77777777" w:rsidR="00690C7B" w:rsidRPr="00A100D4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A100D4">
              <w:t>Point 9.1(9.1.7) de l'ordre du jour</w:t>
            </w:r>
          </w:p>
        </w:tc>
      </w:tr>
    </w:tbl>
    <w:bookmarkEnd w:id="5"/>
    <w:p w14:paraId="7D64C307" w14:textId="77777777" w:rsidR="001C0E40" w:rsidRPr="00A100D4" w:rsidRDefault="001C090A" w:rsidP="008158A1">
      <w:pPr>
        <w:rPr>
          <w:lang w:val="fr-CH"/>
        </w:rPr>
      </w:pPr>
      <w:r w:rsidRPr="00A100D4">
        <w:rPr>
          <w:lang w:val="fr-CH"/>
        </w:rPr>
        <w:t>9</w:t>
      </w:r>
      <w:r w:rsidRPr="00A100D4">
        <w:rPr>
          <w:lang w:val="fr-CH"/>
        </w:rPr>
        <w:tab/>
        <w:t>examiner et approuver le rapport du Directeur du Bureau des radiocommunications, conformément à l'article 7 de la Convention:</w:t>
      </w:r>
    </w:p>
    <w:p w14:paraId="1D9AE971" w14:textId="77777777" w:rsidR="001C0E40" w:rsidRPr="00A100D4" w:rsidRDefault="001C090A" w:rsidP="008158A1">
      <w:pPr>
        <w:rPr>
          <w:lang w:val="fr-CH"/>
        </w:rPr>
      </w:pPr>
      <w:r w:rsidRPr="00A100D4">
        <w:rPr>
          <w:lang w:val="fr-CH"/>
        </w:rPr>
        <w:t>9.1</w:t>
      </w:r>
      <w:r w:rsidRPr="00A100D4">
        <w:rPr>
          <w:lang w:val="fr-CH"/>
        </w:rPr>
        <w:tab/>
        <w:t>sur les activités du Secteur des radiocommunications depuis la CMR</w:t>
      </w:r>
      <w:r w:rsidRPr="00A100D4">
        <w:rPr>
          <w:lang w:val="fr-CH"/>
        </w:rPr>
        <w:noBreakHyphen/>
        <w:t>15;</w:t>
      </w:r>
    </w:p>
    <w:p w14:paraId="5AFA5E4E" w14:textId="670219D3" w:rsidR="001C0E40" w:rsidRPr="00A100D4" w:rsidRDefault="001C090A" w:rsidP="00B9505C">
      <w:pPr>
        <w:rPr>
          <w:lang w:val="fr-CH"/>
        </w:rPr>
      </w:pPr>
      <w:r w:rsidRPr="00A100D4">
        <w:rPr>
          <w:rFonts w:cstheme="majorBidi"/>
          <w:color w:val="000000"/>
          <w:szCs w:val="24"/>
          <w:lang w:val="fr-CH" w:eastAsia="zh-CN"/>
        </w:rPr>
        <w:t>9.1 (</w:t>
      </w:r>
      <w:r w:rsidRPr="00A100D4">
        <w:rPr>
          <w:lang w:val="fr-CH" w:eastAsia="zh-CN"/>
        </w:rPr>
        <w:t>9.1.7)</w:t>
      </w:r>
      <w:r w:rsidRPr="00A100D4">
        <w:rPr>
          <w:lang w:val="fr-CH"/>
        </w:rPr>
        <w:tab/>
      </w:r>
      <w:hyperlink w:anchor="RES_958" w:history="1">
        <w:r w:rsidRPr="00A100D4">
          <w:rPr>
            <w:lang w:val="fr-CH"/>
          </w:rPr>
          <w:t xml:space="preserve">Résolution </w:t>
        </w:r>
        <w:r w:rsidRPr="00A100D4">
          <w:rPr>
            <w:b/>
            <w:bCs/>
            <w:lang w:val="fr-CH"/>
          </w:rPr>
          <w:t>958 (CMR</w:t>
        </w:r>
        <w:r w:rsidRPr="00A100D4">
          <w:rPr>
            <w:b/>
            <w:bCs/>
            <w:lang w:val="fr-CH"/>
          </w:rPr>
          <w:noBreakHyphen/>
          <w:t>15)</w:t>
        </w:r>
      </w:hyperlink>
      <w:r w:rsidRPr="00A100D4">
        <w:rPr>
          <w:lang w:val="fr-CH"/>
        </w:rPr>
        <w:t xml:space="preserve"> – Annexe, point 2) </w:t>
      </w:r>
      <w:r w:rsidR="00CD51E9" w:rsidRPr="00A100D4">
        <w:rPr>
          <w:lang w:val="fr-CH" w:eastAsia="zh-CN"/>
        </w:rPr>
        <w:t>Études</w:t>
      </w:r>
      <w:r w:rsidRPr="00A100D4">
        <w:rPr>
          <w:lang w:val="fr-CH" w:eastAsia="zh-CN"/>
        </w:rPr>
        <w:t xml:space="preserve"> visant à déterminer: a) s'il est nécessaire de prendre éventuellement des mesures additionnelles pour limiter aux terminaux autorisés les émissions des terminaux sur la liaison montante, conformément au numéro </w:t>
      </w:r>
      <w:r w:rsidRPr="00A100D4">
        <w:rPr>
          <w:b/>
          <w:bCs/>
          <w:lang w:val="fr-CH" w:eastAsia="zh-CN"/>
        </w:rPr>
        <w:t>18.1</w:t>
      </w:r>
      <w:r w:rsidRPr="00A100D4">
        <w:rPr>
          <w:lang w:val="fr-CH" w:eastAsia="zh-CN"/>
        </w:rPr>
        <w:t>; b) les méthodes qui permettraient d'aider les administrations à gérer l'exploitation non autorisée des terminaux de stations terriennes déployés sur leur territoire, afin de leur fournir des orientations pour leur programme national de gestion du spectre, conformément à la Résolution UIT</w:t>
      </w:r>
      <w:r w:rsidRPr="00A100D4">
        <w:rPr>
          <w:lang w:val="fr-CH" w:eastAsia="zh-CN"/>
        </w:rPr>
        <w:noBreakHyphen/>
        <w:t>R 64 (AR</w:t>
      </w:r>
      <w:r w:rsidRPr="00A100D4">
        <w:rPr>
          <w:lang w:val="fr-CH" w:eastAsia="zh-CN"/>
        </w:rPr>
        <w:noBreakHyphen/>
        <w:t>15)</w:t>
      </w:r>
      <w:r w:rsidR="00753363" w:rsidRPr="00A100D4">
        <w:rPr>
          <w:lang w:val="fr-CH" w:eastAsia="zh-CN"/>
        </w:rPr>
        <w:t>.</w:t>
      </w:r>
    </w:p>
    <w:p w14:paraId="4F3D24A7" w14:textId="1C784AA2" w:rsidR="00533551" w:rsidRPr="00A100D4" w:rsidRDefault="00533551" w:rsidP="00075219">
      <w:pPr>
        <w:rPr>
          <w:rFonts w:eastAsiaTheme="minorHAnsi"/>
          <w:i/>
          <w:lang w:val="fr-CH"/>
        </w:rPr>
      </w:pPr>
      <w:bookmarkStart w:id="6" w:name="_Hlk22815469"/>
      <w:r w:rsidRPr="00A100D4">
        <w:rPr>
          <w:lang w:val="fr-CH"/>
        </w:rPr>
        <w:t xml:space="preserve">En ce qui concerne la Question 2a) figurant dans l'Annexe de la Résolution </w:t>
      </w:r>
      <w:r w:rsidRPr="00A100D4">
        <w:rPr>
          <w:b/>
          <w:lang w:val="fr-CH"/>
        </w:rPr>
        <w:t>958 (CMR-15)</w:t>
      </w:r>
      <w:r w:rsidRPr="00A100D4">
        <w:rPr>
          <w:lang w:val="fr-CH"/>
        </w:rPr>
        <w:t xml:space="preserve">, deux options figurent dans le Rapport de la RPC: </w:t>
      </w:r>
    </w:p>
    <w:p w14:paraId="77B3FCD2" w14:textId="2945F709" w:rsidR="00533551" w:rsidRPr="00A100D4" w:rsidRDefault="00187B34" w:rsidP="00187B34">
      <w:pPr>
        <w:pStyle w:val="enumlev1"/>
        <w:rPr>
          <w:lang w:val="fr-CH"/>
        </w:rPr>
      </w:pPr>
      <w:r w:rsidRPr="00A100D4">
        <w:rPr>
          <w:b/>
          <w:lang w:val="fr-CH"/>
        </w:rPr>
        <w:t>•</w:t>
      </w:r>
      <w:r w:rsidRPr="00A100D4">
        <w:rPr>
          <w:b/>
          <w:lang w:val="fr-CH"/>
        </w:rPr>
        <w:tab/>
      </w:r>
      <w:r w:rsidR="00533551" w:rsidRPr="00A100D4">
        <w:rPr>
          <w:b/>
          <w:lang w:val="fr-CH"/>
        </w:rPr>
        <w:t>Option 1</w:t>
      </w:r>
      <w:r w:rsidR="00533551" w:rsidRPr="00A100D4">
        <w:rPr>
          <w:lang w:val="fr-CH"/>
        </w:rPr>
        <w:t>: aucune modification du Règlement des radiocommunications</w:t>
      </w:r>
      <w:r w:rsidR="00AD551A" w:rsidRPr="00A100D4">
        <w:rPr>
          <w:lang w:val="fr-CH"/>
        </w:rPr>
        <w:t xml:space="preserve"> n'est nécessaire</w:t>
      </w:r>
      <w:r w:rsidR="00533551" w:rsidRPr="00A100D4">
        <w:rPr>
          <w:lang w:val="fr-CH"/>
        </w:rPr>
        <w:t>, les mesures existant actuellement, en particulier les dispositions de l'Article</w:t>
      </w:r>
      <w:r w:rsidR="00753363" w:rsidRPr="00A100D4">
        <w:rPr>
          <w:lang w:val="fr-CH"/>
        </w:rPr>
        <w:t> </w:t>
      </w:r>
      <w:r w:rsidR="00533551" w:rsidRPr="00A100D4">
        <w:rPr>
          <w:b/>
          <w:bCs/>
          <w:lang w:val="fr-CH"/>
        </w:rPr>
        <w:t>18</w:t>
      </w:r>
      <w:r w:rsidR="00533551" w:rsidRPr="00A100D4">
        <w:rPr>
          <w:lang w:val="fr-CH"/>
        </w:rPr>
        <w:t xml:space="preserve"> du RR, énonçant de manière claire et sans ambigüité l'obligation, pour pouvoir exploiter une station terrienne, d'y être dûment autorisé. </w:t>
      </w:r>
    </w:p>
    <w:p w14:paraId="4EF7028B" w14:textId="432A3AD2" w:rsidR="00533551" w:rsidRPr="00A100D4" w:rsidRDefault="00187B34" w:rsidP="00187B34">
      <w:pPr>
        <w:pStyle w:val="enumlev1"/>
        <w:rPr>
          <w:lang w:val="fr-CH"/>
        </w:rPr>
      </w:pPr>
      <w:r w:rsidRPr="00A100D4">
        <w:rPr>
          <w:b/>
          <w:lang w:val="fr-CH"/>
        </w:rPr>
        <w:t>•</w:t>
      </w:r>
      <w:r w:rsidRPr="00A100D4">
        <w:rPr>
          <w:b/>
          <w:lang w:val="fr-CH"/>
        </w:rPr>
        <w:tab/>
      </w:r>
      <w:r w:rsidR="00533551" w:rsidRPr="00A100D4">
        <w:rPr>
          <w:b/>
          <w:lang w:val="fr-CH"/>
        </w:rPr>
        <w:t>Option 2</w:t>
      </w:r>
      <w:r w:rsidR="00533551" w:rsidRPr="00A100D4">
        <w:rPr>
          <w:lang w:val="fr-CH"/>
        </w:rPr>
        <w:t xml:space="preserve">: élaborer une nouvelle Résolution de la CMR pour aider les administrations à appliquer le numéro </w:t>
      </w:r>
      <w:r w:rsidR="00533551" w:rsidRPr="00A100D4">
        <w:rPr>
          <w:b/>
          <w:lang w:val="fr-CH"/>
        </w:rPr>
        <w:t>18.1</w:t>
      </w:r>
      <w:r w:rsidR="00533551" w:rsidRPr="00A100D4">
        <w:rPr>
          <w:lang w:val="fr-CH"/>
        </w:rPr>
        <w:t xml:space="preserve"> du RR. </w:t>
      </w:r>
    </w:p>
    <w:p w14:paraId="50F63884" w14:textId="77777777" w:rsidR="00533551" w:rsidRPr="00A100D4" w:rsidRDefault="00533551" w:rsidP="00DE0B0F">
      <w:pPr>
        <w:pStyle w:val="Headingb"/>
        <w:rPr>
          <w:lang w:val="fr-CH"/>
        </w:rPr>
      </w:pPr>
      <w:r w:rsidRPr="00A100D4">
        <w:rPr>
          <w:lang w:val="fr-CH"/>
        </w:rPr>
        <w:t>Considérations générales et études de l'UIT-R</w:t>
      </w:r>
    </w:p>
    <w:p w14:paraId="10E306AF" w14:textId="0005D089" w:rsidR="00533551" w:rsidRPr="00A100D4" w:rsidRDefault="00533551" w:rsidP="00D90559">
      <w:pPr>
        <w:rPr>
          <w:lang w:val="fr-CH"/>
        </w:rPr>
      </w:pPr>
      <w:r w:rsidRPr="00A100D4">
        <w:rPr>
          <w:lang w:val="fr-CH"/>
        </w:rPr>
        <w:t xml:space="preserve">L'ajout de nouvelles dispositions dans le Règlement des radiocommunications n'aidera pas à résoudre le problème des stations terriennes exploitées de manière illicite, étant donné que les mesures réglementaires internationales dont il est question dans l'Article </w:t>
      </w:r>
      <w:r w:rsidRPr="00A100D4">
        <w:rPr>
          <w:b/>
          <w:lang w:val="fr-CH"/>
        </w:rPr>
        <w:t>18</w:t>
      </w:r>
      <w:r w:rsidRPr="00A100D4">
        <w:rPr>
          <w:lang w:val="fr-CH"/>
        </w:rPr>
        <w:t xml:space="preserve"> du RR sont suffisantes pour traiter la question de</w:t>
      </w:r>
      <w:r w:rsidR="00AD551A" w:rsidRPr="00A100D4">
        <w:rPr>
          <w:lang w:val="fr-CH"/>
        </w:rPr>
        <w:t xml:space="preserve"> l'exploitation </w:t>
      </w:r>
      <w:r w:rsidRPr="00A100D4">
        <w:rPr>
          <w:lang w:val="fr-CH"/>
        </w:rPr>
        <w:t>non autorisée</w:t>
      </w:r>
      <w:r w:rsidR="00AD551A" w:rsidRPr="00A100D4">
        <w:rPr>
          <w:lang w:val="fr-CH"/>
        </w:rPr>
        <w:t xml:space="preserve"> de </w:t>
      </w:r>
      <w:r w:rsidRPr="00A100D4">
        <w:rPr>
          <w:lang w:val="fr-CH"/>
        </w:rPr>
        <w:t>stations terriennes dans le service fixe par satellite.</w:t>
      </w:r>
    </w:p>
    <w:p w14:paraId="70841C2C" w14:textId="77777777" w:rsidR="00533551" w:rsidRPr="00A100D4" w:rsidRDefault="00533551" w:rsidP="00D90559">
      <w:pPr>
        <w:rPr>
          <w:lang w:val="fr-CH"/>
        </w:rPr>
      </w:pPr>
      <w:r w:rsidRPr="00A100D4">
        <w:rPr>
          <w:lang w:val="fr-CH"/>
        </w:rPr>
        <w:t>Toutefois, il convient de tenir compte des préoccupations des administrations affectées par l'exploitation non autorisée de terminaux de stations terriennes.</w:t>
      </w:r>
    </w:p>
    <w:p w14:paraId="1739B175" w14:textId="096B09DB" w:rsidR="00533551" w:rsidRPr="00A100D4" w:rsidRDefault="00533551" w:rsidP="00C008B3">
      <w:pPr>
        <w:spacing w:after="120"/>
        <w:rPr>
          <w:lang w:val="fr-CH"/>
        </w:rPr>
      </w:pPr>
      <w:r w:rsidRPr="00A100D4">
        <w:rPr>
          <w:lang w:val="fr-CH"/>
        </w:rPr>
        <w:lastRenderedPageBreak/>
        <w:t xml:space="preserve">Les Rapports de l'UIT-R, ainsi que </w:t>
      </w:r>
      <w:r w:rsidR="006F3B6C" w:rsidRPr="00A100D4">
        <w:rPr>
          <w:lang w:val="fr-CH"/>
        </w:rPr>
        <w:t xml:space="preserve">la formation et </w:t>
      </w:r>
      <w:r w:rsidRPr="00A100D4">
        <w:rPr>
          <w:lang w:val="fr-CH"/>
        </w:rPr>
        <w:t>les installation</w:t>
      </w:r>
      <w:r w:rsidR="00AD551A" w:rsidRPr="00A100D4">
        <w:rPr>
          <w:lang w:val="fr-CH"/>
        </w:rPr>
        <w:t>s</w:t>
      </w:r>
      <w:r w:rsidRPr="00A100D4">
        <w:rPr>
          <w:lang w:val="fr-CH"/>
        </w:rPr>
        <w:t xml:space="preserve"> de contrôle des émissions, peuvent aider les administrations nationales à prévenir l'utilisation non autorisée de terminaux</w:t>
      </w:r>
      <w:r w:rsidR="00AD551A" w:rsidRPr="00A100D4">
        <w:rPr>
          <w:lang w:val="fr-CH"/>
        </w:rPr>
        <w:t xml:space="preserve"> de stations terriennes</w:t>
      </w:r>
      <w:r w:rsidRPr="00A100D4">
        <w:rPr>
          <w:lang w:val="fr-CH"/>
        </w:rPr>
        <w:t xml:space="preserve"> en liaison montante et leur permettre de localiser les émissions n</w:t>
      </w:r>
      <w:bookmarkStart w:id="7" w:name="_GoBack"/>
      <w:bookmarkEnd w:id="7"/>
      <w:r w:rsidRPr="00A100D4">
        <w:rPr>
          <w:lang w:val="fr-CH"/>
        </w:rPr>
        <w:t xml:space="preserve">on autorisées et d'y mettre fin. Ainsi, en ce qui concerne la Question 2b figurant dans l'Annexe de la Résolution </w:t>
      </w:r>
      <w:r w:rsidRPr="00A100D4">
        <w:rPr>
          <w:b/>
          <w:lang w:val="fr-CH"/>
        </w:rPr>
        <w:t>958 (CMR-15)</w:t>
      </w:r>
      <w:r w:rsidRPr="00A100D4">
        <w:rPr>
          <w:lang w:val="fr-CH"/>
        </w:rPr>
        <w:t xml:space="preserve">, </w:t>
      </w:r>
      <w:r w:rsidR="00AD551A" w:rsidRPr="00A100D4">
        <w:rPr>
          <w:lang w:val="fr-CH"/>
        </w:rPr>
        <w:t>la seule option</w:t>
      </w:r>
      <w:r w:rsidRPr="00A100D4">
        <w:rPr>
          <w:lang w:val="fr-CH"/>
        </w:rPr>
        <w:t xml:space="preserve"> figurant dans le Rapport de la RPC consiste à fournir les lignes directrices nécessaires sur les installations de contrôle des émissions par satellite, et à revoir éventuellement les Rapports ou les Manuels existants de l'UIT-R, ou à étoffer ces rapports et manuels, afin d'aider les administrations à gérer l'exploitation non autorisée des stations terriennes déployées sur leur territoire, afin de leur fournir des orientations pour leur programme national de gestion du spectre.</w:t>
      </w:r>
    </w:p>
    <w:p w14:paraId="1B599785" w14:textId="6C225A1E" w:rsidR="00533551" w:rsidRPr="00A100D4" w:rsidRDefault="00533551" w:rsidP="00C008B3">
      <w:pPr>
        <w:spacing w:after="120"/>
        <w:rPr>
          <w:lang w:val="fr-CH"/>
        </w:rPr>
      </w:pPr>
      <w:r w:rsidRPr="00A100D4">
        <w:rPr>
          <w:lang w:val="fr-CH"/>
        </w:rPr>
        <w:t xml:space="preserve">Les travaux actuellement menés par le Groupe de travail (GT) 1C de l'UIT-R sur la Recommandation UIT-R SM.[APP10] relative aux lignes directrices à l'usage des </w:t>
      </w:r>
      <w:r w:rsidR="00AD551A" w:rsidRPr="00A100D4">
        <w:rPr>
          <w:lang w:val="fr-CH"/>
        </w:rPr>
        <w:t>administrations</w:t>
      </w:r>
      <w:r w:rsidRPr="00A100D4">
        <w:rPr>
          <w:lang w:val="fr-CH"/>
        </w:rPr>
        <w:t xml:space="preserve"> subissant des brouillages préjudiciables constituent un exemple de la façon dont de telles lignes directrices peuvent être élaborées dans le cadre de l'UIT-R. </w:t>
      </w:r>
      <w:r w:rsidR="00AD551A" w:rsidRPr="00A100D4">
        <w:rPr>
          <w:lang w:val="fr-CH"/>
        </w:rPr>
        <w:t>Cette</w:t>
      </w:r>
      <w:r w:rsidRPr="00A100D4">
        <w:rPr>
          <w:lang w:val="fr-CH"/>
        </w:rPr>
        <w:t xml:space="preserve"> Recommandation vise à compléter le format prescrit dans l'Appendice </w:t>
      </w:r>
      <w:r w:rsidRPr="00A100D4">
        <w:rPr>
          <w:b/>
          <w:lang w:val="fr-CH"/>
        </w:rPr>
        <w:t>10</w:t>
      </w:r>
      <w:r w:rsidRPr="00A100D4">
        <w:rPr>
          <w:lang w:val="fr-CH"/>
        </w:rPr>
        <w:t xml:space="preserve"> du Règlement des radiocommunications pour faciliter la coopération et l'échange d'informations entre plusieurs parties, notamment entre les administrations concernées, l'installation de contrôle des émissions </w:t>
      </w:r>
      <w:r w:rsidR="008964E2" w:rsidRPr="00A100D4">
        <w:rPr>
          <w:lang w:val="fr-CH"/>
        </w:rPr>
        <w:t xml:space="preserve">par satellite </w:t>
      </w:r>
      <w:r w:rsidRPr="00A100D4">
        <w:rPr>
          <w:lang w:val="fr-CH"/>
        </w:rPr>
        <w:t xml:space="preserve">et le Bureau des radiocommunications de l'UIT. La Recommandation UIT-R RS.2106 fournit des lignes directrices analogues pour la détection et la résolution des </w:t>
      </w:r>
      <w:r w:rsidR="00AD551A" w:rsidRPr="00A100D4">
        <w:rPr>
          <w:lang w:val="fr-CH"/>
        </w:rPr>
        <w:t>brouillages causés par des</w:t>
      </w:r>
      <w:r w:rsidRPr="00A100D4">
        <w:rPr>
          <w:lang w:val="fr-CH"/>
        </w:rPr>
        <w:t xml:space="preserve"> capteurs du service d'exploration de la Terre par satellite (passive).</w:t>
      </w:r>
    </w:p>
    <w:p w14:paraId="57167DC4" w14:textId="27C5DC12" w:rsidR="00533551" w:rsidRPr="00A100D4" w:rsidRDefault="00533551" w:rsidP="00C008B3">
      <w:pPr>
        <w:spacing w:after="120"/>
        <w:rPr>
          <w:lang w:val="fr-CH"/>
        </w:rPr>
      </w:pPr>
      <w:r w:rsidRPr="00A100D4">
        <w:rPr>
          <w:lang w:val="fr-CH"/>
        </w:rPr>
        <w:t xml:space="preserve">À titre d'exemple, on peut également citer le Rapport UIT-R SM.2424 sur les </w:t>
      </w:r>
      <w:r w:rsidR="00EE03BE" w:rsidRPr="00A100D4">
        <w:rPr>
          <w:lang w:val="fr-CH"/>
        </w:rPr>
        <w:t>«</w:t>
      </w:r>
      <w:r w:rsidRPr="00A100D4">
        <w:rPr>
          <w:lang w:val="fr-CH"/>
        </w:rPr>
        <w:t>Techniques de mesure et techniques nouvelles en matière de contrôle des émissions de satellites</w:t>
      </w:r>
      <w:r w:rsidR="00EE03BE" w:rsidRPr="00A100D4">
        <w:rPr>
          <w:lang w:val="fr-CH"/>
        </w:rPr>
        <w:t>»</w:t>
      </w:r>
      <w:r w:rsidRPr="00A100D4">
        <w:rPr>
          <w:lang w:val="fr-CH"/>
        </w:rPr>
        <w:t xml:space="preserve">, élaboré par le GT 1C et approuvé par la Commission d'études 1 de l'UIT-R en 2018, ou l'avant-projet de révision de la Recommandation UIT-R SM.1392-2, intitulée </w:t>
      </w:r>
      <w:r w:rsidR="001A277B" w:rsidRPr="00A100D4">
        <w:rPr>
          <w:lang w:val="fr-CH"/>
        </w:rPr>
        <w:t>«</w:t>
      </w:r>
      <w:r w:rsidRPr="00A100D4">
        <w:rPr>
          <w:lang w:val="fr-CH"/>
        </w:rPr>
        <w:t>Cahier des charges principal d'un système de contrôle du spectre pour les pays en développement</w:t>
      </w:r>
      <w:r w:rsidR="001A277B" w:rsidRPr="00A100D4">
        <w:rPr>
          <w:lang w:val="fr-CH"/>
        </w:rPr>
        <w:t>»</w:t>
      </w:r>
      <w:r w:rsidRPr="00A100D4">
        <w:rPr>
          <w:lang w:val="fr-CH"/>
        </w:rPr>
        <w:t>.</w:t>
      </w:r>
    </w:p>
    <w:p w14:paraId="14E3A7BD" w14:textId="27584E97" w:rsidR="00533551" w:rsidRPr="00A100D4" w:rsidRDefault="00533551" w:rsidP="00C008B3">
      <w:pPr>
        <w:spacing w:after="120"/>
        <w:rPr>
          <w:lang w:val="fr-CH"/>
        </w:rPr>
      </w:pPr>
      <w:r w:rsidRPr="00A100D4">
        <w:rPr>
          <w:lang w:val="fr-CH"/>
        </w:rPr>
        <w:t xml:space="preserve">Ces exemples sont </w:t>
      </w:r>
      <w:r w:rsidR="00AD551A" w:rsidRPr="00A100D4">
        <w:rPr>
          <w:lang w:val="fr-CH"/>
        </w:rPr>
        <w:t xml:space="preserve">utiles aux fins de l'élaboration de </w:t>
      </w:r>
      <w:r w:rsidRPr="00A100D4">
        <w:rPr>
          <w:lang w:val="fr-CH"/>
        </w:rPr>
        <w:t xml:space="preserve">lignes directrices visant à faciliter la coopération entre les administrations, les installations de contrôle des émissions </w:t>
      </w:r>
      <w:r w:rsidR="008964E2" w:rsidRPr="00A100D4">
        <w:rPr>
          <w:lang w:val="fr-CH"/>
        </w:rPr>
        <w:t xml:space="preserve">par satellite </w:t>
      </w:r>
      <w:r w:rsidRPr="00A100D4">
        <w:rPr>
          <w:lang w:val="fr-CH"/>
        </w:rPr>
        <w:t>et le Bureau des radiocommunications de l'UIT au sein de l'UIT-R</w:t>
      </w:r>
      <w:r w:rsidR="00AD551A" w:rsidRPr="00A100D4">
        <w:rPr>
          <w:lang w:val="fr-CH"/>
        </w:rPr>
        <w:t>,</w:t>
      </w:r>
      <w:r w:rsidRPr="00A100D4">
        <w:rPr>
          <w:lang w:val="fr-CH"/>
        </w:rPr>
        <w:t xml:space="preserve"> lorsque l'exploitation non autorisée de terminaux de stations terriennes est détectée par une administration. </w:t>
      </w:r>
    </w:p>
    <w:p w14:paraId="7CA6C7D6" w14:textId="6A15B677" w:rsidR="00533551" w:rsidRPr="00A100D4" w:rsidRDefault="00533551" w:rsidP="00C008B3">
      <w:pPr>
        <w:spacing w:after="120"/>
        <w:rPr>
          <w:lang w:val="fr-CH"/>
        </w:rPr>
      </w:pPr>
      <w:r w:rsidRPr="00A100D4">
        <w:rPr>
          <w:lang w:val="fr-CH"/>
        </w:rPr>
        <w:t>Ces lignes directrices aideront les administrations à gérer (c'est-à-dire à identifier et à géolocaliser) l'exploitation non autorisée des terminaux de stations terriennes, à notifier ces cas et à mettre effectivement</w:t>
      </w:r>
      <w:r w:rsidR="00AD551A" w:rsidRPr="00A100D4">
        <w:rPr>
          <w:lang w:val="fr-CH"/>
        </w:rPr>
        <w:t xml:space="preserve"> fin</w:t>
      </w:r>
      <w:r w:rsidRPr="00A100D4">
        <w:rPr>
          <w:lang w:val="fr-CH"/>
        </w:rPr>
        <w:t xml:space="preserve"> à toute exploitation non autorisée sur leur territoire, en coopération avec toutes les parties concernées. </w:t>
      </w:r>
    </w:p>
    <w:p w14:paraId="22F0CD4D" w14:textId="77777777" w:rsidR="00533551" w:rsidRPr="00A100D4" w:rsidRDefault="00533551" w:rsidP="00C008B3">
      <w:pPr>
        <w:pStyle w:val="Headingb"/>
        <w:rPr>
          <w:lang w:val="fr-CH"/>
        </w:rPr>
      </w:pPr>
      <w:r w:rsidRPr="00A100D4">
        <w:rPr>
          <w:lang w:val="fr-CH"/>
        </w:rPr>
        <w:t>Proposition soumise à la CMR-19</w:t>
      </w:r>
    </w:p>
    <w:p w14:paraId="0B00D699" w14:textId="6EF06F62" w:rsidR="00533551" w:rsidRPr="00A100D4" w:rsidRDefault="00533551" w:rsidP="00C008B3">
      <w:pPr>
        <w:spacing w:after="120"/>
        <w:rPr>
          <w:lang w:val="fr-CH"/>
        </w:rPr>
      </w:pPr>
      <w:r w:rsidRPr="00A100D4">
        <w:rPr>
          <w:lang w:val="fr-CH"/>
        </w:rPr>
        <w:t>Compte tenu des préoccupations des administrations affectées par l'exploitation non autorisée de terminaux de stations terriennes, les méthodes suivantes sont proposées pour traiter la question</w:t>
      </w:r>
      <w:r w:rsidR="00753363" w:rsidRPr="00A100D4">
        <w:rPr>
          <w:lang w:val="fr-CH"/>
        </w:rPr>
        <w:t> </w:t>
      </w:r>
      <w:r w:rsidRPr="00A100D4">
        <w:rPr>
          <w:lang w:val="fr-CH"/>
        </w:rPr>
        <w:t>9.1.7</w:t>
      </w:r>
      <w:r w:rsidR="00C658BC" w:rsidRPr="00A100D4">
        <w:rPr>
          <w:lang w:val="fr-CH"/>
        </w:rPr>
        <w:t>:</w:t>
      </w:r>
    </w:p>
    <w:p w14:paraId="3A3553F8" w14:textId="5E05D78F" w:rsidR="00533551" w:rsidRPr="00A100D4" w:rsidRDefault="00533551" w:rsidP="00C008B3">
      <w:pPr>
        <w:spacing w:after="120"/>
        <w:rPr>
          <w:lang w:val="fr-CH"/>
        </w:rPr>
      </w:pPr>
      <w:r w:rsidRPr="00A100D4">
        <w:rPr>
          <w:lang w:val="fr-CH"/>
        </w:rPr>
        <w:t>Question 2a: Option 1: aucune modification du Règlement des radiocommunications, les mesures existant actuellement étant suffisantes.</w:t>
      </w:r>
    </w:p>
    <w:p w14:paraId="2AE32743" w14:textId="212B6B1C" w:rsidR="00533551" w:rsidRPr="00A100D4" w:rsidRDefault="00533551" w:rsidP="00C008B3">
      <w:pPr>
        <w:spacing w:after="120"/>
        <w:rPr>
          <w:lang w:val="fr-CH"/>
        </w:rPr>
      </w:pPr>
      <w:r w:rsidRPr="00A100D4">
        <w:rPr>
          <w:lang w:val="fr-CH"/>
        </w:rPr>
        <w:t>Question 2b: Fournir les lignes directrices nécessaires sur les installations de contrôle des émissions par satellite, et revoir éventuellement les Rapports ou les Manuels de l'UIT-R, et/ou étoffer ces rapports et manuels, afin d'aider les administrations à gérer l'exploitation non autorisée des terminaux de stations terriennes déployés sur leur territoire, afin de leur fournir des orientations pour leur programme national de gestion du spectre.</w:t>
      </w:r>
    </w:p>
    <w:bookmarkEnd w:id="6"/>
    <w:p w14:paraId="36BA5F15" w14:textId="77777777" w:rsidR="00774B49" w:rsidRPr="00A100D4" w:rsidRDefault="00774B49">
      <w:pPr>
        <w:jc w:val="center"/>
        <w:rPr>
          <w:lang w:val="fr-CH"/>
        </w:rPr>
      </w:pPr>
      <w:r w:rsidRPr="00A100D4">
        <w:rPr>
          <w:lang w:val="fr-CH"/>
        </w:rPr>
        <w:t>______________</w:t>
      </w:r>
    </w:p>
    <w:sectPr w:rsidR="00774B49" w:rsidRPr="00A100D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B3A1F" w14:textId="77777777" w:rsidR="0070076C" w:rsidRDefault="0070076C">
      <w:r>
        <w:separator/>
      </w:r>
    </w:p>
  </w:endnote>
  <w:endnote w:type="continuationSeparator" w:id="0">
    <w:p w14:paraId="617E0F0D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B0060" w14:textId="6BAED3E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C5F8D">
      <w:rPr>
        <w:noProof/>
        <w:lang w:val="en-US"/>
      </w:rPr>
      <w:t>P:\FRA\ITU-R\CONF-R\CMR19\000\075ADD21ADD07F.docx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5F8D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5F8D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14119" w14:textId="198EAB7C" w:rsidR="00936D25" w:rsidRPr="001C090A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C5F8D">
      <w:rPr>
        <w:lang w:val="en-US"/>
      </w:rPr>
      <w:t>P:\FRA\ITU-R\CONF-R\CMR19\000\075ADD21ADD07F.docx</w:t>
    </w:r>
    <w:r>
      <w:fldChar w:fldCharType="end"/>
    </w:r>
    <w:r w:rsidR="001C090A" w:rsidRPr="001C090A">
      <w:rPr>
        <w:lang w:val="en-GB"/>
      </w:rPr>
      <w:t xml:space="preserve"> </w:t>
    </w:r>
    <w:r w:rsidR="001C090A">
      <w:rPr>
        <w:lang w:val="en-GB"/>
      </w:rPr>
      <w:t>(462143)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685E" w14:textId="188A8226" w:rsidR="00936D25" w:rsidRPr="001C090A" w:rsidRDefault="00936D25" w:rsidP="001A11F6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C5F8D">
      <w:rPr>
        <w:lang w:val="en-US"/>
      </w:rPr>
      <w:t>P:\FRA\ITU-R\CONF-R\CMR19\000\075ADD21ADD07F.docx</w:t>
    </w:r>
    <w:r>
      <w:fldChar w:fldCharType="end"/>
    </w:r>
    <w:r w:rsidR="001C090A" w:rsidRPr="001C090A">
      <w:rPr>
        <w:lang w:val="en-GB"/>
      </w:rPr>
      <w:t xml:space="preserve"> </w:t>
    </w:r>
    <w:r w:rsidR="001C090A">
      <w:rPr>
        <w:lang w:val="en-GB"/>
      </w:rPr>
      <w:t>(462143)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C48B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1A80D1B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5DC9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0F5EC6C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75(Add.21)(Add.7)-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8995F08"/>
    <w:multiLevelType w:val="hybridMultilevel"/>
    <w:tmpl w:val="F1C01A18"/>
    <w:lvl w:ilvl="0" w:tplc="016E48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6214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E67F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CAEB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029D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B0FF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8A9A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440C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6ECA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42FF"/>
    <w:rsid w:val="00016648"/>
    <w:rsid w:val="0003522F"/>
    <w:rsid w:val="00063A1F"/>
    <w:rsid w:val="00075219"/>
    <w:rsid w:val="00080E2C"/>
    <w:rsid w:val="00081366"/>
    <w:rsid w:val="000863B3"/>
    <w:rsid w:val="000A4755"/>
    <w:rsid w:val="000A55AE"/>
    <w:rsid w:val="000B2E0C"/>
    <w:rsid w:val="000B3D0C"/>
    <w:rsid w:val="00103933"/>
    <w:rsid w:val="00105EBA"/>
    <w:rsid w:val="001167B9"/>
    <w:rsid w:val="001267A0"/>
    <w:rsid w:val="0015203F"/>
    <w:rsid w:val="00160C64"/>
    <w:rsid w:val="0018169B"/>
    <w:rsid w:val="00187B34"/>
    <w:rsid w:val="0019352B"/>
    <w:rsid w:val="001960D0"/>
    <w:rsid w:val="001A11F6"/>
    <w:rsid w:val="001A277B"/>
    <w:rsid w:val="001C090A"/>
    <w:rsid w:val="001F17E8"/>
    <w:rsid w:val="00204306"/>
    <w:rsid w:val="00232FD2"/>
    <w:rsid w:val="0026554E"/>
    <w:rsid w:val="002850EB"/>
    <w:rsid w:val="002A4622"/>
    <w:rsid w:val="002A6F8F"/>
    <w:rsid w:val="002B17E5"/>
    <w:rsid w:val="002C0EBF"/>
    <w:rsid w:val="002C28A4"/>
    <w:rsid w:val="002D7E0A"/>
    <w:rsid w:val="002F050B"/>
    <w:rsid w:val="00315AFE"/>
    <w:rsid w:val="003606A6"/>
    <w:rsid w:val="0036650C"/>
    <w:rsid w:val="00393ACD"/>
    <w:rsid w:val="00394844"/>
    <w:rsid w:val="003A583E"/>
    <w:rsid w:val="003E112B"/>
    <w:rsid w:val="003E1D1C"/>
    <w:rsid w:val="003E5997"/>
    <w:rsid w:val="003E7B05"/>
    <w:rsid w:val="003F3719"/>
    <w:rsid w:val="003F6F2D"/>
    <w:rsid w:val="00414F60"/>
    <w:rsid w:val="00466211"/>
    <w:rsid w:val="00483196"/>
    <w:rsid w:val="004834A9"/>
    <w:rsid w:val="004D01FC"/>
    <w:rsid w:val="004E28C3"/>
    <w:rsid w:val="004F1F8E"/>
    <w:rsid w:val="00512A32"/>
    <w:rsid w:val="00533551"/>
    <w:rsid w:val="005343DA"/>
    <w:rsid w:val="00560874"/>
    <w:rsid w:val="00586CF2"/>
    <w:rsid w:val="005A7C75"/>
    <w:rsid w:val="005C3768"/>
    <w:rsid w:val="005C6C3F"/>
    <w:rsid w:val="00613635"/>
    <w:rsid w:val="0062093D"/>
    <w:rsid w:val="00627842"/>
    <w:rsid w:val="00637ECF"/>
    <w:rsid w:val="00647B59"/>
    <w:rsid w:val="00690C7B"/>
    <w:rsid w:val="006A4B45"/>
    <w:rsid w:val="006C5F8D"/>
    <w:rsid w:val="006D4724"/>
    <w:rsid w:val="006F3B6C"/>
    <w:rsid w:val="006F5FA2"/>
    <w:rsid w:val="0070076C"/>
    <w:rsid w:val="00701BAE"/>
    <w:rsid w:val="00721F04"/>
    <w:rsid w:val="00730E95"/>
    <w:rsid w:val="007426B9"/>
    <w:rsid w:val="00753363"/>
    <w:rsid w:val="00764342"/>
    <w:rsid w:val="00774362"/>
    <w:rsid w:val="00774B49"/>
    <w:rsid w:val="00786598"/>
    <w:rsid w:val="00790C74"/>
    <w:rsid w:val="007A04E8"/>
    <w:rsid w:val="007B2C34"/>
    <w:rsid w:val="007D794D"/>
    <w:rsid w:val="007E3052"/>
    <w:rsid w:val="00830086"/>
    <w:rsid w:val="00851625"/>
    <w:rsid w:val="00863C0A"/>
    <w:rsid w:val="008964E2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100D4"/>
    <w:rsid w:val="00A37105"/>
    <w:rsid w:val="00A606C3"/>
    <w:rsid w:val="00A83B09"/>
    <w:rsid w:val="00A84541"/>
    <w:rsid w:val="00AD551A"/>
    <w:rsid w:val="00AE36A0"/>
    <w:rsid w:val="00B00294"/>
    <w:rsid w:val="00B3749C"/>
    <w:rsid w:val="00B64FD0"/>
    <w:rsid w:val="00BA5BD0"/>
    <w:rsid w:val="00BB1D82"/>
    <w:rsid w:val="00BD51C5"/>
    <w:rsid w:val="00BF26E7"/>
    <w:rsid w:val="00C008B3"/>
    <w:rsid w:val="00C53FCA"/>
    <w:rsid w:val="00C658BC"/>
    <w:rsid w:val="00C76BAF"/>
    <w:rsid w:val="00C814B9"/>
    <w:rsid w:val="00C8377C"/>
    <w:rsid w:val="00CD516F"/>
    <w:rsid w:val="00CD51E9"/>
    <w:rsid w:val="00D119A7"/>
    <w:rsid w:val="00D25FBA"/>
    <w:rsid w:val="00D32B28"/>
    <w:rsid w:val="00D42954"/>
    <w:rsid w:val="00D66EAC"/>
    <w:rsid w:val="00D730DF"/>
    <w:rsid w:val="00D772F0"/>
    <w:rsid w:val="00D77BDC"/>
    <w:rsid w:val="00D90559"/>
    <w:rsid w:val="00DC402B"/>
    <w:rsid w:val="00DE0932"/>
    <w:rsid w:val="00DE0B0F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03BE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7BF305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styleId="ListParagraph">
    <w:name w:val="List Paragraph"/>
    <w:basedOn w:val="Normal"/>
    <w:uiPriority w:val="34"/>
    <w:qFormat/>
    <w:rsid w:val="0053355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Cs w:val="24"/>
      <w:lang w:val="en-US"/>
    </w:rPr>
  </w:style>
  <w:style w:type="paragraph" w:customStyle="1" w:styleId="h1">
    <w:name w:val="h1"/>
    <w:basedOn w:val="Normal"/>
    <w:autoRedefine/>
    <w:rsid w:val="0053355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Calibri" w:hAnsi="Calibri"/>
      <w:i/>
      <w:sz w:val="22"/>
      <w:szCs w:val="22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R16-WRC19-C-0075!A21-A7!MSW-F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39CDE6-C528-4BDE-A2BA-2636952D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B7EEC-6B66-4679-98E6-D9A1968A33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A747BF-EFBB-4BDC-A48B-5BA905462E2F}">
  <ds:schemaRefs>
    <ds:schemaRef ds:uri="http://purl.org/dc/elements/1.1/"/>
    <ds:schemaRef ds:uri="http://schemas.microsoft.com/office/infopath/2007/PartnerControls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860</Words>
  <Characters>5162</Characters>
  <Application>Microsoft Office Word</Application>
  <DocSecurity>0</DocSecurity>
  <Lines>90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R16-WRC19-C-0075!A21-A7!MSW-F</vt:lpstr>
    </vt:vector>
  </TitlesOfParts>
  <Manager>Secrétariat général - Pool</Manager>
  <Company>Union internationale des télécommunications (UIT)</Company>
  <LinksUpToDate>false</LinksUpToDate>
  <CharactersWithSpaces>6004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R16-WRC19-C-0075!A21-A7!MSW-F</dc:title>
  <dc:subject>Conférence mondiale des radiocommunications - 2019</dc:subject>
  <dc:creator>Documents Proposals Manager (DPM)</dc:creator>
  <cp:keywords>DPM_v2019.10.15.2_prod</cp:keywords>
  <dc:description/>
  <cp:lastModifiedBy>French</cp:lastModifiedBy>
  <cp:revision>19</cp:revision>
  <cp:lastPrinted>2019-10-24T18:45:00Z</cp:lastPrinted>
  <dcterms:created xsi:type="dcterms:W3CDTF">2019-10-24T14:40:00Z</dcterms:created>
  <dcterms:modified xsi:type="dcterms:W3CDTF">2019-10-24T18:45:00Z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