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1694A" w14:paraId="4B6955B3" w14:textId="77777777" w:rsidTr="00F07755">
        <w:trPr>
          <w:cantSplit/>
        </w:trPr>
        <w:tc>
          <w:tcPr>
            <w:tcW w:w="6911" w:type="dxa"/>
          </w:tcPr>
          <w:p w14:paraId="34A9F41A" w14:textId="77777777" w:rsidR="0090121B" w:rsidRPr="0061694A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61694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61694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61694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61694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</w:t>
            </w:r>
            <w:proofErr w:type="spellStart"/>
            <w:r w:rsidR="006124AD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Sheikh</w:t>
            </w:r>
            <w:proofErr w:type="spellEnd"/>
            <w:r w:rsidR="006124AD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(Egipto)</w:t>
            </w:r>
            <w:r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61694A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7706654E" w14:textId="77777777" w:rsidR="0090121B" w:rsidRPr="0061694A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61694A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5A89530" wp14:editId="3F702AD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1694A" w14:paraId="655ADD26" w14:textId="77777777" w:rsidTr="00F0775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099151" w14:textId="77777777" w:rsidR="0090121B" w:rsidRPr="0061694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118895F" w14:textId="77777777" w:rsidR="0090121B" w:rsidRPr="0061694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61694A" w14:paraId="1EA7593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E2DA43" w14:textId="77777777" w:rsidR="0090121B" w:rsidRPr="0061694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DC25EA" w14:textId="77777777" w:rsidR="0090121B" w:rsidRPr="0061694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61694A" w14:paraId="1B9F97BF" w14:textId="77777777" w:rsidTr="0090121B">
        <w:trPr>
          <w:cantSplit/>
        </w:trPr>
        <w:tc>
          <w:tcPr>
            <w:tcW w:w="6911" w:type="dxa"/>
          </w:tcPr>
          <w:p w14:paraId="1516CA09" w14:textId="77777777" w:rsidR="0090121B" w:rsidRPr="0061694A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61694A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26516515" w14:textId="77777777" w:rsidR="0090121B" w:rsidRPr="0061694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t>Addéndum</w:t>
            </w:r>
            <w:proofErr w:type="spellEnd"/>
            <w:r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13 al</w:t>
            </w:r>
            <w:r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75</w:t>
            </w:r>
            <w:r w:rsidR="0090121B"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61694A" w14:paraId="74B20B07" w14:textId="77777777" w:rsidTr="0090121B">
        <w:trPr>
          <w:cantSplit/>
        </w:trPr>
        <w:tc>
          <w:tcPr>
            <w:tcW w:w="6911" w:type="dxa"/>
          </w:tcPr>
          <w:p w14:paraId="548D27F1" w14:textId="77777777" w:rsidR="000A5B9A" w:rsidRPr="006169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4642332C" w14:textId="77777777" w:rsidR="000A5B9A" w:rsidRPr="0061694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t>7 de octubre de 2019</w:t>
            </w:r>
          </w:p>
        </w:tc>
      </w:tr>
      <w:tr w:rsidR="000A5B9A" w:rsidRPr="0061694A" w14:paraId="4367F0F0" w14:textId="77777777" w:rsidTr="0090121B">
        <w:trPr>
          <w:cantSplit/>
        </w:trPr>
        <w:tc>
          <w:tcPr>
            <w:tcW w:w="6911" w:type="dxa"/>
          </w:tcPr>
          <w:p w14:paraId="6D5E08E5" w14:textId="77777777" w:rsidR="000A5B9A" w:rsidRPr="006169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4B88350C" w14:textId="77777777" w:rsidR="000A5B9A" w:rsidRPr="0061694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1694A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61694A" w14:paraId="75E880B3" w14:textId="77777777" w:rsidTr="00F07755">
        <w:trPr>
          <w:cantSplit/>
        </w:trPr>
        <w:tc>
          <w:tcPr>
            <w:tcW w:w="10031" w:type="dxa"/>
            <w:gridSpan w:val="2"/>
          </w:tcPr>
          <w:p w14:paraId="05931064" w14:textId="77777777" w:rsidR="000A5B9A" w:rsidRPr="0061694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61694A" w14:paraId="1BBAF275" w14:textId="77777777" w:rsidTr="00F07755">
        <w:trPr>
          <w:cantSplit/>
        </w:trPr>
        <w:tc>
          <w:tcPr>
            <w:tcW w:w="10031" w:type="dxa"/>
            <w:gridSpan w:val="2"/>
          </w:tcPr>
          <w:p w14:paraId="739E51F4" w14:textId="77777777" w:rsidR="000A5B9A" w:rsidRPr="0061694A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61694A">
              <w:rPr>
                <w:lang w:val="es-ES"/>
              </w:rPr>
              <w:t>Samoa (Estado Independiente de)</w:t>
            </w:r>
          </w:p>
        </w:tc>
      </w:tr>
      <w:tr w:rsidR="000A5B9A" w:rsidRPr="0061694A" w14:paraId="4B6A53F5" w14:textId="77777777" w:rsidTr="00F07755">
        <w:trPr>
          <w:cantSplit/>
        </w:trPr>
        <w:tc>
          <w:tcPr>
            <w:tcW w:w="10031" w:type="dxa"/>
            <w:gridSpan w:val="2"/>
          </w:tcPr>
          <w:p w14:paraId="6DF42CDF" w14:textId="77777777" w:rsidR="000A5B9A" w:rsidRPr="0061694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61694A">
              <w:rPr>
                <w:lang w:val="es-ES"/>
              </w:rPr>
              <w:t>Propuestas para los trabajos de la Conferencia</w:t>
            </w:r>
          </w:p>
        </w:tc>
      </w:tr>
      <w:tr w:rsidR="000A5B9A" w:rsidRPr="0061694A" w14:paraId="7AF1A3E5" w14:textId="77777777" w:rsidTr="00F07755">
        <w:trPr>
          <w:cantSplit/>
        </w:trPr>
        <w:tc>
          <w:tcPr>
            <w:tcW w:w="10031" w:type="dxa"/>
            <w:gridSpan w:val="2"/>
          </w:tcPr>
          <w:p w14:paraId="4923BC0A" w14:textId="77777777" w:rsidR="000A5B9A" w:rsidRPr="0061694A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61694A" w14:paraId="0B3A1E41" w14:textId="77777777" w:rsidTr="00F07755">
        <w:trPr>
          <w:cantSplit/>
        </w:trPr>
        <w:tc>
          <w:tcPr>
            <w:tcW w:w="10031" w:type="dxa"/>
            <w:gridSpan w:val="2"/>
          </w:tcPr>
          <w:p w14:paraId="23298759" w14:textId="77777777" w:rsidR="000A5B9A" w:rsidRPr="0061694A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61694A">
              <w:rPr>
                <w:lang w:val="es-ES"/>
              </w:rPr>
              <w:t>Punto 1.13 del orden del día</w:t>
            </w:r>
          </w:p>
        </w:tc>
      </w:tr>
    </w:tbl>
    <w:bookmarkEnd w:id="5"/>
    <w:p w14:paraId="4FA74A93" w14:textId="77777777" w:rsidR="00F07755" w:rsidRPr="0061694A" w:rsidRDefault="008C0FB2" w:rsidP="004C7923">
      <w:pPr>
        <w:rPr>
          <w:lang w:val="es-ES"/>
        </w:rPr>
      </w:pPr>
      <w:r w:rsidRPr="0061694A">
        <w:rPr>
          <w:lang w:val="es-ES"/>
        </w:rPr>
        <w:t>1.13</w:t>
      </w:r>
      <w:r w:rsidRPr="0061694A">
        <w:rPr>
          <w:lang w:val="es-ES"/>
        </w:rPr>
        <w:tab/>
        <w:t xml:space="preserve">considerar la identificación de bandas de frecuencias para el futuro despliegue de las Telecomunicaciones Móviles Internacionales </w:t>
      </w:r>
      <w:r w:rsidRPr="0061694A">
        <w:rPr>
          <w:lang w:val="es-ES" w:eastAsia="ja-JP"/>
        </w:rPr>
        <w:t>(</w:t>
      </w:r>
      <w:r w:rsidRPr="0061694A">
        <w:rPr>
          <w:lang w:val="es-ES"/>
        </w:rPr>
        <w:t>IMT</w:t>
      </w:r>
      <w:r w:rsidRPr="0061694A">
        <w:rPr>
          <w:lang w:val="es-ES" w:eastAsia="ko-KR"/>
        </w:rPr>
        <w:t>)</w:t>
      </w:r>
      <w:r w:rsidRPr="0061694A">
        <w:rPr>
          <w:lang w:val="es-ES"/>
        </w:rPr>
        <w:t>, incluidas posibles atribuciones adicionales al servicio móvil a título primario, de conformidad con la Resolución </w:t>
      </w:r>
      <w:r w:rsidRPr="0061694A">
        <w:rPr>
          <w:rFonts w:eastAsia="SimSun"/>
          <w:b/>
          <w:szCs w:val="24"/>
          <w:lang w:val="es-ES" w:eastAsia="zh-CN"/>
        </w:rPr>
        <w:t>238 (CMR-15)</w:t>
      </w:r>
      <w:r w:rsidRPr="0061694A">
        <w:rPr>
          <w:rFonts w:eastAsia="SimSun"/>
          <w:szCs w:val="24"/>
          <w:lang w:val="es-ES" w:eastAsia="zh-CN"/>
        </w:rPr>
        <w:t>;</w:t>
      </w:r>
    </w:p>
    <w:p w14:paraId="78312E19" w14:textId="0F718134" w:rsidR="00597F9B" w:rsidRPr="0061694A" w:rsidRDefault="00597F9B" w:rsidP="004C7923">
      <w:pPr>
        <w:pStyle w:val="Heading1"/>
        <w:rPr>
          <w:sz w:val="24"/>
          <w:lang w:val="es-ES"/>
        </w:rPr>
      </w:pPr>
      <w:r w:rsidRPr="0061694A">
        <w:rPr>
          <w:lang w:val="es-ES"/>
        </w:rPr>
        <w:t>1</w:t>
      </w:r>
      <w:r w:rsidRPr="0061694A">
        <w:rPr>
          <w:lang w:val="es-ES"/>
        </w:rPr>
        <w:tab/>
      </w:r>
      <w:r w:rsidR="00985E17" w:rsidRPr="0061694A">
        <w:rPr>
          <w:lang w:val="es-ES"/>
        </w:rPr>
        <w:t>Antecedentes</w:t>
      </w:r>
    </w:p>
    <w:p w14:paraId="18722083" w14:textId="15D97A87" w:rsidR="00985E17" w:rsidRPr="0061694A" w:rsidRDefault="00985E17" w:rsidP="00981B31">
      <w:pPr>
        <w:rPr>
          <w:lang w:val="es-ES"/>
        </w:rPr>
      </w:pPr>
      <w:r w:rsidRPr="0061694A">
        <w:rPr>
          <w:lang w:val="es-ES"/>
        </w:rPr>
        <w:t>El punto 1.13 del orden del día estudia u</w:t>
      </w:r>
      <w:bookmarkStart w:id="6" w:name="_GoBack"/>
      <w:bookmarkEnd w:id="6"/>
      <w:r w:rsidRPr="0061694A">
        <w:rPr>
          <w:lang w:val="es-ES"/>
        </w:rPr>
        <w:t>n total de 33</w:t>
      </w:r>
      <w:r w:rsidR="00981B31">
        <w:rPr>
          <w:lang w:val="es-ES"/>
        </w:rPr>
        <w:t> </w:t>
      </w:r>
      <w:r w:rsidRPr="0061694A">
        <w:rPr>
          <w:lang w:val="es-ES"/>
        </w:rPr>
        <w:t xml:space="preserve">GHz </w:t>
      </w:r>
      <w:r w:rsidR="004C7923" w:rsidRPr="0061694A">
        <w:rPr>
          <w:lang w:val="es-ES"/>
        </w:rPr>
        <w:t>de</w:t>
      </w:r>
      <w:r w:rsidRPr="0061694A">
        <w:rPr>
          <w:lang w:val="es-ES"/>
        </w:rPr>
        <w:t xml:space="preserve"> las bandas de frecuencias entre </w:t>
      </w:r>
      <w:r w:rsidR="00597F9B" w:rsidRPr="0061694A">
        <w:rPr>
          <w:lang w:val="es-ES"/>
        </w:rPr>
        <w:t>24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25</w:t>
      </w:r>
      <w:r w:rsidR="001A5B18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y</w:t>
      </w:r>
      <w:r w:rsidR="00597F9B" w:rsidRPr="0061694A">
        <w:rPr>
          <w:lang w:val="es-ES"/>
        </w:rPr>
        <w:t xml:space="preserve"> 86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GHz, </w:t>
      </w:r>
      <w:r w:rsidRPr="0061694A">
        <w:rPr>
          <w:lang w:val="es-ES"/>
        </w:rPr>
        <w:t>much</w:t>
      </w:r>
      <w:r w:rsidR="004C7923" w:rsidRPr="0061694A">
        <w:rPr>
          <w:lang w:val="es-ES"/>
        </w:rPr>
        <w:t>a</w:t>
      </w:r>
      <w:r w:rsidRPr="0061694A">
        <w:rPr>
          <w:lang w:val="es-ES"/>
        </w:rPr>
        <w:t>s de l</w:t>
      </w:r>
      <w:r w:rsidR="004C7923" w:rsidRPr="0061694A">
        <w:rPr>
          <w:lang w:val="es-ES"/>
        </w:rPr>
        <w:t>a</w:t>
      </w:r>
      <w:r w:rsidRPr="0061694A">
        <w:rPr>
          <w:lang w:val="es-ES"/>
        </w:rPr>
        <w:t>s cuales están atribuid</w:t>
      </w:r>
      <w:r w:rsidR="004C7923" w:rsidRPr="0061694A">
        <w:rPr>
          <w:lang w:val="es-ES"/>
        </w:rPr>
        <w:t>a</w:t>
      </w:r>
      <w:r w:rsidRPr="0061694A">
        <w:rPr>
          <w:lang w:val="es-ES"/>
        </w:rPr>
        <w:t xml:space="preserve">s a servicios por satélite a título </w:t>
      </w:r>
      <w:proofErr w:type="spellStart"/>
      <w:r w:rsidRPr="0061694A">
        <w:rPr>
          <w:lang w:val="es-ES"/>
        </w:rPr>
        <w:t>coprimario</w:t>
      </w:r>
      <w:proofErr w:type="spellEnd"/>
      <w:r w:rsidRPr="0061694A">
        <w:rPr>
          <w:lang w:val="es-ES"/>
        </w:rPr>
        <w:t xml:space="preserve">. </w:t>
      </w:r>
      <w:r w:rsidR="004C7923" w:rsidRPr="0061694A">
        <w:rPr>
          <w:lang w:val="es-ES"/>
        </w:rPr>
        <w:t>En a</w:t>
      </w:r>
      <w:r w:rsidRPr="0061694A">
        <w:rPr>
          <w:lang w:val="es-ES"/>
        </w:rPr>
        <w:t xml:space="preserve">lgunas de estas bandas de frecuencias </w:t>
      </w:r>
      <w:r w:rsidR="0089223D" w:rsidRPr="0061694A">
        <w:rPr>
          <w:lang w:val="es-ES"/>
        </w:rPr>
        <w:t xml:space="preserve">ya </w:t>
      </w:r>
      <w:r w:rsidR="004C7923" w:rsidRPr="0061694A">
        <w:rPr>
          <w:lang w:val="es-ES"/>
        </w:rPr>
        <w:t>están funcionando</w:t>
      </w:r>
      <w:r w:rsidR="0089223D" w:rsidRPr="0061694A">
        <w:rPr>
          <w:lang w:val="es-ES"/>
        </w:rPr>
        <w:t xml:space="preserve"> </w:t>
      </w:r>
      <w:r w:rsidR="004C7923" w:rsidRPr="0061694A">
        <w:rPr>
          <w:lang w:val="es-ES"/>
        </w:rPr>
        <w:t xml:space="preserve">pujantes </w:t>
      </w:r>
      <w:r w:rsidR="0089223D" w:rsidRPr="0061694A">
        <w:rPr>
          <w:lang w:val="es-ES"/>
        </w:rPr>
        <w:t>operaciones de satélites o están previst</w:t>
      </w:r>
      <w:r w:rsidR="004C7923" w:rsidRPr="0061694A">
        <w:rPr>
          <w:lang w:val="es-ES"/>
        </w:rPr>
        <w:t>o</w:t>
      </w:r>
      <w:r w:rsidR="0089223D" w:rsidRPr="0061694A">
        <w:rPr>
          <w:lang w:val="es-ES"/>
        </w:rPr>
        <w:t xml:space="preserve">s futuros sistemas de satélites. </w:t>
      </w:r>
      <w:r w:rsidR="0061353F" w:rsidRPr="0061694A">
        <w:rPr>
          <w:lang w:val="es-ES"/>
        </w:rPr>
        <w:t>Debe realizarse</w:t>
      </w:r>
      <w:r w:rsidR="0061353F">
        <w:rPr>
          <w:lang w:val="es-ES"/>
        </w:rPr>
        <w:t>,</w:t>
      </w:r>
      <w:r w:rsidR="0061353F" w:rsidRPr="0061694A">
        <w:rPr>
          <w:lang w:val="es-ES"/>
        </w:rPr>
        <w:t xml:space="preserve"> en </w:t>
      </w:r>
      <w:r w:rsidR="0089223D" w:rsidRPr="0061694A">
        <w:rPr>
          <w:lang w:val="es-ES"/>
        </w:rPr>
        <w:t>consecuencia, un examen detallado de las bandas consideradas para</w:t>
      </w:r>
      <w:r w:rsidR="004C7923" w:rsidRPr="0061694A">
        <w:rPr>
          <w:lang w:val="es-ES"/>
        </w:rPr>
        <w:t xml:space="preserve"> su</w:t>
      </w:r>
      <w:r w:rsidR="0089223D" w:rsidRPr="0061694A">
        <w:rPr>
          <w:lang w:val="es-ES"/>
        </w:rPr>
        <w:t xml:space="preserve"> identificación a las IMT en el marco del punto</w:t>
      </w:r>
      <w:r w:rsidR="00981B31">
        <w:rPr>
          <w:lang w:val="es-ES"/>
        </w:rPr>
        <w:t> </w:t>
      </w:r>
      <w:r w:rsidR="0089223D" w:rsidRPr="0061694A">
        <w:rPr>
          <w:lang w:val="es-ES"/>
        </w:rPr>
        <w:t xml:space="preserve">1.13 del orden del día con el fin de proporcionar servicios </w:t>
      </w:r>
      <w:r w:rsidR="004C7923" w:rsidRPr="0061694A">
        <w:rPr>
          <w:lang w:val="es-ES"/>
        </w:rPr>
        <w:t xml:space="preserve">IMT </w:t>
      </w:r>
      <w:r w:rsidR="0061353F" w:rsidRPr="0061694A">
        <w:rPr>
          <w:lang w:val="es-ES"/>
        </w:rPr>
        <w:t xml:space="preserve">5G </w:t>
      </w:r>
      <w:r w:rsidR="004C7923" w:rsidRPr="0061694A">
        <w:rPr>
          <w:lang w:val="es-ES"/>
        </w:rPr>
        <w:t>con los recursos de espectro que necesitan de m</w:t>
      </w:r>
      <w:r w:rsidR="0061353F">
        <w:rPr>
          <w:lang w:val="es-ES"/>
        </w:rPr>
        <w:t>ane</w:t>
      </w:r>
      <w:r w:rsidR="004C7923" w:rsidRPr="0061694A">
        <w:rPr>
          <w:lang w:val="es-ES"/>
        </w:rPr>
        <w:t xml:space="preserve">ra realista sin poner en peligro las operaciones existentes de satélites y las inversiones realizadas en estas gamas de frecuencias. </w:t>
      </w:r>
    </w:p>
    <w:p w14:paraId="6C2E626F" w14:textId="1289F406" w:rsidR="00597F9B" w:rsidRPr="0061694A" w:rsidRDefault="00597F9B" w:rsidP="0018261C">
      <w:pPr>
        <w:pStyle w:val="Headingb"/>
        <w:ind w:left="1134" w:hanging="1134"/>
        <w:rPr>
          <w:lang w:val="es-ES"/>
        </w:rPr>
      </w:pPr>
      <w:r w:rsidRPr="0061694A">
        <w:rPr>
          <w:lang w:val="es-ES"/>
        </w:rPr>
        <w:t>i)</w:t>
      </w:r>
      <w:r w:rsidRPr="0061694A">
        <w:rPr>
          <w:lang w:val="es-ES"/>
        </w:rPr>
        <w:tab/>
      </w:r>
      <w:r w:rsidR="004C7923" w:rsidRPr="0061694A">
        <w:rPr>
          <w:lang w:val="es-ES"/>
        </w:rPr>
        <w:t>Los satélites facilitan la conectividad universal, el despliegue del 5G y la innovación</w:t>
      </w:r>
    </w:p>
    <w:p w14:paraId="4A832D2A" w14:textId="58190771" w:rsidR="00597F9B" w:rsidRPr="0061694A" w:rsidRDefault="004C7923" w:rsidP="00981B31">
      <w:pPr>
        <w:rPr>
          <w:bCs/>
          <w:iCs/>
          <w:lang w:val="es-ES"/>
        </w:rPr>
      </w:pPr>
      <w:r w:rsidRPr="0061694A">
        <w:rPr>
          <w:lang w:val="es-ES"/>
        </w:rPr>
        <w:t xml:space="preserve">Durante décadas, los satélites han proporcionado una conectividad fundamental para las Islas del Pacífico y otras partes de la Región </w:t>
      </w:r>
      <w:r w:rsidR="00526D0E">
        <w:rPr>
          <w:lang w:val="es-ES"/>
        </w:rPr>
        <w:t>Asia-Pacífico</w:t>
      </w:r>
      <w:r w:rsidRPr="0061694A">
        <w:rPr>
          <w:lang w:val="es-ES"/>
        </w:rPr>
        <w:t xml:space="preserve">. Incluso con la expansión de los cables submarinos en el Pacífico, muchos países de la </w:t>
      </w:r>
      <w:r w:rsidR="00621917" w:rsidRPr="0061694A">
        <w:rPr>
          <w:lang w:val="es-ES"/>
        </w:rPr>
        <w:t xml:space="preserve">Región </w:t>
      </w:r>
      <w:r w:rsidRPr="0061694A">
        <w:rPr>
          <w:lang w:val="es-ES"/>
        </w:rPr>
        <w:t xml:space="preserve">siguen insuficientemente atendidos o no atendidos </w:t>
      </w:r>
      <w:r w:rsidR="0061353F">
        <w:rPr>
          <w:lang w:val="es-ES"/>
        </w:rPr>
        <w:t>por las</w:t>
      </w:r>
      <w:r w:rsidRPr="0061694A">
        <w:rPr>
          <w:lang w:val="es-ES"/>
        </w:rPr>
        <w:t xml:space="preserve"> fibras ópticas. Los satélites tienen, por lo tanto, una función importante en la mejora de la vida de los habitantes de las islas del Pacífico y de manera más amplia </w:t>
      </w:r>
      <w:r w:rsidR="0061353F">
        <w:rPr>
          <w:lang w:val="es-ES"/>
        </w:rPr>
        <w:t xml:space="preserve">de </w:t>
      </w:r>
      <w:r w:rsidRPr="0061694A">
        <w:rPr>
          <w:lang w:val="es-ES"/>
        </w:rPr>
        <w:t xml:space="preserve">la Región </w:t>
      </w:r>
      <w:r w:rsidR="00526D0E">
        <w:rPr>
          <w:lang w:val="es-ES"/>
        </w:rPr>
        <w:t>Asia-Pacífico</w:t>
      </w:r>
      <w:r w:rsidRPr="0061694A">
        <w:rPr>
          <w:lang w:val="es-ES"/>
        </w:rPr>
        <w:t xml:space="preserve">. Los satélites, permiten, por ejemplo, </w:t>
      </w:r>
      <w:r w:rsidR="00621917" w:rsidRPr="0061694A">
        <w:rPr>
          <w:lang w:val="es-ES"/>
        </w:rPr>
        <w:t xml:space="preserve">a los operadores de redes móviles en toda la Región </w:t>
      </w:r>
      <w:r w:rsidR="00526D0E">
        <w:rPr>
          <w:lang w:val="es-ES"/>
        </w:rPr>
        <w:t>Asia-Pacífico</w:t>
      </w:r>
      <w:r w:rsidR="00621917" w:rsidRPr="0061694A">
        <w:rPr>
          <w:lang w:val="es-ES"/>
        </w:rPr>
        <w:t xml:space="preserve"> extender sus redes 3G y 4G en zonas </w:t>
      </w:r>
      <w:r w:rsidR="0061353F" w:rsidRPr="0061694A">
        <w:rPr>
          <w:lang w:val="es-ES"/>
        </w:rPr>
        <w:t xml:space="preserve">no atendidas </w:t>
      </w:r>
      <w:r w:rsidR="00621917" w:rsidRPr="0061694A">
        <w:rPr>
          <w:lang w:val="es-ES"/>
        </w:rPr>
        <w:t>o</w:t>
      </w:r>
      <w:r w:rsidR="0061353F" w:rsidRPr="0061353F">
        <w:rPr>
          <w:lang w:val="es-ES"/>
        </w:rPr>
        <w:t xml:space="preserve"> </w:t>
      </w:r>
      <w:r w:rsidR="0061353F" w:rsidRPr="0061694A">
        <w:rPr>
          <w:lang w:val="es-ES"/>
        </w:rPr>
        <w:t>insuficientemente atendidas</w:t>
      </w:r>
      <w:r w:rsidR="00621917" w:rsidRPr="0061694A">
        <w:rPr>
          <w:lang w:val="es-ES"/>
        </w:rPr>
        <w:t xml:space="preserve">, incluyendo </w:t>
      </w:r>
      <w:r w:rsidR="00597F9B" w:rsidRPr="0061694A">
        <w:rPr>
          <w:lang w:val="es-ES"/>
        </w:rPr>
        <w:t xml:space="preserve">Indonesia, Myanmar, </w:t>
      </w:r>
      <w:r w:rsidR="00621917" w:rsidRPr="0061694A">
        <w:rPr>
          <w:lang w:val="es-ES"/>
        </w:rPr>
        <w:t>Pakistán</w:t>
      </w:r>
      <w:r w:rsidR="00597F9B" w:rsidRPr="0061694A">
        <w:rPr>
          <w:lang w:val="es-ES"/>
        </w:rPr>
        <w:t xml:space="preserve">, </w:t>
      </w:r>
      <w:proofErr w:type="spellStart"/>
      <w:r w:rsidR="00597F9B" w:rsidRPr="0061694A">
        <w:rPr>
          <w:lang w:val="es-ES"/>
        </w:rPr>
        <w:t>Papua</w:t>
      </w:r>
      <w:proofErr w:type="spellEnd"/>
      <w:r w:rsidR="00597F9B" w:rsidRPr="0061694A">
        <w:rPr>
          <w:lang w:val="es-ES"/>
        </w:rPr>
        <w:t xml:space="preserve"> </w:t>
      </w:r>
      <w:r w:rsidR="00526D0E">
        <w:rPr>
          <w:lang w:val="es-ES"/>
        </w:rPr>
        <w:t>Nueva</w:t>
      </w:r>
      <w:r w:rsidR="00597F9B" w:rsidRPr="0061694A">
        <w:rPr>
          <w:lang w:val="es-ES"/>
        </w:rPr>
        <w:t xml:space="preserve"> Guinea </w:t>
      </w:r>
      <w:r w:rsidR="00621917" w:rsidRPr="0061694A">
        <w:rPr>
          <w:lang w:val="es-ES"/>
        </w:rPr>
        <w:t>y otras islas del Pacífico</w:t>
      </w:r>
      <w:r w:rsidR="00597F9B" w:rsidRPr="0061694A">
        <w:rPr>
          <w:lang w:val="es-ES"/>
        </w:rPr>
        <w:t xml:space="preserve">. </w:t>
      </w:r>
      <w:r w:rsidR="00621917" w:rsidRPr="0061694A">
        <w:rPr>
          <w:lang w:val="es-ES"/>
        </w:rPr>
        <w:t xml:space="preserve">Los satélites contribuyen también al bienestar económico de la Región al facilitar las redes de comunicaciones para: </w:t>
      </w:r>
      <w:r w:rsidR="00597F9B" w:rsidRPr="0061694A">
        <w:rPr>
          <w:bCs/>
          <w:iCs/>
          <w:lang w:val="es-ES"/>
        </w:rPr>
        <w:t xml:space="preserve">(i) </w:t>
      </w:r>
      <w:r w:rsidR="00621917" w:rsidRPr="0061694A">
        <w:rPr>
          <w:bCs/>
          <w:iCs/>
          <w:lang w:val="es-ES"/>
        </w:rPr>
        <w:t>los sectores de turismo</w:t>
      </w:r>
      <w:r w:rsidR="00597F9B" w:rsidRPr="0061694A">
        <w:rPr>
          <w:bCs/>
          <w:iCs/>
          <w:lang w:val="es-ES"/>
        </w:rPr>
        <w:t xml:space="preserve">, </w:t>
      </w:r>
      <w:r w:rsidR="00621917" w:rsidRPr="0061694A">
        <w:rPr>
          <w:bCs/>
          <w:iCs/>
          <w:lang w:val="es-ES"/>
        </w:rPr>
        <w:t>recursos e hidrocarburos,</w:t>
      </w:r>
      <w:r w:rsidR="00597F9B" w:rsidRPr="0061694A">
        <w:rPr>
          <w:bCs/>
          <w:iCs/>
          <w:lang w:val="es-ES"/>
        </w:rPr>
        <w:t xml:space="preserve"> (</w:t>
      </w:r>
      <w:proofErr w:type="spellStart"/>
      <w:r w:rsidR="00597F9B" w:rsidRPr="0061694A">
        <w:rPr>
          <w:bCs/>
          <w:iCs/>
          <w:lang w:val="es-ES"/>
        </w:rPr>
        <w:t>ii</w:t>
      </w:r>
      <w:proofErr w:type="spellEnd"/>
      <w:r w:rsidR="00597F9B" w:rsidRPr="0061694A">
        <w:rPr>
          <w:bCs/>
          <w:iCs/>
          <w:lang w:val="es-ES"/>
        </w:rPr>
        <w:t xml:space="preserve">) </w:t>
      </w:r>
      <w:r w:rsidR="00621917" w:rsidRPr="0061694A">
        <w:rPr>
          <w:bCs/>
          <w:iCs/>
          <w:lang w:val="es-ES"/>
        </w:rPr>
        <w:t>los servicios bancarios,</w:t>
      </w:r>
      <w:r w:rsidR="00597F9B" w:rsidRPr="0061694A">
        <w:rPr>
          <w:bCs/>
          <w:iCs/>
          <w:lang w:val="es-ES"/>
        </w:rPr>
        <w:t xml:space="preserve"> (</w:t>
      </w:r>
      <w:proofErr w:type="spellStart"/>
      <w:r w:rsidR="00597F9B" w:rsidRPr="0061694A">
        <w:rPr>
          <w:bCs/>
          <w:iCs/>
          <w:lang w:val="es-ES"/>
        </w:rPr>
        <w:t>iii</w:t>
      </w:r>
      <w:proofErr w:type="spellEnd"/>
      <w:r w:rsidR="00597F9B" w:rsidRPr="0061694A">
        <w:rPr>
          <w:bCs/>
          <w:iCs/>
          <w:lang w:val="es-ES"/>
        </w:rPr>
        <w:t xml:space="preserve">) </w:t>
      </w:r>
      <w:r w:rsidR="00621917" w:rsidRPr="0061694A">
        <w:rPr>
          <w:bCs/>
          <w:iCs/>
          <w:lang w:val="es-ES"/>
        </w:rPr>
        <w:t>las operaciones de socorro en caso de catástrofe,</w:t>
      </w:r>
      <w:r w:rsidR="00597F9B" w:rsidRPr="0061694A">
        <w:rPr>
          <w:bCs/>
          <w:iCs/>
          <w:lang w:val="es-ES"/>
        </w:rPr>
        <w:t xml:space="preserve"> (</w:t>
      </w:r>
      <w:proofErr w:type="spellStart"/>
      <w:r w:rsidR="00597F9B" w:rsidRPr="0061694A">
        <w:rPr>
          <w:bCs/>
          <w:iCs/>
          <w:lang w:val="es-ES"/>
        </w:rPr>
        <w:t>iv</w:t>
      </w:r>
      <w:proofErr w:type="spellEnd"/>
      <w:r w:rsidR="00597F9B" w:rsidRPr="0061694A">
        <w:rPr>
          <w:bCs/>
          <w:iCs/>
          <w:lang w:val="es-ES"/>
        </w:rPr>
        <w:t xml:space="preserve">) </w:t>
      </w:r>
      <w:r w:rsidR="00621917" w:rsidRPr="0061694A">
        <w:rPr>
          <w:bCs/>
          <w:iCs/>
          <w:lang w:val="es-ES"/>
        </w:rPr>
        <w:t>el control y la vigilancia de los recursos,</w:t>
      </w:r>
      <w:r w:rsidR="00597F9B" w:rsidRPr="0061694A">
        <w:rPr>
          <w:bCs/>
          <w:iCs/>
          <w:lang w:val="es-ES"/>
        </w:rPr>
        <w:t xml:space="preserve"> (v) </w:t>
      </w:r>
      <w:r w:rsidR="00621917" w:rsidRPr="0061694A">
        <w:rPr>
          <w:bCs/>
          <w:iCs/>
          <w:lang w:val="es-ES"/>
        </w:rPr>
        <w:t xml:space="preserve">las comunicaciones </w:t>
      </w:r>
      <w:r w:rsidR="0061353F" w:rsidRPr="0061694A">
        <w:rPr>
          <w:bCs/>
          <w:iCs/>
          <w:lang w:val="es-ES"/>
        </w:rPr>
        <w:t xml:space="preserve">y </w:t>
      </w:r>
      <w:r w:rsidR="0061353F">
        <w:rPr>
          <w:bCs/>
          <w:iCs/>
          <w:lang w:val="es-ES"/>
        </w:rPr>
        <w:t xml:space="preserve">los </w:t>
      </w:r>
      <w:r w:rsidR="0061353F" w:rsidRPr="0061694A">
        <w:rPr>
          <w:bCs/>
          <w:iCs/>
          <w:lang w:val="es-ES"/>
        </w:rPr>
        <w:t xml:space="preserve">programas </w:t>
      </w:r>
      <w:r w:rsidR="00621917" w:rsidRPr="0061694A">
        <w:rPr>
          <w:bCs/>
          <w:iCs/>
          <w:lang w:val="es-ES"/>
        </w:rPr>
        <w:t xml:space="preserve">gubernamentales como </w:t>
      </w:r>
      <w:r w:rsidR="0061353F">
        <w:rPr>
          <w:bCs/>
          <w:iCs/>
          <w:lang w:val="es-ES"/>
        </w:rPr>
        <w:t xml:space="preserve">la </w:t>
      </w:r>
      <w:proofErr w:type="spellStart"/>
      <w:r w:rsidR="00621917" w:rsidRPr="0061694A">
        <w:rPr>
          <w:bCs/>
          <w:iCs/>
          <w:lang w:val="es-ES"/>
        </w:rPr>
        <w:t>cibersalud</w:t>
      </w:r>
      <w:proofErr w:type="spellEnd"/>
      <w:r w:rsidR="00621917" w:rsidRPr="0061694A">
        <w:rPr>
          <w:bCs/>
          <w:iCs/>
          <w:lang w:val="es-ES"/>
        </w:rPr>
        <w:t xml:space="preserve"> y </w:t>
      </w:r>
      <w:r w:rsidR="0061353F">
        <w:rPr>
          <w:bCs/>
          <w:iCs/>
          <w:lang w:val="es-ES"/>
        </w:rPr>
        <w:t xml:space="preserve">el </w:t>
      </w:r>
      <w:r w:rsidR="00621917" w:rsidRPr="0061694A">
        <w:rPr>
          <w:bCs/>
          <w:iCs/>
          <w:lang w:val="es-ES"/>
        </w:rPr>
        <w:t>aprendizaje electrónico</w:t>
      </w:r>
      <w:r w:rsidR="00597F9B" w:rsidRPr="0061694A">
        <w:rPr>
          <w:bCs/>
          <w:iCs/>
          <w:lang w:val="es-ES"/>
        </w:rPr>
        <w:t>.</w:t>
      </w:r>
    </w:p>
    <w:p w14:paraId="506C1494" w14:textId="766A4BB7" w:rsidR="00BE2B7B" w:rsidRPr="0061694A" w:rsidRDefault="00BE2B7B" w:rsidP="00981B31">
      <w:pPr>
        <w:rPr>
          <w:lang w:val="es-ES"/>
        </w:rPr>
      </w:pPr>
      <w:r w:rsidRPr="0061694A">
        <w:rPr>
          <w:lang w:val="es-ES"/>
        </w:rPr>
        <w:lastRenderedPageBreak/>
        <w:t>En el ecosistema de las IMT-2020/5G, se prevé que el satélite siga teniendo funciones importantes como, por ejemplo:</w:t>
      </w:r>
    </w:p>
    <w:p w14:paraId="4C49DD99" w14:textId="421A25A0" w:rsidR="00BE2B7B" w:rsidRPr="00981B31" w:rsidRDefault="00597F9B" w:rsidP="00981B31">
      <w:pPr>
        <w:pStyle w:val="enumlev1"/>
      </w:pPr>
      <w:r w:rsidRPr="0061694A">
        <w:rPr>
          <w:lang w:val="es-ES"/>
        </w:rPr>
        <w:t>a</w:t>
      </w:r>
      <w:r w:rsidR="00981B31">
        <w:rPr>
          <w:lang w:val="es-ES"/>
        </w:rPr>
        <w:t>)</w:t>
      </w:r>
      <w:r w:rsidRPr="0061694A">
        <w:rPr>
          <w:lang w:val="es-ES"/>
        </w:rPr>
        <w:tab/>
      </w:r>
      <w:r w:rsidR="00526D0E">
        <w:rPr>
          <w:lang w:val="es-ES"/>
        </w:rPr>
        <w:t>p</w:t>
      </w:r>
      <w:r w:rsidR="00BE2B7B" w:rsidRPr="0061694A">
        <w:rPr>
          <w:lang w:val="es-ES"/>
        </w:rPr>
        <w:t xml:space="preserve">roporcionar conectividad a los que no disponen de conexión terrestre al conectar directamente redes </w:t>
      </w:r>
      <w:r w:rsidR="00BE2B7B" w:rsidRPr="00981B31">
        <w:t>IMT-2020/5G, o extender</w:t>
      </w:r>
      <w:r w:rsidR="00D25635" w:rsidRPr="00981B31">
        <w:t>las</w:t>
      </w:r>
      <w:r w:rsidR="00BE2B7B" w:rsidRPr="00981B31">
        <w:t xml:space="preserve"> de manera rentable</w:t>
      </w:r>
      <w:r w:rsidR="00D25635" w:rsidRPr="00981B31">
        <w:t>,</w:t>
      </w:r>
      <w:r w:rsidR="00BE2B7B" w:rsidRPr="00981B31">
        <w:t xml:space="preserve"> en zonas remotas, insuficientemente atendidas y desatendidas;</w:t>
      </w:r>
    </w:p>
    <w:p w14:paraId="7FDA1274" w14:textId="3EBC5DE5" w:rsidR="00D25635" w:rsidRPr="00981B31" w:rsidRDefault="00597F9B" w:rsidP="00981B31">
      <w:pPr>
        <w:pStyle w:val="enumlev1"/>
      </w:pPr>
      <w:r w:rsidRPr="00981B31">
        <w:t>b</w:t>
      </w:r>
      <w:r w:rsidR="00981B31">
        <w:t>)</w:t>
      </w:r>
      <w:r w:rsidRPr="00981B31">
        <w:tab/>
      </w:r>
      <w:r w:rsidR="00526D0E">
        <w:t>p</w:t>
      </w:r>
      <w:r w:rsidR="00D25635" w:rsidRPr="00981B31">
        <w:t>roporcionar conectividad de banda ancha a aeronaves, barcos o trenes (</w:t>
      </w:r>
      <w:r w:rsidR="0061353F" w:rsidRPr="00981B31">
        <w:t xml:space="preserve">estaciones </w:t>
      </w:r>
      <w:r w:rsidR="00D25635" w:rsidRPr="00981B31">
        <w:t>terrenas en movimiento (ESIM))</w:t>
      </w:r>
      <w:r w:rsidR="00CF337C" w:rsidRPr="00981B31">
        <w:t>;</w:t>
      </w:r>
    </w:p>
    <w:p w14:paraId="38AA8591" w14:textId="2DD67CDC" w:rsidR="00D25635" w:rsidRPr="00981B31" w:rsidRDefault="00597F9B" w:rsidP="00981B31">
      <w:pPr>
        <w:pStyle w:val="enumlev1"/>
      </w:pPr>
      <w:r w:rsidRPr="00981B31">
        <w:t>c</w:t>
      </w:r>
      <w:r w:rsidR="00981B31">
        <w:t>)</w:t>
      </w:r>
      <w:r w:rsidRPr="00981B31">
        <w:tab/>
      </w:r>
      <w:r w:rsidR="00526D0E">
        <w:t>c</w:t>
      </w:r>
      <w:r w:rsidR="00D25635" w:rsidRPr="00981B31">
        <w:t>onectar o agregar directamente datos máquina a máquina (M2M) / Internet de las cosas (</w:t>
      </w:r>
      <w:proofErr w:type="spellStart"/>
      <w:r w:rsidR="00D25635" w:rsidRPr="00981B31">
        <w:t>IoT</w:t>
      </w:r>
      <w:proofErr w:type="spellEnd"/>
      <w:r w:rsidR="00D25635" w:rsidRPr="00981B31">
        <w:t xml:space="preserve">) desde múltiples ubicaciones para soportar redes de sensores, aplicaciones de ciudades inteligentes y </w:t>
      </w:r>
      <w:r w:rsidR="0061353F" w:rsidRPr="00981B31">
        <w:t>permitir</w:t>
      </w:r>
      <w:r w:rsidR="00D25635" w:rsidRPr="00981B31">
        <w:t xml:space="preserve"> los vehículos, las aeronaves y los barcos conectados</w:t>
      </w:r>
      <w:r w:rsidR="00CF337C" w:rsidRPr="00981B31">
        <w:t>;</w:t>
      </w:r>
    </w:p>
    <w:p w14:paraId="1B2347A8" w14:textId="1EF9DF5B" w:rsidR="00597F9B" w:rsidRPr="00981B31" w:rsidRDefault="00597F9B" w:rsidP="00981B31">
      <w:pPr>
        <w:pStyle w:val="enumlev1"/>
      </w:pPr>
      <w:r w:rsidRPr="00981B31">
        <w:t>d</w:t>
      </w:r>
      <w:r w:rsidR="00981B31">
        <w:t>)</w:t>
      </w:r>
      <w:r w:rsidRPr="00981B31">
        <w:tab/>
      </w:r>
      <w:r w:rsidR="00526D0E">
        <w:t>p</w:t>
      </w:r>
      <w:r w:rsidR="0061353F" w:rsidRPr="00981B31">
        <w:t>ermitir la m</w:t>
      </w:r>
      <w:r w:rsidR="00D25635" w:rsidRPr="00981B31">
        <w:t xml:space="preserve">ultidifusión de contenidos </w:t>
      </w:r>
      <w:r w:rsidR="00CF337C" w:rsidRPr="00981B31">
        <w:t>habitualmente</w:t>
      </w:r>
      <w:r w:rsidR="00D25635" w:rsidRPr="00981B31">
        <w:t xml:space="preserve"> </w:t>
      </w:r>
      <w:r w:rsidR="00CF337C" w:rsidRPr="00981B31">
        <w:t>solicitados</w:t>
      </w:r>
      <w:r w:rsidR="00D25635" w:rsidRPr="00981B31">
        <w:t xml:space="preserve"> a almacenamientos intermedios (cach</w:t>
      </w:r>
      <w:r w:rsidR="0061353F" w:rsidRPr="00981B31">
        <w:t>é</w:t>
      </w:r>
      <w:r w:rsidR="00D25635" w:rsidRPr="00981B31">
        <w:t xml:space="preserve">s) en </w:t>
      </w:r>
      <w:r w:rsidR="00CF337C" w:rsidRPr="00981B31">
        <w:t>numerosas</w:t>
      </w:r>
      <w:r w:rsidR="00D25635" w:rsidRPr="00981B31">
        <w:t xml:space="preserve"> estaciones de base IMT-2020/5G </w:t>
      </w:r>
      <w:r w:rsidR="00CF337C" w:rsidRPr="00981B31">
        <w:t>para permitir que las redes 5G terrenales cumplan los requisitos de baja latencia de algunas aplicaciones</w:t>
      </w:r>
      <w:r w:rsidR="00981B31">
        <w:t> </w:t>
      </w:r>
      <w:r w:rsidR="00CF337C" w:rsidRPr="00981B31">
        <w:t>5G;</w:t>
      </w:r>
    </w:p>
    <w:p w14:paraId="4DD3E990" w14:textId="0B9CB3AD" w:rsidR="00CF337C" w:rsidRPr="0061694A" w:rsidRDefault="00597F9B" w:rsidP="00981B31">
      <w:pPr>
        <w:pStyle w:val="enumlev1"/>
        <w:rPr>
          <w:bCs/>
          <w:iCs/>
          <w:lang w:val="es-ES"/>
        </w:rPr>
      </w:pPr>
      <w:r w:rsidRPr="00981B31">
        <w:t>e</w:t>
      </w:r>
      <w:r w:rsidR="00981B31">
        <w:t>)</w:t>
      </w:r>
      <w:r w:rsidRPr="00981B31">
        <w:tab/>
      </w:r>
      <w:r w:rsidR="00526D0E">
        <w:t>r</w:t>
      </w:r>
      <w:r w:rsidR="0061353F" w:rsidRPr="00981B31">
        <w:t>establecer la</w:t>
      </w:r>
      <w:r w:rsidR="00CF337C" w:rsidRPr="00981B31">
        <w:t xml:space="preserve"> conectividad cuando las redes terrenales existentes han sido inhabilitadas (por ejemplo, después de</w:t>
      </w:r>
      <w:r w:rsidR="00CF337C" w:rsidRPr="0061694A">
        <w:rPr>
          <w:bCs/>
          <w:iCs/>
          <w:lang w:val="es-ES"/>
        </w:rPr>
        <w:t xml:space="preserve"> una catástrofe natural).</w:t>
      </w:r>
    </w:p>
    <w:p w14:paraId="1C8EE610" w14:textId="6F100548" w:rsidR="00CF337C" w:rsidRPr="0061694A" w:rsidRDefault="00CF337C" w:rsidP="00981B31">
      <w:pPr>
        <w:rPr>
          <w:lang w:val="es-ES"/>
        </w:rPr>
      </w:pPr>
      <w:r w:rsidRPr="0061694A">
        <w:rPr>
          <w:lang w:val="es-ES"/>
        </w:rPr>
        <w:t>Además</w:t>
      </w:r>
      <w:r w:rsidR="00316820" w:rsidRPr="0061694A">
        <w:rPr>
          <w:lang w:val="es-ES"/>
        </w:rPr>
        <w:t xml:space="preserve">, la industria de los satélites ha mejorado de manera continua los segmentos espaciales y de tierra para aumentar sustancialmente su eficiencia espectral y permitir velocidades de datos de </w:t>
      </w:r>
      <w:r w:rsidR="00E66080" w:rsidRPr="0061694A">
        <w:rPr>
          <w:lang w:val="es-ES"/>
        </w:rPr>
        <w:t>órdenes</w:t>
      </w:r>
      <w:r w:rsidR="00316820" w:rsidRPr="0061694A">
        <w:rPr>
          <w:lang w:val="es-ES"/>
        </w:rPr>
        <w:t xml:space="preserve"> de magnitud superiores, a un coste muy inferior.</w:t>
      </w:r>
      <w:r w:rsidR="0061694A">
        <w:rPr>
          <w:lang w:val="es-ES"/>
        </w:rPr>
        <w:t xml:space="preserve"> </w:t>
      </w:r>
    </w:p>
    <w:p w14:paraId="5A4D6D44" w14:textId="4767DFB3" w:rsidR="00597F9B" w:rsidRPr="0061694A" w:rsidRDefault="00597F9B" w:rsidP="0018261C">
      <w:pPr>
        <w:pStyle w:val="Headingb"/>
        <w:ind w:left="1134" w:hanging="1134"/>
        <w:rPr>
          <w:lang w:val="es-ES"/>
        </w:rPr>
      </w:pPr>
      <w:proofErr w:type="spellStart"/>
      <w:r w:rsidRPr="0061694A">
        <w:rPr>
          <w:lang w:val="es-ES"/>
        </w:rPr>
        <w:t>ii</w:t>
      </w:r>
      <w:proofErr w:type="spellEnd"/>
      <w:r w:rsidRPr="0061694A">
        <w:rPr>
          <w:lang w:val="es-ES"/>
        </w:rPr>
        <w:t>)</w:t>
      </w:r>
      <w:r w:rsidRPr="0061694A">
        <w:rPr>
          <w:lang w:val="es-ES"/>
        </w:rPr>
        <w:tab/>
      </w:r>
      <w:r w:rsidR="00E66080" w:rsidRPr="0061694A">
        <w:rPr>
          <w:lang w:val="es-ES"/>
        </w:rPr>
        <w:t xml:space="preserve">El acceso garantizado al espectro </w:t>
      </w:r>
      <w:r w:rsidR="0061353F">
        <w:rPr>
          <w:lang w:val="es-ES"/>
        </w:rPr>
        <w:t>dedicado a los servicios</w:t>
      </w:r>
      <w:r w:rsidR="00E66080" w:rsidRPr="0061694A">
        <w:rPr>
          <w:lang w:val="es-ES"/>
        </w:rPr>
        <w:t xml:space="preserve"> sat</w:t>
      </w:r>
      <w:r w:rsidR="0061353F">
        <w:rPr>
          <w:lang w:val="es-ES"/>
        </w:rPr>
        <w:t>elitales</w:t>
      </w:r>
      <w:r w:rsidR="00E66080" w:rsidRPr="0061694A">
        <w:rPr>
          <w:lang w:val="es-ES"/>
        </w:rPr>
        <w:t xml:space="preserve"> es fundamental para la Región de </w:t>
      </w:r>
      <w:r w:rsidR="00526D0E">
        <w:rPr>
          <w:lang w:val="es-ES"/>
        </w:rPr>
        <w:t>Asia-Pacífico</w:t>
      </w:r>
      <w:r w:rsidR="00F61320">
        <w:rPr>
          <w:lang w:val="es-ES"/>
        </w:rPr>
        <w:t xml:space="preserve"> y fuera de ella</w:t>
      </w:r>
    </w:p>
    <w:p w14:paraId="3AED258F" w14:textId="3ED6CE03" w:rsidR="00E66080" w:rsidRPr="0061694A" w:rsidRDefault="00E66080" w:rsidP="00F61320">
      <w:pPr>
        <w:rPr>
          <w:lang w:val="es-ES"/>
        </w:rPr>
      </w:pPr>
      <w:r w:rsidRPr="0061694A">
        <w:rPr>
          <w:lang w:val="es-ES"/>
        </w:rPr>
        <w:t>Los satélites de alto caudal (HTS) utilizan múltiples haces puntuales concentrados, con zonas de cobertura de</w:t>
      </w:r>
      <w:r w:rsidR="00744D78" w:rsidRPr="0061694A">
        <w:rPr>
          <w:lang w:val="es-ES"/>
        </w:rPr>
        <w:t xml:space="preserve"> un</w:t>
      </w:r>
      <w:r w:rsidRPr="0061694A">
        <w:rPr>
          <w:lang w:val="es-ES"/>
        </w:rPr>
        <w:t xml:space="preserve"> orden 100 veces más pequeña</w:t>
      </w:r>
      <w:r w:rsidR="00F61320">
        <w:rPr>
          <w:lang w:val="es-ES"/>
        </w:rPr>
        <w:t>s</w:t>
      </w:r>
      <w:r w:rsidRPr="0061694A">
        <w:rPr>
          <w:lang w:val="es-ES"/>
        </w:rPr>
        <w:t xml:space="preserve"> que los haces regionales, un alto grado de reutilización de las frecuencias y en algunos casos transpondedores de banda </w:t>
      </w:r>
      <w:proofErr w:type="spellStart"/>
      <w:r w:rsidRPr="0061694A">
        <w:rPr>
          <w:lang w:val="es-ES"/>
        </w:rPr>
        <w:t>ultraancha</w:t>
      </w:r>
      <w:proofErr w:type="spellEnd"/>
      <w:r w:rsidRPr="0061694A">
        <w:rPr>
          <w:lang w:val="es-ES"/>
        </w:rPr>
        <w:t>. Los HTS pueden alcanzar un caudal 20 veces superior (es decir 30-100</w:t>
      </w:r>
      <w:r w:rsidR="00981B31">
        <w:rPr>
          <w:lang w:val="es-ES"/>
        </w:rPr>
        <w:t> </w:t>
      </w:r>
      <w:r w:rsidRPr="0061694A">
        <w:rPr>
          <w:lang w:val="es-ES"/>
        </w:rPr>
        <w:t>Gbit/s) y menores costes por bit que otros satélites, permitiendo comunicaciones de datos de alta capacidad rentables en zonas insuficientemente atendidas, aplicaciones de movilidad aérea, terrestre y marítima, servicios de transport</w:t>
      </w:r>
      <w:r w:rsidR="002C5622" w:rsidRPr="0061694A">
        <w:rPr>
          <w:lang w:val="es-ES"/>
        </w:rPr>
        <w:t xml:space="preserve">e intermedio de redes </w:t>
      </w:r>
      <w:r w:rsidR="00744D78" w:rsidRPr="0061694A">
        <w:rPr>
          <w:lang w:val="es-ES"/>
        </w:rPr>
        <w:t xml:space="preserve">móviles </w:t>
      </w:r>
      <w:r w:rsidR="002C5622" w:rsidRPr="0061694A">
        <w:rPr>
          <w:lang w:val="es-ES"/>
        </w:rPr>
        <w:t>4G/5G así como telecomunicaciones internacionales y distribución de video.</w:t>
      </w:r>
    </w:p>
    <w:p w14:paraId="27ECBA53" w14:textId="15FE2571" w:rsidR="00597F9B" w:rsidRPr="0061694A" w:rsidRDefault="00744D78" w:rsidP="00620C40">
      <w:pPr>
        <w:rPr>
          <w:lang w:val="es-ES"/>
        </w:rPr>
      </w:pPr>
      <w:r w:rsidRPr="0061694A">
        <w:rPr>
          <w:lang w:val="es-ES"/>
        </w:rPr>
        <w:t xml:space="preserve">Varios satélites HTS están prestando servicio actualmente en toda la </w:t>
      </w:r>
      <w:r w:rsidR="00F61320" w:rsidRPr="0061694A">
        <w:rPr>
          <w:lang w:val="es-ES"/>
        </w:rPr>
        <w:t>Región</w:t>
      </w:r>
      <w:r w:rsidRPr="0061694A">
        <w:rPr>
          <w:lang w:val="es-ES"/>
        </w:rPr>
        <w:t xml:space="preserve">, funcionando en las bandas C, </w:t>
      </w:r>
      <w:proofErr w:type="spellStart"/>
      <w:r w:rsidRPr="0061694A">
        <w:rPr>
          <w:lang w:val="es-ES"/>
        </w:rPr>
        <w:t>Ku</w:t>
      </w:r>
      <w:proofErr w:type="spellEnd"/>
      <w:r w:rsidRPr="0061694A">
        <w:rPr>
          <w:lang w:val="es-ES"/>
        </w:rPr>
        <w:t xml:space="preserve"> y Ka. Los que </w:t>
      </w:r>
      <w:r w:rsidR="00620C40" w:rsidRPr="0061694A">
        <w:rPr>
          <w:lang w:val="es-ES"/>
        </w:rPr>
        <w:t>ofrecen</w:t>
      </w:r>
      <w:r w:rsidRPr="0061694A">
        <w:rPr>
          <w:lang w:val="es-ES"/>
        </w:rPr>
        <w:t xml:space="preserve"> la capacidad en la banda Ka</w:t>
      </w:r>
      <w:r w:rsidR="00F61320">
        <w:rPr>
          <w:lang w:val="es-ES"/>
        </w:rPr>
        <w:t>,</w:t>
      </w:r>
      <w:r w:rsidRPr="0061694A">
        <w:rPr>
          <w:lang w:val="es-ES"/>
        </w:rPr>
        <w:t xml:space="preserve"> en las bandas de 26 o 28</w:t>
      </w:r>
      <w:r w:rsidR="00981B31">
        <w:rPr>
          <w:lang w:val="es-ES"/>
        </w:rPr>
        <w:t> </w:t>
      </w:r>
      <w:r w:rsidRPr="0061694A">
        <w:rPr>
          <w:lang w:val="es-ES"/>
        </w:rPr>
        <w:t>GHz</w:t>
      </w:r>
      <w:r w:rsidR="00F61320">
        <w:rPr>
          <w:lang w:val="es-ES"/>
        </w:rPr>
        <w:t>,</w:t>
      </w:r>
      <w:r w:rsidRPr="0061694A">
        <w:rPr>
          <w:lang w:val="es-ES"/>
        </w:rPr>
        <w:t xml:space="preserve"> incluyen</w:t>
      </w:r>
      <w:r w:rsidR="00597F9B" w:rsidRPr="0061694A">
        <w:rPr>
          <w:lang w:val="es-ES"/>
        </w:rPr>
        <w:t xml:space="preserve">: </w:t>
      </w:r>
      <w:proofErr w:type="spellStart"/>
      <w:r w:rsidR="00597F9B" w:rsidRPr="0061694A">
        <w:rPr>
          <w:lang w:val="es-ES"/>
        </w:rPr>
        <w:t>IPStar</w:t>
      </w:r>
      <w:proofErr w:type="spellEnd"/>
      <w:r w:rsidR="00597F9B" w:rsidRPr="0061694A">
        <w:rPr>
          <w:lang w:val="es-ES"/>
        </w:rPr>
        <w:t>, O3b (</w:t>
      </w:r>
      <w:r w:rsidRPr="0061694A">
        <w:rPr>
          <w:lang w:val="es-ES"/>
        </w:rPr>
        <w:t>constelación MEO</w:t>
      </w:r>
      <w:r w:rsidR="00597F9B" w:rsidRPr="0061694A">
        <w:rPr>
          <w:lang w:val="es-ES"/>
        </w:rPr>
        <w:t xml:space="preserve">), </w:t>
      </w:r>
      <w:proofErr w:type="spellStart"/>
      <w:r w:rsidR="00597F9B" w:rsidRPr="0061694A">
        <w:rPr>
          <w:lang w:val="es-ES"/>
        </w:rPr>
        <w:t>Sky</w:t>
      </w:r>
      <w:proofErr w:type="spellEnd"/>
      <w:r w:rsidR="00597F9B" w:rsidRPr="0061694A">
        <w:rPr>
          <w:lang w:val="es-ES"/>
        </w:rPr>
        <w:t xml:space="preserve"> Muster I &amp; II (NBN-Co), </w:t>
      </w:r>
      <w:proofErr w:type="spellStart"/>
      <w:r w:rsidR="00597F9B" w:rsidRPr="0061694A">
        <w:rPr>
          <w:lang w:val="es-ES"/>
        </w:rPr>
        <w:t>Inmarsat</w:t>
      </w:r>
      <w:proofErr w:type="spellEnd"/>
      <w:r w:rsidR="00597F9B" w:rsidRPr="0061694A">
        <w:rPr>
          <w:lang w:val="es-ES"/>
        </w:rPr>
        <w:t xml:space="preserve"> Global Xpress (I5 F1, I5 F3 </w:t>
      </w:r>
      <w:r w:rsidRPr="0061694A">
        <w:rPr>
          <w:lang w:val="es-ES"/>
        </w:rPr>
        <w:t>e</w:t>
      </w:r>
      <w:r w:rsidR="00597F9B" w:rsidRPr="0061694A">
        <w:rPr>
          <w:lang w:val="es-ES"/>
        </w:rPr>
        <w:t xml:space="preserve"> I5 F4), </w:t>
      </w:r>
      <w:proofErr w:type="spellStart"/>
      <w:r w:rsidR="00597F9B" w:rsidRPr="0061694A">
        <w:rPr>
          <w:lang w:val="es-ES"/>
        </w:rPr>
        <w:t>Intelsat</w:t>
      </w:r>
      <w:proofErr w:type="spellEnd"/>
      <w:r w:rsidR="00597F9B" w:rsidRPr="0061694A">
        <w:rPr>
          <w:lang w:val="es-ES"/>
        </w:rPr>
        <w:t xml:space="preserve"> IS-33e, Chinasat-16, SES-12 </w:t>
      </w:r>
      <w:r w:rsidRPr="0061694A">
        <w:rPr>
          <w:lang w:val="es-ES"/>
        </w:rPr>
        <w:t>e</w:t>
      </w:r>
      <w:r w:rsidR="00597F9B" w:rsidRPr="0061694A">
        <w:rPr>
          <w:lang w:val="es-ES"/>
        </w:rPr>
        <w:t xml:space="preserve"> </w:t>
      </w:r>
      <w:proofErr w:type="spellStart"/>
      <w:r w:rsidR="00597F9B" w:rsidRPr="0061694A">
        <w:rPr>
          <w:lang w:val="es-ES"/>
        </w:rPr>
        <w:t>Intelsat</w:t>
      </w:r>
      <w:proofErr w:type="spellEnd"/>
      <w:r w:rsidR="00597F9B" w:rsidRPr="0061694A">
        <w:rPr>
          <w:lang w:val="es-ES"/>
        </w:rPr>
        <w:t xml:space="preserve"> IS-</w:t>
      </w:r>
      <w:proofErr w:type="spellStart"/>
      <w:r w:rsidR="00597F9B" w:rsidRPr="0061694A">
        <w:rPr>
          <w:lang w:val="es-ES"/>
        </w:rPr>
        <w:t>Horizons</w:t>
      </w:r>
      <w:proofErr w:type="spellEnd"/>
      <w:r w:rsidR="00597F9B" w:rsidRPr="0061694A">
        <w:rPr>
          <w:lang w:val="es-ES"/>
        </w:rPr>
        <w:t xml:space="preserve"> 3e. </w:t>
      </w:r>
      <w:r w:rsidRPr="0061694A">
        <w:rPr>
          <w:lang w:val="es-ES"/>
        </w:rPr>
        <w:t>En los próximos dos años, se lanzarán</w:t>
      </w:r>
      <w:r w:rsidR="00F61320">
        <w:rPr>
          <w:lang w:val="es-ES"/>
        </w:rPr>
        <w:t xml:space="preserve"> también</w:t>
      </w:r>
      <w:r w:rsidRPr="0061694A">
        <w:rPr>
          <w:lang w:val="es-ES"/>
        </w:rPr>
        <w:t xml:space="preserve"> </w:t>
      </w:r>
      <w:r w:rsidR="00597F9B" w:rsidRPr="0061694A">
        <w:rPr>
          <w:lang w:val="es-ES"/>
        </w:rPr>
        <w:t xml:space="preserve">Kacific-1 / JCSAT-18, </w:t>
      </w:r>
      <w:proofErr w:type="spellStart"/>
      <w:r w:rsidR="00597F9B" w:rsidRPr="0061694A">
        <w:rPr>
          <w:lang w:val="es-ES"/>
        </w:rPr>
        <w:t>OneWeb</w:t>
      </w:r>
      <w:proofErr w:type="spellEnd"/>
      <w:r w:rsidR="00597F9B" w:rsidRPr="0061694A">
        <w:rPr>
          <w:lang w:val="es-ES"/>
        </w:rPr>
        <w:t xml:space="preserve"> (</w:t>
      </w:r>
      <w:r w:rsidRPr="0061694A">
        <w:rPr>
          <w:lang w:val="es-ES"/>
        </w:rPr>
        <w:t xml:space="preserve">constelación </w:t>
      </w:r>
      <w:r w:rsidR="00597F9B" w:rsidRPr="0061694A">
        <w:rPr>
          <w:lang w:val="es-ES"/>
        </w:rPr>
        <w:t xml:space="preserve">LEO), </w:t>
      </w:r>
      <w:proofErr w:type="spellStart"/>
      <w:r w:rsidR="00597F9B" w:rsidRPr="0061694A">
        <w:rPr>
          <w:lang w:val="es-ES"/>
        </w:rPr>
        <w:t>APStar</w:t>
      </w:r>
      <w:proofErr w:type="spellEnd"/>
      <w:r w:rsidR="00597F9B" w:rsidRPr="0061694A">
        <w:rPr>
          <w:lang w:val="es-ES"/>
        </w:rPr>
        <w:t xml:space="preserve"> 6D, Chinasat-18, SpaceX (</w:t>
      </w:r>
      <w:r w:rsidRPr="0061694A">
        <w:rPr>
          <w:lang w:val="es-ES"/>
        </w:rPr>
        <w:t>constelación LEO</w:t>
      </w:r>
      <w:r w:rsidR="00597F9B" w:rsidRPr="0061694A">
        <w:rPr>
          <w:lang w:val="es-ES"/>
        </w:rPr>
        <w:t xml:space="preserve">) </w:t>
      </w:r>
      <w:r w:rsidRPr="0061694A">
        <w:rPr>
          <w:lang w:val="es-ES"/>
        </w:rPr>
        <w:t>e</w:t>
      </w:r>
      <w:r w:rsidR="00597F9B" w:rsidRPr="0061694A">
        <w:rPr>
          <w:lang w:val="es-ES"/>
        </w:rPr>
        <w:t xml:space="preserve"> Inmarsat-6 </w:t>
      </w:r>
      <w:r w:rsidRPr="0061694A">
        <w:rPr>
          <w:lang w:val="es-ES"/>
        </w:rPr>
        <w:t xml:space="preserve">para </w:t>
      </w:r>
      <w:r w:rsidR="0061694A" w:rsidRPr="0061694A">
        <w:rPr>
          <w:lang w:val="es-ES"/>
        </w:rPr>
        <w:t>prestar</w:t>
      </w:r>
      <w:r w:rsidRPr="0061694A">
        <w:rPr>
          <w:lang w:val="es-ES"/>
        </w:rPr>
        <w:t xml:space="preserve"> servicio</w:t>
      </w:r>
      <w:r w:rsidR="00F61320">
        <w:rPr>
          <w:lang w:val="es-ES"/>
        </w:rPr>
        <w:t>s</w:t>
      </w:r>
      <w:r w:rsidRPr="0061694A">
        <w:rPr>
          <w:lang w:val="es-ES"/>
        </w:rPr>
        <w:t xml:space="preserve"> en la Región</w:t>
      </w:r>
      <w:r w:rsidR="00597F9B" w:rsidRPr="0061694A">
        <w:rPr>
          <w:lang w:val="es-ES"/>
        </w:rPr>
        <w:t xml:space="preserve">, </w:t>
      </w:r>
      <w:r w:rsidRPr="0061694A">
        <w:rPr>
          <w:lang w:val="es-ES"/>
        </w:rPr>
        <w:t xml:space="preserve">todos proporcionando su capacidad en la banda </w:t>
      </w:r>
      <w:r w:rsidR="00597F9B" w:rsidRPr="0061694A">
        <w:rPr>
          <w:lang w:val="es-ES"/>
        </w:rPr>
        <w:t>Ka</w:t>
      </w:r>
      <w:r w:rsidR="00F61320">
        <w:rPr>
          <w:lang w:val="es-ES"/>
        </w:rPr>
        <w:t>,</w:t>
      </w:r>
      <w:r w:rsidRPr="0061694A">
        <w:rPr>
          <w:lang w:val="es-ES"/>
        </w:rPr>
        <w:t xml:space="preserve"> en las bandas de </w:t>
      </w:r>
      <w:r w:rsidR="00597F9B" w:rsidRPr="0061694A">
        <w:rPr>
          <w:lang w:val="es-ES"/>
        </w:rPr>
        <w:t>26 o</w:t>
      </w:r>
      <w:r w:rsidRPr="0061694A">
        <w:rPr>
          <w:lang w:val="es-ES"/>
        </w:rPr>
        <w:t xml:space="preserve"> 28</w:t>
      </w:r>
      <w:r w:rsidR="00981B31">
        <w:rPr>
          <w:lang w:val="es-ES"/>
        </w:rPr>
        <w:t> </w:t>
      </w:r>
      <w:r w:rsidRPr="0061694A">
        <w:rPr>
          <w:lang w:val="es-ES"/>
        </w:rPr>
        <w:t>GHz</w:t>
      </w:r>
      <w:r w:rsidR="00597F9B" w:rsidRPr="0061694A">
        <w:rPr>
          <w:lang w:val="es-ES"/>
        </w:rPr>
        <w:t xml:space="preserve">. </w:t>
      </w:r>
      <w:r w:rsidRPr="0061694A">
        <w:rPr>
          <w:lang w:val="es-ES"/>
        </w:rPr>
        <w:t>En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2021-2022, </w:t>
      </w:r>
      <w:r w:rsidRPr="0061694A">
        <w:rPr>
          <w:lang w:val="es-ES"/>
        </w:rPr>
        <w:t xml:space="preserve">se unirán la constelación </w:t>
      </w:r>
      <w:proofErr w:type="spellStart"/>
      <w:r w:rsidR="00597F9B" w:rsidRPr="0061694A">
        <w:rPr>
          <w:lang w:val="es-ES"/>
        </w:rPr>
        <w:t>Telesat</w:t>
      </w:r>
      <w:proofErr w:type="spellEnd"/>
      <w:r w:rsidR="00597F9B" w:rsidRPr="0061694A">
        <w:rPr>
          <w:lang w:val="es-ES"/>
        </w:rPr>
        <w:t xml:space="preserve"> LEO, O3b </w:t>
      </w:r>
      <w:proofErr w:type="spellStart"/>
      <w:r w:rsidR="00597F9B" w:rsidRPr="0061694A">
        <w:rPr>
          <w:lang w:val="es-ES"/>
        </w:rPr>
        <w:t>mPower</w:t>
      </w:r>
      <w:proofErr w:type="spellEnd"/>
      <w:r w:rsidR="00597F9B" w:rsidRPr="0061694A">
        <w:rPr>
          <w:lang w:val="es-ES"/>
        </w:rPr>
        <w:t xml:space="preserve"> (</w:t>
      </w:r>
      <w:r w:rsidRPr="0061694A">
        <w:rPr>
          <w:lang w:val="es-ES"/>
        </w:rPr>
        <w:t>constelación MEO</w:t>
      </w:r>
      <w:r w:rsidR="00597F9B" w:rsidRPr="0061694A">
        <w:rPr>
          <w:lang w:val="es-ES"/>
        </w:rPr>
        <w:t xml:space="preserve">), Viasat-3, MEASAT-3R </w:t>
      </w:r>
      <w:r w:rsidRPr="0061694A">
        <w:rPr>
          <w:lang w:val="es-ES"/>
        </w:rPr>
        <w:t>y</w:t>
      </w:r>
      <w:r w:rsidR="00597F9B" w:rsidRPr="0061694A">
        <w:rPr>
          <w:lang w:val="es-ES"/>
        </w:rPr>
        <w:t xml:space="preserve"> MEASAT-2a, </w:t>
      </w:r>
      <w:r w:rsidRPr="0061694A">
        <w:rPr>
          <w:lang w:val="es-ES"/>
        </w:rPr>
        <w:t>que proporcionan su capacidad en la banda Ka</w:t>
      </w:r>
      <w:r w:rsidR="00F61320">
        <w:rPr>
          <w:lang w:val="es-ES"/>
        </w:rPr>
        <w:t>,</w:t>
      </w:r>
      <w:r w:rsidRPr="0061694A">
        <w:rPr>
          <w:lang w:val="es-ES"/>
        </w:rPr>
        <w:t xml:space="preserve"> en las bandas de 26 </w:t>
      </w:r>
      <w:r w:rsidRPr="0061694A">
        <w:rPr>
          <w:lang w:val="es-ES"/>
        </w:rPr>
        <w:lastRenderedPageBreak/>
        <w:t>o</w:t>
      </w:r>
      <w:r w:rsidR="00981B31">
        <w:rPr>
          <w:lang w:val="es-ES"/>
        </w:rPr>
        <w:t> </w:t>
      </w:r>
      <w:r w:rsidRPr="0061694A">
        <w:rPr>
          <w:lang w:val="es-ES"/>
        </w:rPr>
        <w:t>28</w:t>
      </w:r>
      <w:r w:rsidR="00981B31">
        <w:rPr>
          <w:lang w:val="es-ES"/>
        </w:rPr>
        <w:t> </w:t>
      </w:r>
      <w:r w:rsidRPr="0061694A">
        <w:rPr>
          <w:lang w:val="es-ES"/>
        </w:rPr>
        <w:t>GHz</w:t>
      </w:r>
      <w:r w:rsidR="00597F9B" w:rsidRPr="0061694A">
        <w:rPr>
          <w:lang w:val="es-ES"/>
        </w:rPr>
        <w:t xml:space="preserve">. </w:t>
      </w:r>
      <w:r w:rsidRPr="0061694A">
        <w:rPr>
          <w:lang w:val="es-ES"/>
        </w:rPr>
        <w:t xml:space="preserve">La </w:t>
      </w:r>
      <w:r w:rsidR="0061694A" w:rsidRPr="0061694A">
        <w:rPr>
          <w:lang w:val="es-ES"/>
        </w:rPr>
        <w:t>inversión</w:t>
      </w:r>
      <w:r w:rsidRPr="0061694A">
        <w:rPr>
          <w:lang w:val="es-ES"/>
        </w:rPr>
        <w:t xml:space="preserve"> conjunta de todos estos satélites</w:t>
      </w:r>
      <w:r w:rsidR="00597F9B" w:rsidRPr="0061694A">
        <w:rPr>
          <w:lang w:val="es-ES"/>
        </w:rPr>
        <w:t xml:space="preserve">, </w:t>
      </w:r>
      <w:r w:rsidR="00620C40" w:rsidRPr="0061694A">
        <w:rPr>
          <w:lang w:val="es-ES"/>
        </w:rPr>
        <w:t>junto</w:t>
      </w:r>
      <w:r w:rsidRPr="0061694A">
        <w:rPr>
          <w:lang w:val="es-ES"/>
        </w:rPr>
        <w:t xml:space="preserve"> con la infraestr</w:t>
      </w:r>
      <w:r w:rsidR="00620C40" w:rsidRPr="0061694A">
        <w:rPr>
          <w:lang w:val="es-ES"/>
        </w:rPr>
        <w:t>uc</w:t>
      </w:r>
      <w:r w:rsidRPr="0061694A">
        <w:rPr>
          <w:lang w:val="es-ES"/>
        </w:rPr>
        <w:t>tura asociada en tierra</w:t>
      </w:r>
      <w:r w:rsidR="00597F9B" w:rsidRPr="0061694A">
        <w:rPr>
          <w:lang w:val="es-ES"/>
        </w:rPr>
        <w:t xml:space="preserve">, </w:t>
      </w:r>
      <w:r w:rsidR="00620C40" w:rsidRPr="0061694A">
        <w:rPr>
          <w:lang w:val="es-ES"/>
        </w:rPr>
        <w:t>asciende a varios miles de millones de USD</w:t>
      </w:r>
      <w:r w:rsidR="00981B31" w:rsidRPr="0061694A">
        <w:rPr>
          <w:rFonts w:cs="Calibri"/>
          <w:vertAlign w:val="superscript"/>
          <w:lang w:val="es-ES"/>
        </w:rPr>
        <w:footnoteReference w:id="1"/>
      </w:r>
      <w:r w:rsidR="00597F9B" w:rsidRPr="0061694A">
        <w:rPr>
          <w:lang w:val="es-ES"/>
        </w:rPr>
        <w:t>.</w:t>
      </w:r>
    </w:p>
    <w:p w14:paraId="6324273C" w14:textId="40DCA005" w:rsidR="00620C40" w:rsidRPr="0061694A" w:rsidRDefault="00620C40" w:rsidP="00981B31">
      <w:pPr>
        <w:rPr>
          <w:lang w:val="es-ES"/>
        </w:rPr>
      </w:pPr>
      <w:r w:rsidRPr="0061694A">
        <w:rPr>
          <w:lang w:val="es-ES"/>
        </w:rPr>
        <w:t xml:space="preserve">Varios operadores de satélites han desplegado, o están a punto de desplegar, sistemas de la última y la siguiente generaciones de satélites de alto caudal (HTS) que dan cobertura a las islas del Pacífico en numerosas bandas de frecuencias tanto en órbitas geoestacionarias como no geoestacionarias, </w:t>
      </w:r>
      <w:proofErr w:type="gramStart"/>
      <w:r w:rsidRPr="0061694A">
        <w:rPr>
          <w:lang w:val="es-ES"/>
        </w:rPr>
        <w:t>como</w:t>
      </w:r>
      <w:proofErr w:type="gramEnd"/>
      <w:r w:rsidRPr="0061694A">
        <w:rPr>
          <w:lang w:val="es-ES"/>
        </w:rPr>
        <w:t xml:space="preserve"> por ejemplo:</w:t>
      </w:r>
      <w:r w:rsidR="0061694A">
        <w:rPr>
          <w:lang w:val="es-ES"/>
        </w:rPr>
        <w:t xml:space="preserve"> </w:t>
      </w:r>
    </w:p>
    <w:p w14:paraId="140D2320" w14:textId="1B610A05" w:rsidR="00597F9B" w:rsidRPr="00981B31" w:rsidRDefault="00981B31" w:rsidP="00981B31">
      <w:pPr>
        <w:pStyle w:val="enumlev1"/>
      </w:pPr>
      <w:r w:rsidRPr="00981B31">
        <w:rPr>
          <w:lang w:val="es-ES"/>
        </w:rPr>
        <w:t>•</w:t>
      </w:r>
      <w:r>
        <w:rPr>
          <w:lang w:val="es-ES"/>
        </w:rPr>
        <w:tab/>
      </w:r>
      <w:r w:rsidR="00597F9B" w:rsidRPr="0061694A">
        <w:rPr>
          <w:lang w:val="es-ES"/>
        </w:rPr>
        <w:t xml:space="preserve">Eutelsat </w:t>
      </w:r>
      <w:r w:rsidR="00620C40" w:rsidRPr="0061694A">
        <w:rPr>
          <w:lang w:val="es-ES"/>
        </w:rPr>
        <w:t>ha lanzado el</w:t>
      </w:r>
      <w:r w:rsidR="00597F9B" w:rsidRPr="0061694A">
        <w:rPr>
          <w:lang w:val="es-ES"/>
        </w:rPr>
        <w:t xml:space="preserve"> Eutelsat-172B </w:t>
      </w:r>
      <w:r w:rsidR="00620C40" w:rsidRPr="0061694A">
        <w:rPr>
          <w:lang w:val="es-ES"/>
        </w:rPr>
        <w:t xml:space="preserve">que proporciona cobertura de HTS </w:t>
      </w:r>
      <w:r w:rsidR="007F14E5" w:rsidRPr="0061694A">
        <w:rPr>
          <w:lang w:val="es-ES"/>
        </w:rPr>
        <w:t xml:space="preserve">en el Pacífico </w:t>
      </w:r>
      <w:r w:rsidR="00620C40" w:rsidRPr="0061694A">
        <w:rPr>
          <w:lang w:val="es-ES"/>
        </w:rPr>
        <w:t xml:space="preserve">en las bandas C </w:t>
      </w:r>
      <w:r w:rsidR="00620C40" w:rsidRPr="00981B31">
        <w:t xml:space="preserve">expandida y </w:t>
      </w:r>
      <w:proofErr w:type="spellStart"/>
      <w:r w:rsidR="00620C40" w:rsidRPr="00981B31">
        <w:t>Ku</w:t>
      </w:r>
      <w:proofErr w:type="spellEnd"/>
      <w:r w:rsidR="00597F9B" w:rsidRPr="00981B31">
        <w:t>;</w:t>
      </w:r>
    </w:p>
    <w:p w14:paraId="57094FBA" w14:textId="7C2896A3" w:rsidR="00597F9B" w:rsidRPr="00981B31" w:rsidRDefault="00981B31" w:rsidP="00981B31">
      <w:pPr>
        <w:pStyle w:val="enumlev1"/>
      </w:pPr>
      <w:r w:rsidRPr="00981B31">
        <w:rPr>
          <w:lang w:val="es-ES"/>
        </w:rPr>
        <w:t>•</w:t>
      </w:r>
      <w:r>
        <w:rPr>
          <w:lang w:val="es-ES"/>
        </w:rPr>
        <w:tab/>
      </w:r>
      <w:proofErr w:type="spellStart"/>
      <w:r w:rsidR="00597F9B" w:rsidRPr="00981B31">
        <w:t>Inmarsat</w:t>
      </w:r>
      <w:proofErr w:type="spellEnd"/>
      <w:r w:rsidR="00597F9B" w:rsidRPr="00981B31">
        <w:t xml:space="preserve"> </w:t>
      </w:r>
      <w:r w:rsidR="007F14E5" w:rsidRPr="00981B31">
        <w:t xml:space="preserve">ha lanzado el cuarto satélite </w:t>
      </w:r>
      <w:r w:rsidR="00597F9B" w:rsidRPr="00981B31">
        <w:t xml:space="preserve">GX </w:t>
      </w:r>
      <w:r w:rsidR="007F14E5" w:rsidRPr="00981B31">
        <w:t xml:space="preserve">para ofrecer más capacidad de HTS a la región </w:t>
      </w:r>
      <w:r w:rsidR="00526D0E">
        <w:t>Asia-Pacífico</w:t>
      </w:r>
      <w:r w:rsidR="007F14E5" w:rsidRPr="00981B31">
        <w:t xml:space="preserve"> en la banda</w:t>
      </w:r>
      <w:r w:rsidR="00597F9B" w:rsidRPr="00981B31">
        <w:t xml:space="preserve"> Ka; </w:t>
      </w:r>
    </w:p>
    <w:p w14:paraId="1B4468E4" w14:textId="71E5AD1D" w:rsidR="00597F9B" w:rsidRPr="00981B31" w:rsidRDefault="00981B31" w:rsidP="00981B31">
      <w:pPr>
        <w:pStyle w:val="enumlev1"/>
      </w:pPr>
      <w:r w:rsidRPr="00981B31">
        <w:rPr>
          <w:lang w:val="es-ES"/>
        </w:rPr>
        <w:t>•</w:t>
      </w:r>
      <w:r>
        <w:rPr>
          <w:lang w:val="es-ES"/>
        </w:rPr>
        <w:tab/>
      </w:r>
      <w:r w:rsidR="00597F9B" w:rsidRPr="00981B31">
        <w:t xml:space="preserve">O3b </w:t>
      </w:r>
      <w:r w:rsidR="007F14E5" w:rsidRPr="00981B31">
        <w:t>ha añadido este año cuatro satélites</w:t>
      </w:r>
      <w:r w:rsidR="00597F9B" w:rsidRPr="00981B31">
        <w:t xml:space="preserve"> </w:t>
      </w:r>
      <w:r w:rsidR="007F14E5" w:rsidRPr="00981B31">
        <w:t>de órbita terrestre media (MEO) a su constelación</w:t>
      </w:r>
      <w:r w:rsidR="00F61320" w:rsidRPr="00981B31">
        <w:t xml:space="preserve"> en la banda Ka</w:t>
      </w:r>
      <w:r w:rsidR="00597F9B" w:rsidRPr="00981B31">
        <w:t xml:space="preserve">, </w:t>
      </w:r>
      <w:r w:rsidR="007F14E5" w:rsidRPr="00981B31">
        <w:t>y tiene cuatro adicionales en construcción</w:t>
      </w:r>
      <w:r w:rsidR="00597F9B" w:rsidRPr="00981B31">
        <w:t>;</w:t>
      </w:r>
    </w:p>
    <w:p w14:paraId="2A78AFE5" w14:textId="62CFB5FF" w:rsidR="00597F9B" w:rsidRPr="00981B31" w:rsidRDefault="00981B31" w:rsidP="00981B31">
      <w:pPr>
        <w:pStyle w:val="enumlev1"/>
      </w:pPr>
      <w:r w:rsidRPr="00981B31">
        <w:rPr>
          <w:lang w:val="es-ES"/>
        </w:rPr>
        <w:t>•</w:t>
      </w:r>
      <w:r>
        <w:rPr>
          <w:lang w:val="es-ES"/>
        </w:rPr>
        <w:tab/>
      </w:r>
      <w:proofErr w:type="spellStart"/>
      <w:r w:rsidR="00597F9B" w:rsidRPr="00981B31">
        <w:t>Intelsat</w:t>
      </w:r>
      <w:proofErr w:type="spellEnd"/>
      <w:r w:rsidR="00597F9B" w:rsidRPr="00981B31">
        <w:t xml:space="preserve"> </w:t>
      </w:r>
      <w:r w:rsidR="007F14E5" w:rsidRPr="00981B31">
        <w:t>y</w:t>
      </w:r>
      <w:r w:rsidR="00597F9B" w:rsidRPr="00981B31">
        <w:t xml:space="preserve"> SKY </w:t>
      </w:r>
      <w:proofErr w:type="spellStart"/>
      <w:r w:rsidR="00597F9B" w:rsidRPr="00981B31">
        <w:t>Perfect</w:t>
      </w:r>
      <w:proofErr w:type="spellEnd"/>
      <w:r w:rsidR="00597F9B" w:rsidRPr="00981B31">
        <w:t xml:space="preserve"> JSAT </w:t>
      </w:r>
      <w:r w:rsidR="007F14E5" w:rsidRPr="00981B31">
        <w:t xml:space="preserve">han lanzado </w:t>
      </w:r>
      <w:proofErr w:type="spellStart"/>
      <w:r w:rsidR="00597F9B" w:rsidRPr="00981B31">
        <w:t>Horizons</w:t>
      </w:r>
      <w:proofErr w:type="spellEnd"/>
      <w:r w:rsidR="00597F9B" w:rsidRPr="00981B31">
        <w:t xml:space="preserve"> 3e, </w:t>
      </w:r>
      <w:r w:rsidR="007F14E5" w:rsidRPr="00981B31">
        <w:t xml:space="preserve">un satélite basado en el diseño de alto caudal </w:t>
      </w:r>
      <w:proofErr w:type="spellStart"/>
      <w:r w:rsidR="00597F9B" w:rsidRPr="00981B31">
        <w:t>Intelsat</w:t>
      </w:r>
      <w:proofErr w:type="spellEnd"/>
      <w:r w:rsidR="00597F9B" w:rsidRPr="00981B31">
        <w:t xml:space="preserve"> </w:t>
      </w:r>
      <w:proofErr w:type="spellStart"/>
      <w:r w:rsidR="00597F9B" w:rsidRPr="00981B31">
        <w:t>EpicNG</w:t>
      </w:r>
      <w:proofErr w:type="spellEnd"/>
      <w:r w:rsidR="00597F9B" w:rsidRPr="00981B31">
        <w:t xml:space="preserve"> </w:t>
      </w:r>
      <w:r w:rsidR="007F14E5" w:rsidRPr="00981B31">
        <w:t xml:space="preserve">que ofrece una capacidad en la banda C optimizada y capacidad de alto caudal en la banda </w:t>
      </w:r>
      <w:proofErr w:type="spellStart"/>
      <w:r w:rsidR="007F14E5" w:rsidRPr="00981B31">
        <w:t>Ku</w:t>
      </w:r>
      <w:proofErr w:type="spellEnd"/>
      <w:r w:rsidR="007F14E5" w:rsidRPr="00981B31">
        <w:t xml:space="preserve"> para responder a las crecientes demandas de movilidad y conectividad de banda ancha en la Región </w:t>
      </w:r>
      <w:r w:rsidR="00526D0E">
        <w:t>Asia-Pacífico</w:t>
      </w:r>
      <w:r w:rsidR="00597F9B" w:rsidRPr="00981B31">
        <w:t xml:space="preserve">; </w:t>
      </w:r>
    </w:p>
    <w:p w14:paraId="667CF53C" w14:textId="027837C7" w:rsidR="007F14E5" w:rsidRPr="00981B31" w:rsidRDefault="00981B31" w:rsidP="00981B31">
      <w:pPr>
        <w:pStyle w:val="enumlev1"/>
      </w:pPr>
      <w:r w:rsidRPr="00981B31">
        <w:rPr>
          <w:lang w:val="es-ES"/>
        </w:rPr>
        <w:t>•</w:t>
      </w:r>
      <w:r>
        <w:rPr>
          <w:lang w:val="es-ES"/>
        </w:rPr>
        <w:tab/>
      </w:r>
      <w:proofErr w:type="spellStart"/>
      <w:r w:rsidR="00597F9B" w:rsidRPr="00981B31">
        <w:t>Kacific</w:t>
      </w:r>
      <w:proofErr w:type="spellEnd"/>
      <w:r w:rsidR="00597F9B" w:rsidRPr="00981B31">
        <w:t xml:space="preserve"> </w:t>
      </w:r>
      <w:r w:rsidR="007F14E5" w:rsidRPr="00981B31">
        <w:t xml:space="preserve">acaba de pedir </w:t>
      </w:r>
      <w:r w:rsidR="00EF355D" w:rsidRPr="00981B31">
        <w:t xml:space="preserve">una </w:t>
      </w:r>
      <w:r w:rsidR="007F14E5" w:rsidRPr="00981B31">
        <w:t xml:space="preserve">carga útil </w:t>
      </w:r>
      <w:r w:rsidR="00EF355D" w:rsidRPr="00981B31">
        <w:t xml:space="preserve">de HTS </w:t>
      </w:r>
      <w:r w:rsidR="007F14E5" w:rsidRPr="00981B31">
        <w:t xml:space="preserve">en banda Ka </w:t>
      </w:r>
      <w:r w:rsidR="00EF355D" w:rsidRPr="00981B31">
        <w:t>en Kacific-1 que lanzará en</w:t>
      </w:r>
      <w:r>
        <w:t> </w:t>
      </w:r>
      <w:r w:rsidR="00EF355D" w:rsidRPr="00981B31">
        <w:t xml:space="preserve">2019 con una cobertura dedicada al Pacífico; </w:t>
      </w:r>
    </w:p>
    <w:p w14:paraId="4CE78527" w14:textId="79A4FB8A" w:rsidR="00597F9B" w:rsidRPr="0061694A" w:rsidRDefault="00981B31" w:rsidP="00981B31">
      <w:pPr>
        <w:pStyle w:val="enumlev1"/>
        <w:rPr>
          <w:lang w:val="es-ES"/>
        </w:rPr>
      </w:pPr>
      <w:r w:rsidRPr="00981B31">
        <w:rPr>
          <w:lang w:val="es-ES"/>
        </w:rPr>
        <w:t>•</w:t>
      </w:r>
      <w:r>
        <w:rPr>
          <w:lang w:val="es-ES"/>
        </w:rPr>
        <w:tab/>
      </w:r>
      <w:proofErr w:type="spellStart"/>
      <w:r w:rsidR="00597F9B" w:rsidRPr="00981B31">
        <w:t>OneWeb</w:t>
      </w:r>
      <w:proofErr w:type="spellEnd"/>
      <w:r w:rsidR="00597F9B" w:rsidRPr="00981B31">
        <w:t xml:space="preserve"> </w:t>
      </w:r>
      <w:r w:rsidR="00EF355D" w:rsidRPr="00981B31">
        <w:t>lanzará,</w:t>
      </w:r>
      <w:r w:rsidR="00EF355D" w:rsidRPr="0061694A">
        <w:rPr>
          <w:lang w:val="es-ES"/>
        </w:rPr>
        <w:t xml:space="preserve"> a partir de 2020, una constelación mundial de más de 800 satélites no geoestacionarios en</w:t>
      </w:r>
      <w:r w:rsidR="0061694A">
        <w:rPr>
          <w:lang w:val="es-ES"/>
        </w:rPr>
        <w:t xml:space="preserve"> </w:t>
      </w:r>
      <w:r w:rsidR="00EF355D" w:rsidRPr="0061694A">
        <w:rPr>
          <w:lang w:val="es-ES"/>
        </w:rPr>
        <w:t xml:space="preserve">órbita terrestre baja (LEO) que funcionarán en frecuencias del servicio fijo por satélite en la banda </w:t>
      </w:r>
      <w:proofErr w:type="spellStart"/>
      <w:r w:rsidR="00EF355D" w:rsidRPr="0061694A">
        <w:rPr>
          <w:lang w:val="es-ES"/>
        </w:rPr>
        <w:t>Ku</w:t>
      </w:r>
      <w:proofErr w:type="spellEnd"/>
      <w:r w:rsidR="00EF355D" w:rsidRPr="0061694A">
        <w:rPr>
          <w:lang w:val="es-ES"/>
        </w:rPr>
        <w:t xml:space="preserve"> proporcionarán soluciones </w:t>
      </w:r>
      <w:r w:rsidR="00F61320">
        <w:rPr>
          <w:lang w:val="es-ES"/>
        </w:rPr>
        <w:t xml:space="preserve">ubicuas </w:t>
      </w:r>
      <w:r w:rsidR="00EF355D" w:rsidRPr="0061694A">
        <w:rPr>
          <w:lang w:val="es-ES"/>
        </w:rPr>
        <w:t xml:space="preserve">de baja latencia y alto caudal para aplicaciones de banda ancha y transporte intermedio para las redes móviles (es decir para aplicaciones </w:t>
      </w:r>
      <w:r w:rsidR="00597F9B" w:rsidRPr="0061694A">
        <w:rPr>
          <w:lang w:val="es-ES"/>
        </w:rPr>
        <w:t>3G/LTE/5G/</w:t>
      </w:r>
      <w:proofErr w:type="spellStart"/>
      <w:r w:rsidR="00597F9B" w:rsidRPr="0061694A">
        <w:rPr>
          <w:lang w:val="es-ES"/>
        </w:rPr>
        <w:t>WiFi</w:t>
      </w:r>
      <w:proofErr w:type="spellEnd"/>
      <w:r w:rsidR="00597F9B" w:rsidRPr="0061694A">
        <w:rPr>
          <w:lang w:val="es-ES"/>
        </w:rPr>
        <w:t xml:space="preserve"> </w:t>
      </w:r>
      <w:r w:rsidR="00EF355D" w:rsidRPr="0061694A">
        <w:rPr>
          <w:lang w:val="es-ES"/>
        </w:rPr>
        <w:t xml:space="preserve">a hogares, escuelas y hospitales, </w:t>
      </w:r>
      <w:r w:rsidR="009241F5" w:rsidRPr="0061694A">
        <w:rPr>
          <w:lang w:val="es-ES"/>
        </w:rPr>
        <w:t xml:space="preserve">de </w:t>
      </w:r>
      <w:r w:rsidR="00EF355D" w:rsidRPr="0061694A">
        <w:rPr>
          <w:lang w:val="es-ES"/>
        </w:rPr>
        <w:t xml:space="preserve">emergencias y </w:t>
      </w:r>
      <w:r w:rsidR="009241F5" w:rsidRPr="0061694A">
        <w:rPr>
          <w:lang w:val="es-ES"/>
        </w:rPr>
        <w:t>para los gobiernos</w:t>
      </w:r>
      <w:r w:rsidR="00EF355D" w:rsidRPr="0061694A">
        <w:rPr>
          <w:lang w:val="es-ES"/>
        </w:rPr>
        <w:t>)</w:t>
      </w:r>
      <w:r w:rsidR="00597F9B" w:rsidRPr="0061694A">
        <w:rPr>
          <w:lang w:val="es-ES"/>
        </w:rPr>
        <w:t>,</w:t>
      </w:r>
      <w:r w:rsidR="00EF355D" w:rsidRPr="0061694A">
        <w:rPr>
          <w:lang w:val="es-ES"/>
        </w:rPr>
        <w:t xml:space="preserve"> así como soluciones de movilidad para barcos y aeronaves</w:t>
      </w:r>
      <w:r w:rsidR="00597F9B" w:rsidRPr="0061694A">
        <w:rPr>
          <w:lang w:val="es-ES"/>
        </w:rPr>
        <w:t>.</w:t>
      </w:r>
    </w:p>
    <w:p w14:paraId="68EC058D" w14:textId="51633ACF" w:rsidR="00597F9B" w:rsidRPr="0061694A" w:rsidRDefault="00597F9B" w:rsidP="0018261C">
      <w:pPr>
        <w:pStyle w:val="Headingb"/>
        <w:ind w:left="1134" w:hanging="1134"/>
        <w:rPr>
          <w:lang w:val="es-ES"/>
        </w:rPr>
      </w:pPr>
      <w:proofErr w:type="spellStart"/>
      <w:r w:rsidRPr="0061694A">
        <w:rPr>
          <w:lang w:val="es-ES"/>
        </w:rPr>
        <w:t>iii</w:t>
      </w:r>
      <w:proofErr w:type="spellEnd"/>
      <w:r w:rsidRPr="0061694A">
        <w:rPr>
          <w:lang w:val="es-ES"/>
        </w:rPr>
        <w:t>)</w:t>
      </w:r>
      <w:r w:rsidRPr="0061694A">
        <w:rPr>
          <w:lang w:val="es-ES"/>
        </w:rPr>
        <w:tab/>
      </w:r>
      <w:r w:rsidR="009241F5" w:rsidRPr="0061694A">
        <w:rPr>
          <w:lang w:val="es-ES"/>
        </w:rPr>
        <w:t xml:space="preserve">La identificación de espectro adicional para las IMT-2020 no debe invadir el espectro </w:t>
      </w:r>
      <w:r w:rsidR="00604F52" w:rsidRPr="0061694A">
        <w:rPr>
          <w:lang w:val="es-ES"/>
        </w:rPr>
        <w:t xml:space="preserve">dedicado a servicios </w:t>
      </w:r>
      <w:r w:rsidR="007B5D44" w:rsidRPr="0061694A">
        <w:rPr>
          <w:lang w:val="es-ES"/>
        </w:rPr>
        <w:t xml:space="preserve">satelitales </w:t>
      </w:r>
      <w:r w:rsidR="009241F5" w:rsidRPr="0061694A">
        <w:rPr>
          <w:lang w:val="es-ES"/>
        </w:rPr>
        <w:t>fuera del ámbito del punto 1.13 del orden del día</w:t>
      </w:r>
      <w:r w:rsidRPr="0061694A">
        <w:rPr>
          <w:lang w:val="es-ES"/>
        </w:rPr>
        <w:t xml:space="preserve"> (</w:t>
      </w:r>
      <w:r w:rsidR="009241F5" w:rsidRPr="0061694A">
        <w:rPr>
          <w:lang w:val="es-ES"/>
        </w:rPr>
        <w:t>Resolución</w:t>
      </w:r>
      <w:r w:rsidRPr="0061694A">
        <w:rPr>
          <w:lang w:val="es-ES"/>
        </w:rPr>
        <w:t xml:space="preserve"> 238 (</w:t>
      </w:r>
      <w:r w:rsidR="009241F5" w:rsidRPr="0061694A">
        <w:rPr>
          <w:lang w:val="es-ES"/>
        </w:rPr>
        <w:t>CMR</w:t>
      </w:r>
      <w:r w:rsidRPr="0061694A">
        <w:rPr>
          <w:lang w:val="es-ES"/>
        </w:rPr>
        <w:noBreakHyphen/>
        <w:t>15))</w:t>
      </w:r>
    </w:p>
    <w:p w14:paraId="419DF100" w14:textId="0AB09C43" w:rsidR="00597F9B" w:rsidRPr="0061694A" w:rsidRDefault="00006A03" w:rsidP="00006A03">
      <w:pPr>
        <w:rPr>
          <w:lang w:val="es-ES"/>
        </w:rPr>
      </w:pPr>
      <w:r w:rsidRPr="0061694A">
        <w:rPr>
          <w:lang w:val="es-ES"/>
        </w:rPr>
        <w:t xml:space="preserve">Como reconocimiento de la función importante que tienen los satélites, y seguirán teniendo, en las infraestructuras de comunicaciones en la Región de </w:t>
      </w:r>
      <w:r w:rsidR="00526D0E">
        <w:rPr>
          <w:lang w:val="es-ES"/>
        </w:rPr>
        <w:t>Asia-Pacífico</w:t>
      </w:r>
      <w:r w:rsidRPr="0061694A">
        <w:rPr>
          <w:lang w:val="es-ES"/>
        </w:rPr>
        <w:t xml:space="preserve">, la </w:t>
      </w:r>
      <w:proofErr w:type="spellStart"/>
      <w:r w:rsidRPr="0061694A">
        <w:rPr>
          <w:lang w:val="es-ES"/>
        </w:rPr>
        <w:t>Telecomunidad</w:t>
      </w:r>
      <w:proofErr w:type="spellEnd"/>
      <w:r w:rsidRPr="0061694A">
        <w:rPr>
          <w:lang w:val="es-ES"/>
        </w:rPr>
        <w:t xml:space="preserve"> Asia-Pacífico resuelve que la identificación de espectro adicional para las IMT-2020 debe limitarse a las bandas indicadas en la Resolución </w:t>
      </w:r>
      <w:r w:rsidR="00597F9B" w:rsidRPr="0061694A">
        <w:rPr>
          <w:b/>
          <w:bCs/>
          <w:lang w:val="es-ES"/>
        </w:rPr>
        <w:t>238 (</w:t>
      </w:r>
      <w:r w:rsidRPr="0061694A">
        <w:rPr>
          <w:b/>
          <w:bCs/>
          <w:lang w:val="es-ES"/>
        </w:rPr>
        <w:t>CMR</w:t>
      </w:r>
      <w:r w:rsidR="00597F9B" w:rsidRPr="0061694A">
        <w:rPr>
          <w:b/>
          <w:bCs/>
          <w:lang w:val="es-ES"/>
        </w:rPr>
        <w:t>-15)</w:t>
      </w:r>
      <w:r w:rsidR="00597F9B" w:rsidRPr="0061694A">
        <w:rPr>
          <w:lang w:val="es-ES"/>
        </w:rPr>
        <w:t xml:space="preserve">. </w:t>
      </w:r>
    </w:p>
    <w:p w14:paraId="633373BA" w14:textId="64DFAAB2" w:rsidR="00597F9B" w:rsidRPr="0061694A" w:rsidRDefault="00006A03" w:rsidP="00C54B57">
      <w:pPr>
        <w:rPr>
          <w:lang w:val="es-ES"/>
        </w:rPr>
      </w:pPr>
      <w:r w:rsidRPr="0061694A">
        <w:rPr>
          <w:lang w:val="es-ES"/>
        </w:rPr>
        <w:t xml:space="preserve">La Resolución </w:t>
      </w:r>
      <w:r w:rsidRPr="0061694A">
        <w:rPr>
          <w:b/>
          <w:bCs/>
          <w:lang w:val="es-ES"/>
        </w:rPr>
        <w:t>238 (CMR-15)</w:t>
      </w:r>
      <w:r w:rsidRPr="0061694A">
        <w:rPr>
          <w:lang w:val="es-ES"/>
        </w:rPr>
        <w:t xml:space="preserve"> </w:t>
      </w:r>
      <w:r w:rsidR="00C54B57">
        <w:rPr>
          <w:lang w:val="es-ES"/>
        </w:rPr>
        <w:t>hace referencia a</w:t>
      </w:r>
      <w:r w:rsidRPr="0061694A">
        <w:rPr>
          <w:lang w:val="es-ES"/>
        </w:rPr>
        <w:t xml:space="preserve"> más de 33</w:t>
      </w:r>
      <w:r w:rsidR="00981B31">
        <w:rPr>
          <w:lang w:val="es-ES"/>
        </w:rPr>
        <w:t> </w:t>
      </w:r>
      <w:r w:rsidRPr="0061694A">
        <w:rPr>
          <w:lang w:val="es-ES"/>
        </w:rPr>
        <w:t xml:space="preserve">GHz de espectro de ondas milimétricas para su posible identificación para las </w:t>
      </w:r>
      <w:r w:rsidR="00597F9B" w:rsidRPr="0061694A">
        <w:rPr>
          <w:lang w:val="es-ES"/>
        </w:rPr>
        <w:t xml:space="preserve">IMT-2020/5G. </w:t>
      </w:r>
      <w:r w:rsidRPr="0061694A">
        <w:rPr>
          <w:lang w:val="es-ES"/>
        </w:rPr>
        <w:t xml:space="preserve">Con esta amplia cantidad de espectro, se puede responder a todos los requisitos predecibles de las IMT-2020 </w:t>
      </w:r>
      <w:r w:rsidR="005C1B63" w:rsidRPr="0061694A">
        <w:rPr>
          <w:lang w:val="es-ES"/>
        </w:rPr>
        <w:t xml:space="preserve">(con la protección adecuada de los otros servicios primarios) sin invadir las bandas del espectro dedicadas a servicios </w:t>
      </w:r>
      <w:r w:rsidR="007B5D44" w:rsidRPr="0061694A">
        <w:rPr>
          <w:lang w:val="es-ES"/>
        </w:rPr>
        <w:t>satelitales</w:t>
      </w:r>
      <w:r w:rsidR="00604F52" w:rsidRPr="0061694A">
        <w:rPr>
          <w:lang w:val="es-ES"/>
        </w:rPr>
        <w:t xml:space="preserve">, en particular porque este espectro (por ejemplo, la banda </w:t>
      </w:r>
      <w:r w:rsidR="00597F9B" w:rsidRPr="0061694A">
        <w:rPr>
          <w:lang w:val="es-ES"/>
        </w:rPr>
        <w:t>27</w:t>
      </w:r>
      <w:r w:rsidR="00604F52" w:rsidRPr="0061694A">
        <w:rPr>
          <w:lang w:val="es-ES"/>
        </w:rPr>
        <w:t>,</w:t>
      </w:r>
      <w:r w:rsidR="00597F9B" w:rsidRPr="0061694A">
        <w:rPr>
          <w:lang w:val="es-ES"/>
        </w:rPr>
        <w:t>5-29</w:t>
      </w:r>
      <w:r w:rsidR="00604F52"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 (</w:t>
      </w:r>
      <w:r w:rsidR="00604F52" w:rsidRPr="0061694A">
        <w:rPr>
          <w:lang w:val="es-ES"/>
        </w:rPr>
        <w:t>o</w:t>
      </w:r>
      <w:r w:rsidR="00597F9B" w:rsidRPr="0061694A">
        <w:rPr>
          <w:lang w:val="es-ES"/>
        </w:rPr>
        <w:t xml:space="preserve"> </w:t>
      </w:r>
      <w:r w:rsidR="00981B31">
        <w:rPr>
          <w:lang w:val="es-ES"/>
        </w:rPr>
        <w:t>«</w:t>
      </w:r>
      <w:r w:rsidR="00604F52" w:rsidRPr="0061694A">
        <w:rPr>
          <w:lang w:val="es-ES"/>
        </w:rPr>
        <w:t xml:space="preserve">de </w:t>
      </w:r>
      <w:r w:rsidR="00597F9B" w:rsidRPr="0061694A">
        <w:rPr>
          <w:lang w:val="es-ES"/>
        </w:rPr>
        <w:t>28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</w:t>
      </w:r>
      <w:r w:rsidR="00981B31">
        <w:rPr>
          <w:lang w:val="es-ES"/>
        </w:rPr>
        <w:t>»</w:t>
      </w:r>
      <w:r w:rsidR="00597F9B" w:rsidRPr="0061694A">
        <w:rPr>
          <w:lang w:val="es-ES"/>
        </w:rPr>
        <w:t xml:space="preserve">)) </w:t>
      </w:r>
      <w:r w:rsidR="00604F52" w:rsidRPr="0061694A">
        <w:rPr>
          <w:lang w:val="es-ES"/>
        </w:rPr>
        <w:t xml:space="preserve">ya está siendo utilizada en todo el mundo para </w:t>
      </w:r>
      <w:r w:rsidR="007B5D44" w:rsidRPr="0061694A">
        <w:rPr>
          <w:lang w:val="es-ES"/>
        </w:rPr>
        <w:t xml:space="preserve">la prestación de importantes servicios por satélite. </w:t>
      </w:r>
      <w:r w:rsidR="00754B54" w:rsidRPr="0061694A">
        <w:rPr>
          <w:lang w:val="es-ES"/>
        </w:rPr>
        <w:t>Igual de importante,</w:t>
      </w:r>
      <w:r w:rsidR="00C54B57">
        <w:rPr>
          <w:lang w:val="es-ES"/>
        </w:rPr>
        <w:t xml:space="preserve"> ajustarse al alcance del punto</w:t>
      </w:r>
      <w:r w:rsidR="00754B54" w:rsidRPr="0061694A">
        <w:rPr>
          <w:lang w:val="es-ES"/>
        </w:rPr>
        <w:t xml:space="preserve"> 1.13 del orden del día de la CMR-19 y la Resolución</w:t>
      </w:r>
      <w:r w:rsidR="00981B31">
        <w:rPr>
          <w:lang w:val="es-ES"/>
        </w:rPr>
        <w:t> </w:t>
      </w:r>
      <w:r w:rsidR="00597F9B" w:rsidRPr="0061694A">
        <w:rPr>
          <w:b/>
          <w:bCs/>
          <w:lang w:val="es-ES"/>
        </w:rPr>
        <w:t xml:space="preserve">238 </w:t>
      </w:r>
      <w:r w:rsidR="00597F9B" w:rsidRPr="0061694A">
        <w:rPr>
          <w:b/>
          <w:bCs/>
          <w:lang w:val="es-ES"/>
        </w:rPr>
        <w:lastRenderedPageBreak/>
        <w:t>(</w:t>
      </w:r>
      <w:r w:rsidR="00754B54" w:rsidRPr="0061694A">
        <w:rPr>
          <w:b/>
          <w:bCs/>
          <w:lang w:val="es-ES"/>
        </w:rPr>
        <w:t>CMR</w:t>
      </w:r>
      <w:r w:rsidR="00597F9B" w:rsidRPr="0061694A">
        <w:rPr>
          <w:b/>
          <w:bCs/>
          <w:lang w:val="es-ES"/>
        </w:rPr>
        <w:t>-15)</w:t>
      </w:r>
      <w:r w:rsidR="00597F9B" w:rsidRPr="0061694A">
        <w:rPr>
          <w:lang w:val="es-ES"/>
        </w:rPr>
        <w:t xml:space="preserve"> </w:t>
      </w:r>
      <w:r w:rsidR="00754B54" w:rsidRPr="0061694A">
        <w:rPr>
          <w:lang w:val="es-ES"/>
        </w:rPr>
        <w:t xml:space="preserve">sigue siendo el mejor camino para llegar a un espectro armonizado a nivel mundial para los nuevos servicios </w:t>
      </w:r>
      <w:r w:rsidR="00597F9B" w:rsidRPr="0061694A">
        <w:rPr>
          <w:lang w:val="es-ES"/>
        </w:rPr>
        <w:t>IMT-2020/5G.</w:t>
      </w:r>
    </w:p>
    <w:p w14:paraId="47EB8188" w14:textId="57D5EF89" w:rsidR="00597F9B" w:rsidRPr="0061694A" w:rsidRDefault="00597F9B" w:rsidP="0018261C">
      <w:pPr>
        <w:pStyle w:val="Headingb"/>
        <w:ind w:left="1134" w:hanging="1134"/>
        <w:rPr>
          <w:lang w:val="es-ES"/>
        </w:rPr>
      </w:pPr>
      <w:proofErr w:type="spellStart"/>
      <w:r w:rsidRPr="0061694A">
        <w:rPr>
          <w:lang w:val="es-ES"/>
        </w:rPr>
        <w:t>iv</w:t>
      </w:r>
      <w:proofErr w:type="spellEnd"/>
      <w:r w:rsidRPr="0061694A">
        <w:rPr>
          <w:lang w:val="es-ES"/>
        </w:rPr>
        <w:t>)</w:t>
      </w:r>
      <w:r w:rsidRPr="0061694A">
        <w:rPr>
          <w:lang w:val="es-ES"/>
        </w:rPr>
        <w:tab/>
      </w:r>
      <w:r w:rsidR="00754B54" w:rsidRPr="0061694A">
        <w:rPr>
          <w:lang w:val="es-ES"/>
        </w:rPr>
        <w:t xml:space="preserve">La identificación para las IMT debe incluir medidas viables y factibles para proteger el SFS en las bandas compartidas </w:t>
      </w:r>
    </w:p>
    <w:p w14:paraId="30D52BE1" w14:textId="3EDF0E9C" w:rsidR="00597F9B" w:rsidRPr="0061694A" w:rsidRDefault="00754B54" w:rsidP="00456C6C">
      <w:pPr>
        <w:rPr>
          <w:lang w:val="es-ES"/>
        </w:rPr>
      </w:pPr>
      <w:r w:rsidRPr="0061694A">
        <w:rPr>
          <w:lang w:val="es-ES"/>
        </w:rPr>
        <w:t>La banda de frecuencias 2</w:t>
      </w:r>
      <w:r w:rsidR="00597F9B" w:rsidRPr="0061694A">
        <w:rPr>
          <w:lang w:val="es-ES"/>
        </w:rPr>
        <w:t>4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25-27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</w:t>
      </w:r>
      <w:r w:rsidRPr="0061694A">
        <w:rPr>
          <w:lang w:val="es-ES"/>
        </w:rPr>
        <w:t>z</w:t>
      </w:r>
      <w:r w:rsidR="00597F9B" w:rsidRPr="0061694A">
        <w:rPr>
          <w:lang w:val="es-ES"/>
        </w:rPr>
        <w:t xml:space="preserve">, </w:t>
      </w:r>
      <w:r w:rsidRPr="0061694A">
        <w:rPr>
          <w:lang w:val="es-ES"/>
        </w:rPr>
        <w:t>que incluye la atribución a enlaces ascendentes del SFS de</w:t>
      </w:r>
      <w:r w:rsidR="00597F9B" w:rsidRPr="0061694A">
        <w:rPr>
          <w:lang w:val="es-ES"/>
        </w:rPr>
        <w:t xml:space="preserve"> 24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65-25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25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para soportar el enlace descendente del servicio de radiodifusión por satélite (SRS) en</w:t>
      </w:r>
      <w:r w:rsidR="00597F9B" w:rsidRPr="0061694A">
        <w:rPr>
          <w:lang w:val="es-ES"/>
        </w:rPr>
        <w:t xml:space="preserve"> 21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4-22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GHz, </w:t>
      </w:r>
      <w:r w:rsidRPr="0061694A">
        <w:rPr>
          <w:lang w:val="es-ES"/>
        </w:rPr>
        <w:t xml:space="preserve">podría identificarse para las IMT a condición de que se adopten las medidas adecuadas para la protección de otros servicios primarios y permitir un acceso continuado y viable al SFS y otras </w:t>
      </w:r>
      <w:r w:rsidR="00456C6C" w:rsidRPr="0061694A">
        <w:rPr>
          <w:lang w:val="es-ES"/>
        </w:rPr>
        <w:t>operaciones</w:t>
      </w:r>
      <w:r w:rsidRPr="0061694A">
        <w:rPr>
          <w:lang w:val="es-ES"/>
        </w:rPr>
        <w:t xml:space="preserve"> de servicios espaciales.</w:t>
      </w:r>
    </w:p>
    <w:p w14:paraId="7D0118AC" w14:textId="51ABADC3" w:rsidR="00597F9B" w:rsidRPr="0061694A" w:rsidRDefault="00456C6C" w:rsidP="00164E7D">
      <w:pPr>
        <w:keepNext/>
        <w:keepLines/>
        <w:rPr>
          <w:lang w:val="es-ES"/>
        </w:rPr>
      </w:pPr>
      <w:r w:rsidRPr="0061694A">
        <w:rPr>
          <w:lang w:val="es-ES"/>
        </w:rPr>
        <w:t xml:space="preserve">Debería ser posible encontrar espectro adecuado en partes de las bandas </w:t>
      </w:r>
      <w:r w:rsidR="00597F9B" w:rsidRPr="0061694A">
        <w:rPr>
          <w:lang w:val="es-ES"/>
        </w:rPr>
        <w:t>37-52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 (</w:t>
      </w:r>
      <w:r w:rsidRPr="0061694A">
        <w:rPr>
          <w:lang w:val="es-ES"/>
        </w:rPr>
        <w:t xml:space="preserve">bandas </w:t>
      </w:r>
      <w:r w:rsidR="00597F9B" w:rsidRPr="0061694A">
        <w:rPr>
          <w:lang w:val="es-ES"/>
        </w:rPr>
        <w:t>Q/V), 66-71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 (66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GHz), 71-76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 (70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GHz) </w:t>
      </w:r>
      <w:r w:rsidRPr="0061694A">
        <w:rPr>
          <w:lang w:val="es-ES"/>
        </w:rPr>
        <w:t>y</w:t>
      </w:r>
      <w:r w:rsidR="00597F9B" w:rsidRPr="0061694A">
        <w:rPr>
          <w:lang w:val="es-ES"/>
        </w:rPr>
        <w:t xml:space="preserve"> 81-86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 (80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GHz) </w:t>
      </w:r>
      <w:r w:rsidRPr="0061694A">
        <w:rPr>
          <w:lang w:val="es-ES"/>
        </w:rPr>
        <w:t>con el fin de responder a todos los posibles requisitos de la 5G terrenal sin entrar en conflicto con las utilizaciones existentes y previstas del espectro dedicado a servicios satelitales que se prevé en la banda Ka.</w:t>
      </w:r>
    </w:p>
    <w:p w14:paraId="37604692" w14:textId="3F76F873" w:rsidR="006A477C" w:rsidRPr="0061694A" w:rsidRDefault="00456C6C" w:rsidP="00C54B57">
      <w:pPr>
        <w:rPr>
          <w:lang w:val="es-ES"/>
        </w:rPr>
      </w:pPr>
      <w:r w:rsidRPr="0061694A">
        <w:rPr>
          <w:lang w:val="es-ES"/>
        </w:rPr>
        <w:t xml:space="preserve">Partes de las bandas </w:t>
      </w:r>
      <w:r w:rsidR="00597F9B" w:rsidRPr="0061694A">
        <w:rPr>
          <w:lang w:val="es-ES"/>
        </w:rPr>
        <w:t>Q/V (37-52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GHz) </w:t>
      </w:r>
      <w:r w:rsidRPr="0061694A">
        <w:rPr>
          <w:lang w:val="es-ES"/>
        </w:rPr>
        <w:t>pueden estar disponibles para r</w:t>
      </w:r>
      <w:r w:rsidR="00C54B57">
        <w:rPr>
          <w:lang w:val="es-ES"/>
        </w:rPr>
        <w:t>esponder a los requisitos de la</w:t>
      </w:r>
      <w:r w:rsidR="00981B31">
        <w:rPr>
          <w:lang w:val="es-ES"/>
        </w:rPr>
        <w:t> </w:t>
      </w:r>
      <w:r w:rsidRPr="0061694A">
        <w:rPr>
          <w:lang w:val="es-ES"/>
        </w:rPr>
        <w:t xml:space="preserve">5G móvil. Sin embargo, </w:t>
      </w:r>
      <w:r w:rsidR="00C54B57">
        <w:rPr>
          <w:lang w:val="es-ES"/>
        </w:rPr>
        <w:t xml:space="preserve">es probable que exista oposición en </w:t>
      </w:r>
      <w:r w:rsidRPr="0061694A">
        <w:rPr>
          <w:lang w:val="es-ES"/>
        </w:rPr>
        <w:t>partes de estas bandas</w:t>
      </w:r>
      <w:r w:rsidR="00C54B57">
        <w:rPr>
          <w:lang w:val="es-ES"/>
        </w:rPr>
        <w:t xml:space="preserve"> </w:t>
      </w:r>
      <w:r w:rsidR="006A477C" w:rsidRPr="0061694A">
        <w:rPr>
          <w:lang w:val="es-ES"/>
        </w:rPr>
        <w:t>pues ya están incorporadas en los sistemas de la próxima generación de satélites de muy alto rendimiento (VHTS) (incluyendo 6 sistemas mundiales no OSG propuestos por Boeing, SpaceX</w:t>
      </w:r>
      <w:r w:rsidR="00597F9B" w:rsidRPr="0061694A">
        <w:rPr>
          <w:lang w:val="es-ES"/>
        </w:rPr>
        <w:t xml:space="preserve">, </w:t>
      </w:r>
      <w:proofErr w:type="spellStart"/>
      <w:r w:rsidR="00597F9B" w:rsidRPr="0061694A">
        <w:rPr>
          <w:lang w:val="es-ES"/>
        </w:rPr>
        <w:t>Telesat</w:t>
      </w:r>
      <w:proofErr w:type="spellEnd"/>
      <w:r w:rsidR="00597F9B" w:rsidRPr="0061694A">
        <w:rPr>
          <w:lang w:val="es-ES"/>
        </w:rPr>
        <w:t xml:space="preserve">, O3b, </w:t>
      </w:r>
      <w:proofErr w:type="spellStart"/>
      <w:r w:rsidR="00597F9B" w:rsidRPr="0061694A">
        <w:rPr>
          <w:lang w:val="es-ES"/>
        </w:rPr>
        <w:t>OneWeb</w:t>
      </w:r>
      <w:proofErr w:type="spellEnd"/>
      <w:r w:rsidR="00597F9B" w:rsidRPr="0061694A">
        <w:rPr>
          <w:lang w:val="es-ES"/>
        </w:rPr>
        <w:t xml:space="preserve"> </w:t>
      </w:r>
      <w:r w:rsidR="006A477C" w:rsidRPr="0061694A">
        <w:rPr>
          <w:lang w:val="es-ES"/>
        </w:rPr>
        <w:t>y</w:t>
      </w:r>
      <w:r w:rsidR="00597F9B" w:rsidRPr="0061694A">
        <w:rPr>
          <w:lang w:val="es-ES"/>
        </w:rPr>
        <w:t xml:space="preserve"> </w:t>
      </w:r>
      <w:proofErr w:type="spellStart"/>
      <w:r w:rsidR="00597F9B" w:rsidRPr="0061694A">
        <w:rPr>
          <w:lang w:val="es-ES"/>
        </w:rPr>
        <w:t>Theia</w:t>
      </w:r>
      <w:proofErr w:type="spellEnd"/>
      <w:r w:rsidR="00597F9B" w:rsidRPr="0061694A">
        <w:rPr>
          <w:lang w:val="es-ES"/>
        </w:rPr>
        <w:t xml:space="preserve">). </w:t>
      </w:r>
      <w:r w:rsidR="006A477C" w:rsidRPr="0061694A">
        <w:rPr>
          <w:lang w:val="es-ES"/>
        </w:rPr>
        <w:t xml:space="preserve">La atribución de espectro de las bandas Q y V para plataformas a gran altitud se está examinando de manera independiente </w:t>
      </w:r>
      <w:r w:rsidR="00597F9B" w:rsidRPr="0061694A">
        <w:rPr>
          <w:lang w:val="es-ES"/>
        </w:rPr>
        <w:t>(</w:t>
      </w:r>
      <w:r w:rsidR="00C54B57">
        <w:rPr>
          <w:lang w:val="es-ES"/>
        </w:rPr>
        <w:t>punto</w:t>
      </w:r>
      <w:r w:rsidR="00597F9B" w:rsidRPr="0061694A">
        <w:rPr>
          <w:lang w:val="es-ES"/>
        </w:rPr>
        <w:t xml:space="preserve"> 1.14</w:t>
      </w:r>
      <w:r w:rsidR="00C54B57">
        <w:rPr>
          <w:lang w:val="es-ES"/>
        </w:rPr>
        <w:t xml:space="preserve"> del orden de día</w:t>
      </w:r>
      <w:r w:rsidR="00597F9B" w:rsidRPr="0061694A">
        <w:rPr>
          <w:lang w:val="es-ES"/>
        </w:rPr>
        <w:t xml:space="preserve">), </w:t>
      </w:r>
      <w:r w:rsidR="006A477C" w:rsidRPr="0061694A">
        <w:rPr>
          <w:lang w:val="es-ES"/>
        </w:rPr>
        <w:t xml:space="preserve">así como el espectro adicional en la banda </w:t>
      </w:r>
      <w:r w:rsidR="00597F9B" w:rsidRPr="0061694A">
        <w:rPr>
          <w:lang w:val="es-ES"/>
        </w:rPr>
        <w:t>V</w:t>
      </w:r>
      <w:r w:rsidR="006A477C" w:rsidRPr="0061694A">
        <w:rPr>
          <w:lang w:val="es-ES"/>
        </w:rPr>
        <w:t xml:space="preserve"> para sistemas </w:t>
      </w:r>
      <w:r w:rsidR="00597F9B" w:rsidRPr="0061694A">
        <w:rPr>
          <w:lang w:val="es-ES"/>
        </w:rPr>
        <w:t>VHTS (</w:t>
      </w:r>
      <w:r w:rsidR="00C54B57" w:rsidRPr="00C54B57">
        <w:rPr>
          <w:lang w:val="es-ES"/>
        </w:rPr>
        <w:t>punto</w:t>
      </w:r>
      <w:r w:rsidR="00597F9B" w:rsidRPr="0061694A">
        <w:rPr>
          <w:lang w:val="es-ES"/>
        </w:rPr>
        <w:t xml:space="preserve"> 9.1.9</w:t>
      </w:r>
      <w:r w:rsidR="00C54B57" w:rsidRPr="00C54B57">
        <w:t xml:space="preserve"> </w:t>
      </w:r>
      <w:r w:rsidR="00C54B57" w:rsidRPr="00C54B57">
        <w:rPr>
          <w:lang w:val="es-ES"/>
        </w:rPr>
        <w:t>del orden de día</w:t>
      </w:r>
      <w:r w:rsidR="00597F9B" w:rsidRPr="0061694A">
        <w:rPr>
          <w:lang w:val="es-ES"/>
        </w:rPr>
        <w:t xml:space="preserve">). </w:t>
      </w:r>
      <w:r w:rsidR="006A477C" w:rsidRPr="0061694A">
        <w:rPr>
          <w:lang w:val="es-ES"/>
        </w:rPr>
        <w:t>Aunque se está examinando una cantidad sustancial de</w:t>
      </w:r>
      <w:r w:rsidR="00375196">
        <w:rPr>
          <w:lang w:val="es-ES"/>
        </w:rPr>
        <w:t>l</w:t>
      </w:r>
      <w:r w:rsidR="006A477C" w:rsidRPr="0061694A">
        <w:rPr>
          <w:lang w:val="es-ES"/>
        </w:rPr>
        <w:t xml:space="preserve"> espectro de las bandas Q y V, será necesario llevar a cabo un</w:t>
      </w:r>
      <w:r w:rsidR="00164E7D" w:rsidRPr="0061694A">
        <w:rPr>
          <w:lang w:val="es-ES"/>
        </w:rPr>
        <w:t>a evaluación detallada de las diferentes necesidades de espectro para establecer bandas para 5G y disposiciones de compartición que respondan también a las necesidades de espectro de otros servicios.</w:t>
      </w:r>
    </w:p>
    <w:p w14:paraId="154F0209" w14:textId="15A59DE3" w:rsidR="00597F9B" w:rsidRPr="0061694A" w:rsidRDefault="00164E7D" w:rsidP="00375196">
      <w:pPr>
        <w:rPr>
          <w:lang w:val="es-ES"/>
        </w:rPr>
      </w:pPr>
      <w:r w:rsidRPr="0061694A">
        <w:rPr>
          <w:lang w:val="es-ES"/>
        </w:rPr>
        <w:t xml:space="preserve">Las bandas de </w:t>
      </w:r>
      <w:r w:rsidR="00597F9B" w:rsidRPr="0061694A">
        <w:rPr>
          <w:lang w:val="es-ES"/>
        </w:rPr>
        <w:t>66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>GHz, 70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y 80</w:t>
      </w:r>
      <w:r w:rsidR="00981B31">
        <w:rPr>
          <w:lang w:val="es-ES"/>
        </w:rPr>
        <w:t> </w:t>
      </w:r>
      <w:r w:rsidRPr="0061694A">
        <w:rPr>
          <w:lang w:val="es-ES"/>
        </w:rPr>
        <w:t>GHz</w:t>
      </w:r>
      <w:r w:rsidR="00597F9B" w:rsidRPr="0061694A">
        <w:rPr>
          <w:lang w:val="es-ES"/>
        </w:rPr>
        <w:t>,</w:t>
      </w:r>
      <w:r w:rsidRPr="0061694A">
        <w:rPr>
          <w:lang w:val="es-ES"/>
        </w:rPr>
        <w:t xml:space="preserve"> en particular</w:t>
      </w:r>
      <w:r w:rsidR="00597F9B" w:rsidRPr="0061694A">
        <w:rPr>
          <w:lang w:val="es-ES"/>
        </w:rPr>
        <w:t xml:space="preserve">, </w:t>
      </w:r>
      <w:r w:rsidRPr="0061694A">
        <w:rPr>
          <w:lang w:val="es-ES"/>
        </w:rPr>
        <w:t xml:space="preserve">presentan buenas perspectivas para una armonización internacional debido a una </w:t>
      </w:r>
      <w:r w:rsidR="00375196" w:rsidRPr="0061694A">
        <w:rPr>
          <w:lang w:val="es-ES"/>
        </w:rPr>
        <w:t xml:space="preserve">limitada </w:t>
      </w:r>
      <w:r w:rsidRPr="0061694A">
        <w:rPr>
          <w:lang w:val="es-ES"/>
        </w:rPr>
        <w:t xml:space="preserve">utilización existente y prevista por otros servicios radioeléctricos. Estas bandas deberían permitir unos </w:t>
      </w:r>
      <w:r w:rsidR="00597F9B" w:rsidRPr="0061694A">
        <w:rPr>
          <w:lang w:val="es-ES"/>
        </w:rPr>
        <w:t>15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 xml:space="preserve">de espectro en bloques </w:t>
      </w:r>
      <w:r w:rsidR="002A4E0F" w:rsidRPr="0061694A">
        <w:rPr>
          <w:lang w:val="es-ES"/>
        </w:rPr>
        <w:t>contiguos que pueden utilizar</w:t>
      </w:r>
      <w:r w:rsidR="00375196">
        <w:rPr>
          <w:lang w:val="es-ES"/>
        </w:rPr>
        <w:t>se</w:t>
      </w:r>
      <w:r w:rsidR="002A4E0F" w:rsidRPr="0061694A">
        <w:rPr>
          <w:lang w:val="es-ES"/>
        </w:rPr>
        <w:t xml:space="preserve"> junto con la banda 56-61</w:t>
      </w:r>
      <w:r w:rsidR="00981B31">
        <w:rPr>
          <w:lang w:val="es-ES"/>
        </w:rPr>
        <w:t> </w:t>
      </w:r>
      <w:r w:rsidR="002A4E0F" w:rsidRPr="0061694A">
        <w:rPr>
          <w:lang w:val="es-ES"/>
        </w:rPr>
        <w:t xml:space="preserve">GHz, también disponible para banda ancha terrenal y </w:t>
      </w:r>
      <w:r w:rsidR="00375196">
        <w:rPr>
          <w:lang w:val="es-ES"/>
        </w:rPr>
        <w:t>podrían</w:t>
      </w:r>
      <w:r w:rsidR="002A4E0F" w:rsidRPr="0061694A">
        <w:rPr>
          <w:lang w:val="es-ES"/>
        </w:rPr>
        <w:t xml:space="preserve"> soportar portadoras 5G/IMT-2020 de banda muy ancha. Estas bandas deberían, por lo tanto, ser capaces de soportar el desarrollo de las redes móviles 5G en escenarios de alta densidad en interiores y exteriores, como estadios, campus y centros comerciales ubicados en zonas urbanas y suburbanas. La utilización de estas bandas también se beneficiará de las sinergias con la tecnología </w:t>
      </w:r>
      <w:proofErr w:type="spellStart"/>
      <w:r w:rsidR="00597F9B" w:rsidRPr="0061694A">
        <w:rPr>
          <w:lang w:val="es-ES"/>
        </w:rPr>
        <w:t>WiGig</w:t>
      </w:r>
      <w:proofErr w:type="spellEnd"/>
      <w:r w:rsidR="00597F9B" w:rsidRPr="0061694A">
        <w:rPr>
          <w:lang w:val="es-ES"/>
        </w:rPr>
        <w:t xml:space="preserve">, </w:t>
      </w:r>
      <w:r w:rsidR="002A4E0F" w:rsidRPr="0061694A">
        <w:rPr>
          <w:lang w:val="es-ES"/>
        </w:rPr>
        <w:t>actualmente desplegad</w:t>
      </w:r>
      <w:r w:rsidR="00094272" w:rsidRPr="0061694A">
        <w:rPr>
          <w:lang w:val="es-ES"/>
        </w:rPr>
        <w:t>a</w:t>
      </w:r>
      <w:r w:rsidR="002A4E0F" w:rsidRPr="0061694A">
        <w:rPr>
          <w:lang w:val="es-ES"/>
        </w:rPr>
        <w:t xml:space="preserve"> en la banda </w:t>
      </w:r>
      <w:r w:rsidR="00597F9B" w:rsidRPr="0061694A">
        <w:rPr>
          <w:lang w:val="es-ES"/>
        </w:rPr>
        <w:t>56-61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GHz, </w:t>
      </w:r>
      <w:r w:rsidR="002A4E0F" w:rsidRPr="0061694A">
        <w:rPr>
          <w:lang w:val="es-ES"/>
        </w:rPr>
        <w:t>para la cual ya se están fabricando circuitos integrados y sistemas de antenas MIMO</w:t>
      </w:r>
      <w:r w:rsidR="00597F9B" w:rsidRPr="0061694A">
        <w:rPr>
          <w:lang w:val="es-ES"/>
        </w:rPr>
        <w:t>.</w:t>
      </w:r>
    </w:p>
    <w:p w14:paraId="130DBDAF" w14:textId="1DCE16A7" w:rsidR="00597F9B" w:rsidRPr="0061694A" w:rsidRDefault="00597F9B" w:rsidP="00094272">
      <w:pPr>
        <w:pStyle w:val="Heading1"/>
        <w:rPr>
          <w:lang w:val="es-ES"/>
        </w:rPr>
      </w:pPr>
      <w:r w:rsidRPr="0061694A">
        <w:rPr>
          <w:lang w:val="es-ES"/>
        </w:rPr>
        <w:t>2</w:t>
      </w:r>
      <w:r w:rsidRPr="0061694A">
        <w:rPr>
          <w:lang w:val="es-ES"/>
        </w:rPr>
        <w:tab/>
      </w:r>
      <w:r w:rsidR="00094272" w:rsidRPr="0061694A">
        <w:rPr>
          <w:lang w:val="es-ES"/>
        </w:rPr>
        <w:t>Propuestas para cada banda de frecuencias</w:t>
      </w:r>
    </w:p>
    <w:p w14:paraId="02CD31BF" w14:textId="147DEB71" w:rsidR="00094272" w:rsidRPr="0061694A" w:rsidRDefault="00094272" w:rsidP="00375196">
      <w:pPr>
        <w:rPr>
          <w:lang w:val="es-ES"/>
        </w:rPr>
      </w:pPr>
      <w:r w:rsidRPr="0061694A">
        <w:rPr>
          <w:lang w:val="es-ES"/>
        </w:rPr>
        <w:t>Habida cuenta de las consideraciones anteriores, la</w:t>
      </w:r>
      <w:r w:rsidR="0061694A">
        <w:rPr>
          <w:lang w:val="es-ES"/>
        </w:rPr>
        <w:t>s</w:t>
      </w:r>
      <w:r w:rsidRPr="0061694A">
        <w:rPr>
          <w:lang w:val="es-ES"/>
        </w:rPr>
        <w:t xml:space="preserve"> Administraci</w:t>
      </w:r>
      <w:r w:rsidR="0061694A">
        <w:rPr>
          <w:lang w:val="es-ES"/>
        </w:rPr>
        <w:t>ones</w:t>
      </w:r>
      <w:r w:rsidRPr="0061694A">
        <w:rPr>
          <w:lang w:val="es-ES"/>
        </w:rPr>
        <w:t xml:space="preserve"> de Samoa propone</w:t>
      </w:r>
      <w:r w:rsidR="0061694A">
        <w:rPr>
          <w:lang w:val="es-ES"/>
        </w:rPr>
        <w:t>n</w:t>
      </w:r>
      <w:r w:rsidRPr="0061694A">
        <w:rPr>
          <w:lang w:val="es-ES"/>
        </w:rPr>
        <w:t xml:space="preserve"> lo siguiente </w:t>
      </w:r>
      <w:r w:rsidR="00375196">
        <w:rPr>
          <w:lang w:val="es-ES"/>
        </w:rPr>
        <w:t>en relación con</w:t>
      </w:r>
      <w:r w:rsidRPr="0061694A">
        <w:rPr>
          <w:lang w:val="es-ES"/>
        </w:rPr>
        <w:t xml:space="preserve"> cada una de las bandas de frecuencias candidatas para las IMT-2020/5G y consideradas en el punto 1.13 </w:t>
      </w:r>
      <w:r w:rsidR="00375196">
        <w:rPr>
          <w:lang w:val="es-ES"/>
        </w:rPr>
        <w:t xml:space="preserve">del orden del día </w:t>
      </w:r>
      <w:r w:rsidRPr="0061694A">
        <w:rPr>
          <w:lang w:val="es-ES"/>
        </w:rPr>
        <w:t>de la CMR-19.</w:t>
      </w:r>
    </w:p>
    <w:p w14:paraId="2D126CCC" w14:textId="3EE0B2BF" w:rsidR="00597F9B" w:rsidRPr="0061694A" w:rsidRDefault="00597F9B" w:rsidP="0061694A">
      <w:pPr>
        <w:pStyle w:val="Headingb"/>
        <w:rPr>
          <w:lang w:val="es-ES"/>
        </w:rPr>
      </w:pPr>
      <w:r w:rsidRPr="0061694A">
        <w:rPr>
          <w:lang w:val="es-ES"/>
        </w:rPr>
        <w:t>Band</w:t>
      </w:r>
      <w:r w:rsidR="00094272" w:rsidRPr="0061694A">
        <w:rPr>
          <w:lang w:val="es-ES"/>
        </w:rPr>
        <w:t>a</w:t>
      </w:r>
      <w:r w:rsidR="0061694A">
        <w:rPr>
          <w:lang w:val="es-ES"/>
        </w:rPr>
        <w:t xml:space="preserve"> 24,</w:t>
      </w:r>
      <w:r w:rsidRPr="0061694A">
        <w:rPr>
          <w:lang w:val="es-ES"/>
        </w:rPr>
        <w:t>25-27</w:t>
      </w:r>
      <w:r w:rsidR="0061694A">
        <w:rPr>
          <w:lang w:val="es-ES"/>
        </w:rPr>
        <w:t>,</w:t>
      </w:r>
      <w:r w:rsidRPr="0061694A">
        <w:rPr>
          <w:lang w:val="es-ES"/>
        </w:rPr>
        <w:t>5 GHz</w:t>
      </w:r>
    </w:p>
    <w:p w14:paraId="7B8D9825" w14:textId="4CA3E67C" w:rsidR="00597F9B" w:rsidRPr="0061694A" w:rsidRDefault="00F07755" w:rsidP="00375196">
      <w:pPr>
        <w:rPr>
          <w:lang w:val="es-ES"/>
        </w:rPr>
      </w:pPr>
      <w:r w:rsidRPr="0061694A">
        <w:rPr>
          <w:lang w:val="es-ES"/>
        </w:rPr>
        <w:t xml:space="preserve">Es posible una identificación de la </w:t>
      </w:r>
      <w:proofErr w:type="spellStart"/>
      <w:r w:rsidRPr="0061694A">
        <w:rPr>
          <w:lang w:val="es-ES"/>
        </w:rPr>
        <w:t>subbanda</w:t>
      </w:r>
      <w:proofErr w:type="spellEnd"/>
      <w:r w:rsidRPr="0061694A">
        <w:rPr>
          <w:lang w:val="es-ES"/>
        </w:rPr>
        <w:t xml:space="preserve"> </w:t>
      </w:r>
      <w:r w:rsidR="0061694A">
        <w:rPr>
          <w:lang w:val="es-ES"/>
        </w:rPr>
        <w:t>24,25-27,</w:t>
      </w:r>
      <w:r w:rsidR="00597F9B" w:rsidRPr="0061694A">
        <w:rPr>
          <w:lang w:val="es-ES"/>
        </w:rPr>
        <w:t>5</w:t>
      </w:r>
      <w:r w:rsidR="00981B31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 xml:space="preserve">para las IMT con las medidas reglamentarias adecuadas para proteger y permitir un acceso sostenible y viable al SFS y otras operaciones de servicios espaciales. En concreto, </w:t>
      </w:r>
      <w:r w:rsidR="0061694A" w:rsidRPr="0061694A">
        <w:rPr>
          <w:lang w:val="es-ES"/>
        </w:rPr>
        <w:t xml:space="preserve">las Administraciones de Samoa </w:t>
      </w:r>
      <w:r w:rsidRPr="0061694A">
        <w:rPr>
          <w:lang w:val="es-ES"/>
        </w:rPr>
        <w:t>soporta</w:t>
      </w:r>
      <w:r w:rsidR="0061694A">
        <w:rPr>
          <w:lang w:val="es-ES"/>
        </w:rPr>
        <w:t xml:space="preserve">n </w:t>
      </w:r>
      <w:r w:rsidRPr="0061694A">
        <w:rPr>
          <w:lang w:val="es-ES"/>
        </w:rPr>
        <w:t>el Informe de la RPC, Método</w:t>
      </w:r>
      <w:r w:rsidR="00981B31">
        <w:rPr>
          <w:lang w:val="es-ES"/>
        </w:rPr>
        <w:t> </w:t>
      </w:r>
      <w:r w:rsidRPr="0061694A">
        <w:rPr>
          <w:lang w:val="es-ES"/>
        </w:rPr>
        <w:t>A2 (tanto al Alternativa 1 como la 2) para la identificación para las</w:t>
      </w:r>
      <w:r w:rsidR="00981B31">
        <w:rPr>
          <w:lang w:val="es-ES"/>
        </w:rPr>
        <w:t> </w:t>
      </w:r>
      <w:r w:rsidRPr="0061694A">
        <w:rPr>
          <w:lang w:val="es-ES"/>
        </w:rPr>
        <w:t xml:space="preserve">IMT con las siguientes condiciones (y proyecto de Resolución UIT-R </w:t>
      </w:r>
      <w:r w:rsidR="00597F9B" w:rsidRPr="0061694A">
        <w:rPr>
          <w:b/>
          <w:bCs/>
          <w:lang w:val="es-ES"/>
        </w:rPr>
        <w:t>[A113-IMT 26</w:t>
      </w:r>
      <w:r w:rsidR="00981B31">
        <w:rPr>
          <w:b/>
          <w:bCs/>
          <w:lang w:val="es-ES"/>
        </w:rPr>
        <w:t> </w:t>
      </w:r>
      <w:r w:rsidR="00597F9B" w:rsidRPr="0061694A">
        <w:rPr>
          <w:b/>
          <w:bCs/>
          <w:lang w:val="es-ES"/>
        </w:rPr>
        <w:t>GHZ] (</w:t>
      </w:r>
      <w:r w:rsidRPr="0061694A">
        <w:rPr>
          <w:b/>
          <w:bCs/>
          <w:lang w:val="es-ES"/>
        </w:rPr>
        <w:t>CMR</w:t>
      </w:r>
      <w:r w:rsidR="00597F9B" w:rsidRPr="0061694A">
        <w:rPr>
          <w:b/>
          <w:bCs/>
          <w:lang w:val="es-ES"/>
        </w:rPr>
        <w:t>-19)</w:t>
      </w:r>
      <w:r w:rsidR="00597F9B" w:rsidRPr="0061694A">
        <w:rPr>
          <w:lang w:val="es-ES"/>
        </w:rPr>
        <w:t>):</w:t>
      </w:r>
    </w:p>
    <w:p w14:paraId="0212CE36" w14:textId="6B2945EF" w:rsidR="00597F9B" w:rsidRPr="0018261C" w:rsidRDefault="0018261C" w:rsidP="0018261C">
      <w:pPr>
        <w:pStyle w:val="enumlev1"/>
        <w:rPr>
          <w:b/>
          <w:bCs/>
          <w:lang w:val="es-ES"/>
        </w:rPr>
      </w:pPr>
      <w:r w:rsidRPr="0018261C">
        <w:rPr>
          <w:lang w:val="es-ES"/>
        </w:rPr>
        <w:lastRenderedPageBreak/>
        <w:t>–</w:t>
      </w:r>
      <w:r w:rsidRPr="0018261C">
        <w:rPr>
          <w:lang w:val="es-ES"/>
        </w:rPr>
        <w:tab/>
      </w:r>
      <w:r w:rsidR="00F07755" w:rsidRPr="0018261C">
        <w:rPr>
          <w:b/>
          <w:bCs/>
          <w:lang w:val="es-ES"/>
        </w:rPr>
        <w:t>Medidas de protección para las estaciones de base del SFS en emplazamientos conocidos</w:t>
      </w:r>
    </w:p>
    <w:p w14:paraId="57D57855" w14:textId="7ABBBC4A" w:rsidR="00F07755" w:rsidRPr="0018261C" w:rsidRDefault="0018261C" w:rsidP="0018261C">
      <w:pPr>
        <w:pStyle w:val="enumlev1"/>
        <w:rPr>
          <w:lang w:val="es-ES"/>
        </w:rPr>
      </w:pPr>
      <w:r>
        <w:rPr>
          <w:lang w:val="es-ES"/>
        </w:rPr>
        <w:tab/>
      </w:r>
      <w:r w:rsidR="00F07755" w:rsidRPr="0018261C">
        <w:rPr>
          <w:lang w:val="es-ES"/>
        </w:rPr>
        <w:t xml:space="preserve">La banda </w:t>
      </w:r>
      <w:r w:rsidR="00597F9B" w:rsidRPr="0018261C">
        <w:rPr>
          <w:lang w:val="es-ES"/>
        </w:rPr>
        <w:t>24</w:t>
      </w:r>
      <w:r w:rsidR="00F07755" w:rsidRPr="0018261C">
        <w:rPr>
          <w:lang w:val="es-ES"/>
        </w:rPr>
        <w:t>,</w:t>
      </w:r>
      <w:r w:rsidR="00597F9B" w:rsidRPr="0018261C">
        <w:rPr>
          <w:lang w:val="es-ES"/>
        </w:rPr>
        <w:t>65-25</w:t>
      </w:r>
      <w:r w:rsidR="00F07755" w:rsidRPr="0018261C">
        <w:rPr>
          <w:lang w:val="es-ES"/>
        </w:rPr>
        <w:t>,</w:t>
      </w:r>
      <w:r w:rsidR="00597F9B" w:rsidRPr="0018261C">
        <w:rPr>
          <w:lang w:val="es-ES"/>
        </w:rPr>
        <w:t>25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 xml:space="preserve">GHz </w:t>
      </w:r>
      <w:r w:rsidR="00F07755" w:rsidRPr="0018261C">
        <w:rPr>
          <w:lang w:val="es-ES"/>
        </w:rPr>
        <w:t xml:space="preserve">se utilizará para grandes estaciones terrenas del SFS en emplazamientos conocidos (por ejemplo, </w:t>
      </w:r>
      <w:r w:rsidR="009D2668" w:rsidRPr="0018261C">
        <w:rPr>
          <w:lang w:val="es-ES"/>
        </w:rPr>
        <w:t>cabeceras</w:t>
      </w:r>
      <w:r w:rsidR="00F07755" w:rsidRPr="0018261C">
        <w:rPr>
          <w:lang w:val="es-ES"/>
        </w:rPr>
        <w:t>), en consecuencia pueden definir</w:t>
      </w:r>
      <w:r w:rsidR="00EF0268" w:rsidRPr="0018261C">
        <w:rPr>
          <w:lang w:val="es-ES"/>
        </w:rPr>
        <w:t xml:space="preserve">se </w:t>
      </w:r>
      <w:r w:rsidR="00F07755" w:rsidRPr="0018261C">
        <w:rPr>
          <w:lang w:val="es-ES"/>
        </w:rPr>
        <w:t xml:space="preserve">las zonas concretas alrededor de las estaciones terrenas del SFS donde las estaciones de base IMT pueden </w:t>
      </w:r>
      <w:r w:rsidR="00EF0268" w:rsidRPr="0018261C">
        <w:rPr>
          <w:lang w:val="es-ES"/>
        </w:rPr>
        <w:t xml:space="preserve">sufrir </w:t>
      </w:r>
      <w:r w:rsidR="00375196" w:rsidRPr="0018261C">
        <w:rPr>
          <w:lang w:val="es-ES"/>
        </w:rPr>
        <w:t xml:space="preserve">potencialmente </w:t>
      </w:r>
      <w:r w:rsidR="00EF0268" w:rsidRPr="0018261C">
        <w:rPr>
          <w:lang w:val="es-ES"/>
        </w:rPr>
        <w:t xml:space="preserve">interferencia, y </w:t>
      </w:r>
      <w:r w:rsidR="00375196" w:rsidRPr="0018261C">
        <w:rPr>
          <w:lang w:val="es-ES"/>
        </w:rPr>
        <w:t>garantizar</w:t>
      </w:r>
      <w:r w:rsidR="00EF0268" w:rsidRPr="0018261C">
        <w:rPr>
          <w:lang w:val="es-ES"/>
        </w:rPr>
        <w:t xml:space="preserve"> la coexistencia. Es necesario adoptar disposiciones para permitir la implantación futura de estaciones terrenas del SFS. </w:t>
      </w:r>
    </w:p>
    <w:p w14:paraId="1464985F" w14:textId="41C319E6" w:rsidR="003E4CA1" w:rsidRPr="0018261C" w:rsidRDefault="0018261C" w:rsidP="0018261C">
      <w:pPr>
        <w:pStyle w:val="enumlev1"/>
        <w:rPr>
          <w:lang w:val="es-ES"/>
        </w:rPr>
      </w:pPr>
      <w:r>
        <w:rPr>
          <w:lang w:val="es-ES"/>
        </w:rPr>
        <w:tab/>
      </w:r>
      <w:r w:rsidR="00EF0268" w:rsidRPr="0018261C">
        <w:rPr>
          <w:lang w:val="es-ES"/>
        </w:rPr>
        <w:t>Informe de la RPC</w:t>
      </w:r>
      <w:r w:rsidR="00597F9B" w:rsidRPr="0018261C">
        <w:rPr>
          <w:lang w:val="es-ES"/>
        </w:rPr>
        <w:t xml:space="preserve">: </w:t>
      </w:r>
      <w:r w:rsidR="00EF0268" w:rsidRPr="0018261C">
        <w:rPr>
          <w:lang w:val="es-ES"/>
        </w:rPr>
        <w:t xml:space="preserve">Condición A2d </w:t>
      </w:r>
      <w:r w:rsidR="00597F9B" w:rsidRPr="0018261C">
        <w:rPr>
          <w:lang w:val="es-ES"/>
        </w:rPr>
        <w:t>Op</w:t>
      </w:r>
      <w:r w:rsidR="00EF0268" w:rsidRPr="0018261C">
        <w:rPr>
          <w:lang w:val="es-ES"/>
        </w:rPr>
        <w:t>ción</w:t>
      </w:r>
      <w:r w:rsidR="00597F9B" w:rsidRPr="0018261C">
        <w:rPr>
          <w:lang w:val="es-ES"/>
        </w:rPr>
        <w:t xml:space="preserve"> 1.</w:t>
      </w:r>
    </w:p>
    <w:p w14:paraId="478682BB" w14:textId="1059DD81" w:rsidR="00597F9B" w:rsidRPr="0018261C" w:rsidRDefault="0018261C" w:rsidP="0018261C">
      <w:pPr>
        <w:pStyle w:val="enumlev1"/>
        <w:rPr>
          <w:b/>
          <w:bCs/>
          <w:lang w:val="es-ES"/>
        </w:rPr>
      </w:pPr>
      <w:r w:rsidRPr="0018261C">
        <w:rPr>
          <w:b/>
          <w:bCs/>
          <w:lang w:val="es-ES"/>
        </w:rPr>
        <w:t>–</w:t>
      </w:r>
      <w:r w:rsidRPr="0018261C">
        <w:rPr>
          <w:b/>
          <w:bCs/>
          <w:lang w:val="es-ES"/>
        </w:rPr>
        <w:tab/>
      </w:r>
      <w:r w:rsidR="00EF0268" w:rsidRPr="0018261C">
        <w:rPr>
          <w:b/>
          <w:bCs/>
          <w:lang w:val="es-ES"/>
        </w:rPr>
        <w:t>Medidas de protección de las estaciones espaciales del SFS</w:t>
      </w:r>
      <w:r w:rsidR="0061694A" w:rsidRPr="0018261C">
        <w:rPr>
          <w:b/>
          <w:bCs/>
          <w:lang w:val="es-ES"/>
        </w:rPr>
        <w:t xml:space="preserve"> </w:t>
      </w:r>
      <w:r w:rsidR="00EF0268" w:rsidRPr="0018261C">
        <w:rPr>
          <w:b/>
          <w:bCs/>
          <w:lang w:val="es-ES"/>
        </w:rPr>
        <w:t xml:space="preserve">en la banda </w:t>
      </w:r>
      <w:r w:rsidR="00597F9B" w:rsidRPr="0018261C">
        <w:rPr>
          <w:b/>
          <w:bCs/>
          <w:lang w:val="es-ES"/>
        </w:rPr>
        <w:t>24</w:t>
      </w:r>
      <w:r w:rsidR="00EF0268" w:rsidRPr="0018261C">
        <w:rPr>
          <w:b/>
          <w:bCs/>
          <w:lang w:val="es-ES"/>
        </w:rPr>
        <w:t>,</w:t>
      </w:r>
      <w:r w:rsidR="00597F9B" w:rsidRPr="0018261C">
        <w:rPr>
          <w:b/>
          <w:bCs/>
          <w:lang w:val="es-ES"/>
        </w:rPr>
        <w:t>25-27</w:t>
      </w:r>
      <w:r w:rsidR="00EF0268" w:rsidRPr="0018261C">
        <w:rPr>
          <w:b/>
          <w:bCs/>
          <w:lang w:val="es-ES"/>
        </w:rPr>
        <w:t>,</w:t>
      </w:r>
      <w:r w:rsidR="00597F9B" w:rsidRPr="0018261C">
        <w:rPr>
          <w:b/>
          <w:bCs/>
          <w:lang w:val="es-ES"/>
        </w:rPr>
        <w:t>5</w:t>
      </w:r>
      <w:r w:rsidR="00981B31" w:rsidRPr="0018261C">
        <w:rPr>
          <w:b/>
          <w:bCs/>
          <w:lang w:val="es-ES"/>
        </w:rPr>
        <w:t> </w:t>
      </w:r>
      <w:r w:rsidR="00597F9B" w:rsidRPr="0018261C">
        <w:rPr>
          <w:b/>
          <w:bCs/>
          <w:lang w:val="es-ES"/>
        </w:rPr>
        <w:t>GHz</w:t>
      </w:r>
    </w:p>
    <w:p w14:paraId="0412E67A" w14:textId="7CE18543" w:rsidR="00375196" w:rsidRPr="0018261C" w:rsidRDefault="0018261C" w:rsidP="0018261C">
      <w:pPr>
        <w:pStyle w:val="enumlev1"/>
        <w:rPr>
          <w:lang w:val="es-ES"/>
        </w:rPr>
      </w:pPr>
      <w:r>
        <w:rPr>
          <w:lang w:val="es-ES"/>
        </w:rPr>
        <w:tab/>
      </w:r>
      <w:r w:rsidR="00EF0268" w:rsidRPr="0018261C">
        <w:rPr>
          <w:lang w:val="es-ES"/>
        </w:rPr>
        <w:t xml:space="preserve">Limitar la interferencia combinada de las IMT en los receptores espaciales del SFS mediante la introducción </w:t>
      </w:r>
      <w:r w:rsidR="00375196" w:rsidRPr="0018261C">
        <w:rPr>
          <w:lang w:val="es-ES"/>
        </w:rPr>
        <w:t xml:space="preserve">en el RR </w:t>
      </w:r>
      <w:r w:rsidR="00EF0268" w:rsidRPr="0018261C">
        <w:rPr>
          <w:lang w:val="es-ES"/>
        </w:rPr>
        <w:t xml:space="preserve">de un límite de la potencia radiada total (PRT) para las estaciones de base IMT de </w:t>
      </w:r>
      <w:r w:rsidR="00597F9B" w:rsidRPr="0018261C">
        <w:rPr>
          <w:lang w:val="es-ES"/>
        </w:rPr>
        <w:t>37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>dBm/200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 xml:space="preserve">MHz. </w:t>
      </w:r>
      <w:r w:rsidR="00EF0268" w:rsidRPr="0018261C">
        <w:rPr>
          <w:lang w:val="es-ES"/>
        </w:rPr>
        <w:t>Además</w:t>
      </w:r>
      <w:r w:rsidR="00597F9B" w:rsidRPr="0018261C">
        <w:rPr>
          <w:lang w:val="es-ES"/>
        </w:rPr>
        <w:t xml:space="preserve">, el haz principal de las estaciones </w:t>
      </w:r>
      <w:r w:rsidR="00EF0268" w:rsidRPr="0018261C">
        <w:rPr>
          <w:lang w:val="es-ES"/>
        </w:rPr>
        <w:t xml:space="preserve">de </w:t>
      </w:r>
      <w:r w:rsidR="00597F9B" w:rsidRPr="0018261C">
        <w:rPr>
          <w:lang w:val="es-ES"/>
        </w:rPr>
        <w:t xml:space="preserve">base IMT no debería apuntar por encima del horizonte. </w:t>
      </w:r>
      <w:r w:rsidR="00EF0268" w:rsidRPr="0018261C">
        <w:rPr>
          <w:lang w:val="es-ES"/>
        </w:rPr>
        <w:t xml:space="preserve">Un límite de este tipo no debería </w:t>
      </w:r>
      <w:r w:rsidR="003E4CA1" w:rsidRPr="0018261C">
        <w:rPr>
          <w:lang w:val="es-ES"/>
        </w:rPr>
        <w:t>imponer</w:t>
      </w:r>
      <w:r w:rsidR="00EF0268" w:rsidRPr="0018261C">
        <w:rPr>
          <w:lang w:val="es-ES"/>
        </w:rPr>
        <w:t xml:space="preserve"> limitaciones indebidas </w:t>
      </w:r>
      <w:r w:rsidR="003E4CA1" w:rsidRPr="0018261C">
        <w:rPr>
          <w:lang w:val="es-ES"/>
        </w:rPr>
        <w:t>a los despliegues de las IMT. El nivel de</w:t>
      </w:r>
      <w:r>
        <w:rPr>
          <w:lang w:val="es-ES"/>
        </w:rPr>
        <w:t> </w:t>
      </w:r>
      <w:r w:rsidR="00597F9B" w:rsidRPr="0018261C">
        <w:rPr>
          <w:lang w:val="es-ES"/>
        </w:rPr>
        <w:t>37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 xml:space="preserve">dBm/200MHz </w:t>
      </w:r>
      <w:r w:rsidR="003E4CA1" w:rsidRPr="0018261C">
        <w:rPr>
          <w:lang w:val="es-ES"/>
        </w:rPr>
        <w:t>se basa en el nivel de base proporcionado por GT</w:t>
      </w:r>
      <w:r w:rsidR="00597F9B" w:rsidRPr="0018261C">
        <w:rPr>
          <w:lang w:val="es-ES"/>
        </w:rPr>
        <w:t xml:space="preserve">5D, </w:t>
      </w:r>
      <w:r w:rsidR="003E4CA1" w:rsidRPr="0018261C">
        <w:rPr>
          <w:lang w:val="es-ES"/>
        </w:rPr>
        <w:t>que era</w:t>
      </w:r>
      <w:r>
        <w:rPr>
          <w:lang w:val="es-ES"/>
        </w:rPr>
        <w:t> </w:t>
      </w:r>
      <w:r w:rsidR="00597F9B" w:rsidRPr="0018261C">
        <w:rPr>
          <w:lang w:val="es-ES"/>
        </w:rPr>
        <w:t>25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>dBm/200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 xml:space="preserve">MHz, </w:t>
      </w:r>
      <w:r w:rsidR="003E4CA1" w:rsidRPr="0018261C">
        <w:rPr>
          <w:lang w:val="es-ES"/>
        </w:rPr>
        <w:t>al cual se han añadido los</w:t>
      </w:r>
      <w:r w:rsidR="00597F9B" w:rsidRPr="0018261C">
        <w:rPr>
          <w:lang w:val="es-ES"/>
        </w:rPr>
        <w:t xml:space="preserve"> 12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 xml:space="preserve">dB </w:t>
      </w:r>
      <w:r w:rsidR="003E4CA1" w:rsidRPr="0018261C">
        <w:rPr>
          <w:lang w:val="es-ES"/>
        </w:rPr>
        <w:t>de margen calculados en los estudios del GTE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>5/1</w:t>
      </w:r>
      <w:r w:rsidR="009D2668" w:rsidRPr="0018261C">
        <w:rPr>
          <w:lang w:val="es-ES"/>
        </w:rPr>
        <w:t>.</w:t>
      </w:r>
      <w:r w:rsidR="00597F9B" w:rsidRPr="0018261C">
        <w:rPr>
          <w:lang w:val="es-ES"/>
        </w:rPr>
        <w:t xml:space="preserve"> </w:t>
      </w:r>
      <w:r w:rsidR="003E4CA1" w:rsidRPr="0018261C">
        <w:rPr>
          <w:lang w:val="es-ES"/>
        </w:rPr>
        <w:t>Estos niveles proporcionan una flexibilidad máxima para las operaciones de las IMT.</w:t>
      </w:r>
      <w:bookmarkStart w:id="7" w:name="_Hlk15494051"/>
    </w:p>
    <w:p w14:paraId="64207E8E" w14:textId="246CDEC3" w:rsidR="00375196" w:rsidRPr="0018261C" w:rsidRDefault="0018261C" w:rsidP="0018261C">
      <w:pPr>
        <w:pStyle w:val="enumlev1"/>
        <w:rPr>
          <w:lang w:val="es-ES"/>
        </w:rPr>
      </w:pPr>
      <w:r>
        <w:rPr>
          <w:lang w:val="es-ES"/>
        </w:rPr>
        <w:tab/>
      </w:r>
      <w:r w:rsidR="009D2668" w:rsidRPr="0018261C">
        <w:rPr>
          <w:lang w:val="es-ES"/>
        </w:rPr>
        <w:t xml:space="preserve">Informe de la RPC: Condición </w:t>
      </w:r>
      <w:r w:rsidR="00597F9B" w:rsidRPr="0018261C">
        <w:rPr>
          <w:lang w:val="es-ES"/>
        </w:rPr>
        <w:t xml:space="preserve">A2e </w:t>
      </w:r>
      <w:r w:rsidR="009D2668" w:rsidRPr="0018261C">
        <w:rPr>
          <w:lang w:val="es-ES"/>
        </w:rPr>
        <w:t>Opción</w:t>
      </w:r>
      <w:r w:rsidR="00597F9B" w:rsidRPr="0018261C">
        <w:rPr>
          <w:lang w:val="es-ES"/>
        </w:rPr>
        <w:t xml:space="preserve"> 3 (</w:t>
      </w:r>
      <w:r w:rsidR="009D2668" w:rsidRPr="0018261C">
        <w:rPr>
          <w:lang w:val="es-ES"/>
        </w:rPr>
        <w:t>con</w:t>
      </w:r>
      <w:r w:rsidR="00597F9B" w:rsidRPr="0018261C">
        <w:rPr>
          <w:lang w:val="es-ES"/>
        </w:rPr>
        <w:t xml:space="preserve"> 37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>dBm/200</w:t>
      </w:r>
      <w:r w:rsidR="00981B31" w:rsidRPr="0018261C">
        <w:rPr>
          <w:lang w:val="es-ES"/>
        </w:rPr>
        <w:t> </w:t>
      </w:r>
      <w:r w:rsidR="00597F9B" w:rsidRPr="0018261C">
        <w:rPr>
          <w:lang w:val="es-ES"/>
        </w:rPr>
        <w:t xml:space="preserve">MHz). </w:t>
      </w:r>
      <w:bookmarkEnd w:id="7"/>
    </w:p>
    <w:p w14:paraId="103AE2B2" w14:textId="08977C6D" w:rsidR="00597F9B" w:rsidRPr="0018261C" w:rsidRDefault="0018261C" w:rsidP="0018261C">
      <w:pPr>
        <w:pStyle w:val="enumlev1"/>
        <w:rPr>
          <w:b/>
          <w:bCs/>
          <w:lang w:val="es-ES"/>
        </w:rPr>
      </w:pPr>
      <w:r w:rsidRPr="0018261C">
        <w:rPr>
          <w:b/>
          <w:bCs/>
          <w:lang w:val="es-ES"/>
        </w:rPr>
        <w:t>–</w:t>
      </w:r>
      <w:r w:rsidRPr="0018261C">
        <w:rPr>
          <w:b/>
          <w:bCs/>
          <w:lang w:val="es-ES"/>
        </w:rPr>
        <w:tab/>
      </w:r>
      <w:r w:rsidR="009D2668" w:rsidRPr="0018261C">
        <w:rPr>
          <w:b/>
          <w:bCs/>
          <w:lang w:val="es-ES"/>
        </w:rPr>
        <w:t>Medidas de protección para numerosos servicios</w:t>
      </w:r>
    </w:p>
    <w:p w14:paraId="1C5C667F" w14:textId="53B798B0" w:rsidR="00597F9B" w:rsidRPr="0061694A" w:rsidRDefault="0018261C" w:rsidP="0018261C">
      <w:pPr>
        <w:pStyle w:val="enumlev1"/>
        <w:rPr>
          <w:lang w:val="es-ES"/>
        </w:rPr>
      </w:pPr>
      <w:r>
        <w:rPr>
          <w:lang w:val="es-ES"/>
        </w:rPr>
        <w:tab/>
      </w:r>
      <w:r w:rsidR="009D2668" w:rsidRPr="0018261C">
        <w:rPr>
          <w:lang w:val="es-ES"/>
        </w:rPr>
        <w:t xml:space="preserve">Se soporta la condición </w:t>
      </w:r>
      <w:r w:rsidR="00597F9B" w:rsidRPr="0018261C">
        <w:rPr>
          <w:lang w:val="es-ES"/>
        </w:rPr>
        <w:t xml:space="preserve">A2g </w:t>
      </w:r>
      <w:r w:rsidR="009D2668" w:rsidRPr="0018261C">
        <w:rPr>
          <w:lang w:val="es-ES"/>
        </w:rPr>
        <w:t>Opción</w:t>
      </w:r>
      <w:r w:rsidR="00597F9B" w:rsidRPr="0018261C">
        <w:rPr>
          <w:lang w:val="es-ES"/>
        </w:rPr>
        <w:t xml:space="preserve"> 3 </w:t>
      </w:r>
      <w:r w:rsidR="009D2668" w:rsidRPr="0018261C">
        <w:rPr>
          <w:lang w:val="es-ES"/>
        </w:rPr>
        <w:t>o</w:t>
      </w:r>
      <w:r w:rsidR="00597F9B" w:rsidRPr="0018261C">
        <w:rPr>
          <w:lang w:val="es-ES"/>
        </w:rPr>
        <w:t xml:space="preserve"> 4 (</w:t>
      </w:r>
      <w:r w:rsidR="009D2668" w:rsidRPr="0018261C">
        <w:rPr>
          <w:lang w:val="es-ES"/>
        </w:rPr>
        <w:t>Supervisión de las características de las IMT incluido el despliegue</w:t>
      </w:r>
      <w:r w:rsidR="00597F9B" w:rsidRPr="0018261C">
        <w:rPr>
          <w:lang w:val="es-ES"/>
        </w:rPr>
        <w:t>).</w:t>
      </w:r>
    </w:p>
    <w:p w14:paraId="1FD4D36E" w14:textId="1A1A0A81" w:rsidR="00597F9B" w:rsidRPr="0061694A" w:rsidRDefault="00597F9B" w:rsidP="004140DF">
      <w:pPr>
        <w:pStyle w:val="Headingb"/>
        <w:rPr>
          <w:lang w:val="es-ES"/>
        </w:rPr>
      </w:pPr>
      <w:r w:rsidRPr="0061694A">
        <w:rPr>
          <w:lang w:val="es-ES"/>
        </w:rPr>
        <w:t>Band</w:t>
      </w:r>
      <w:r w:rsidR="00094272" w:rsidRPr="0061694A">
        <w:rPr>
          <w:lang w:val="es-ES"/>
        </w:rPr>
        <w:t>a</w:t>
      </w:r>
      <w:r w:rsidRPr="0061694A">
        <w:rPr>
          <w:lang w:val="es-ES"/>
        </w:rPr>
        <w:t xml:space="preserve"> 37-43</w:t>
      </w:r>
      <w:r w:rsidR="009D2668" w:rsidRPr="0061694A">
        <w:rPr>
          <w:lang w:val="es-ES"/>
        </w:rPr>
        <w:t>,</w:t>
      </w:r>
      <w:r w:rsidRPr="0061694A">
        <w:rPr>
          <w:lang w:val="es-ES"/>
        </w:rPr>
        <w:t>5</w:t>
      </w:r>
      <w:r w:rsidR="009D1659">
        <w:rPr>
          <w:lang w:val="es-ES"/>
        </w:rPr>
        <w:t> </w:t>
      </w:r>
      <w:r w:rsidRPr="0061694A">
        <w:rPr>
          <w:lang w:val="es-ES"/>
        </w:rPr>
        <w:t>GHz</w:t>
      </w:r>
    </w:p>
    <w:p w14:paraId="42BFECC4" w14:textId="1556DAC6" w:rsidR="00597F9B" w:rsidRPr="0061694A" w:rsidRDefault="0061694A" w:rsidP="009D1659">
      <w:pPr>
        <w:rPr>
          <w:iCs/>
          <w:lang w:val="es-ES"/>
        </w:rPr>
      </w:pPr>
      <w:r w:rsidRPr="0061694A">
        <w:rPr>
          <w:lang w:val="es-ES"/>
        </w:rPr>
        <w:t>Las</w:t>
      </w:r>
      <w:r w:rsidR="009D2668" w:rsidRPr="0061694A">
        <w:rPr>
          <w:lang w:val="es-ES"/>
        </w:rPr>
        <w:t xml:space="preserve"> Administraciones de Samoa son de la </w:t>
      </w:r>
      <w:r w:rsidRPr="0061694A">
        <w:rPr>
          <w:lang w:val="es-ES"/>
        </w:rPr>
        <w:t>opinión</w:t>
      </w:r>
      <w:r w:rsidR="009D2668" w:rsidRPr="0061694A">
        <w:rPr>
          <w:lang w:val="es-ES"/>
        </w:rPr>
        <w:t xml:space="preserve"> que</w:t>
      </w:r>
      <w:r w:rsidR="00597F9B" w:rsidRPr="0061694A">
        <w:rPr>
          <w:iCs/>
          <w:lang w:val="es-ES"/>
        </w:rPr>
        <w:t>:</w:t>
      </w:r>
    </w:p>
    <w:p w14:paraId="57EAF1D2" w14:textId="5AFBDEAC" w:rsidR="00597F9B" w:rsidRPr="009D1659" w:rsidRDefault="009D1659" w:rsidP="009D1659">
      <w:pPr>
        <w:pStyle w:val="enumlev1"/>
      </w:pPr>
      <w:r w:rsidRPr="009D1659">
        <w:rPr>
          <w:lang w:val="es-ES"/>
        </w:rPr>
        <w:t>–</w:t>
      </w:r>
      <w:r w:rsidR="00597F9B" w:rsidRPr="0061694A">
        <w:rPr>
          <w:lang w:val="es-ES"/>
        </w:rPr>
        <w:tab/>
      </w:r>
      <w:r w:rsidR="00526D0E">
        <w:rPr>
          <w:lang w:val="es-ES"/>
        </w:rPr>
        <w:t>l</w:t>
      </w:r>
      <w:r w:rsidR="009D2668" w:rsidRPr="0061694A">
        <w:rPr>
          <w:lang w:val="es-ES"/>
        </w:rPr>
        <w:t xml:space="preserve">a banda </w:t>
      </w:r>
      <w:r w:rsidR="00597F9B" w:rsidRPr="0061694A">
        <w:rPr>
          <w:lang w:val="es-ES"/>
        </w:rPr>
        <w:t>40</w:t>
      </w:r>
      <w:r w:rsidR="009D2668" w:rsidRPr="0061694A">
        <w:rPr>
          <w:lang w:val="es-ES"/>
        </w:rPr>
        <w:t>,5-43,</w:t>
      </w:r>
      <w:r w:rsidR="00597F9B" w:rsidRPr="009D1659">
        <w:t>5</w:t>
      </w:r>
      <w:r w:rsidRPr="009D1659">
        <w:t> </w:t>
      </w:r>
      <w:r w:rsidR="00597F9B" w:rsidRPr="009D1659">
        <w:t xml:space="preserve">GHz </w:t>
      </w:r>
      <w:r w:rsidR="009D2668" w:rsidRPr="009D1659">
        <w:t>puede compartirse entre la IMT y las estaciones terrenas de cabecera coordinadas</w:t>
      </w:r>
      <w:r w:rsidR="00375196" w:rsidRPr="009D1659">
        <w:t xml:space="preserve"> en la Región 3</w:t>
      </w:r>
      <w:r w:rsidR="009D2668" w:rsidRPr="009D1659">
        <w:t xml:space="preserve">, mientras que el espectro por debajo de </w:t>
      </w:r>
      <w:r w:rsidR="00597F9B" w:rsidRPr="009D1659">
        <w:t>40</w:t>
      </w:r>
      <w:r w:rsidR="009D2668" w:rsidRPr="009D1659">
        <w:t>,</w:t>
      </w:r>
      <w:r w:rsidR="00597F9B" w:rsidRPr="009D1659">
        <w:t>5</w:t>
      </w:r>
      <w:r>
        <w:t> </w:t>
      </w:r>
      <w:r w:rsidR="00597F9B" w:rsidRPr="009D1659">
        <w:t xml:space="preserve">GHz </w:t>
      </w:r>
      <w:r w:rsidR="009D2668" w:rsidRPr="009D1659">
        <w:t xml:space="preserve">es necesario para terminales del SFS no coordinados que no pueden compartir la banda con las IMT </w:t>
      </w:r>
      <w:r w:rsidR="00597F9B" w:rsidRPr="009D1659">
        <w:t>(</w:t>
      </w:r>
      <w:r w:rsidR="009D2668" w:rsidRPr="009D1659">
        <w:t>véase la Figura 2</w:t>
      </w:r>
      <w:r w:rsidR="00597F9B" w:rsidRPr="009D1659">
        <w:t>);</w:t>
      </w:r>
    </w:p>
    <w:p w14:paraId="6B4BDE3A" w14:textId="39ADE2A2" w:rsidR="00597F9B" w:rsidRPr="009D1659" w:rsidRDefault="009D1659" w:rsidP="009D1659">
      <w:pPr>
        <w:pStyle w:val="enumlev1"/>
      </w:pPr>
      <w:r w:rsidRPr="009D1659">
        <w:rPr>
          <w:lang w:val="es-ES"/>
        </w:rPr>
        <w:t>–</w:t>
      </w:r>
      <w:r w:rsidR="00597F9B" w:rsidRPr="009D1659">
        <w:tab/>
      </w:r>
      <w:r w:rsidR="00526D0E">
        <w:t>e</w:t>
      </w:r>
      <w:r w:rsidR="009D2668" w:rsidRPr="009D1659">
        <w:t xml:space="preserve">s necesario </w:t>
      </w:r>
      <w:r w:rsidR="004140DF" w:rsidRPr="009D1659">
        <w:t xml:space="preserve">mantener el SF y el SFS en la banda </w:t>
      </w:r>
      <w:r w:rsidR="009D2668" w:rsidRPr="009D1659">
        <w:t>37-40,</w:t>
      </w:r>
      <w:r w:rsidR="00597F9B" w:rsidRPr="009D1659">
        <w:t>5</w:t>
      </w:r>
      <w:r>
        <w:t> </w:t>
      </w:r>
      <w:r w:rsidR="00597F9B" w:rsidRPr="009D1659">
        <w:t>GHz</w:t>
      </w:r>
      <w:r w:rsidR="004140DF" w:rsidRPr="009D1659">
        <w:t xml:space="preserve"> en la Región</w:t>
      </w:r>
      <w:r>
        <w:t> </w:t>
      </w:r>
      <w:r w:rsidR="004140DF" w:rsidRPr="009D1659">
        <w:t>3</w:t>
      </w:r>
      <w:r w:rsidR="00597F9B" w:rsidRPr="009D1659">
        <w:t>;</w:t>
      </w:r>
    </w:p>
    <w:p w14:paraId="5148C405" w14:textId="2E6DE053" w:rsidR="004140DF" w:rsidRPr="009D1659" w:rsidRDefault="009D1659" w:rsidP="009D1659">
      <w:pPr>
        <w:pStyle w:val="enumlev1"/>
      </w:pPr>
      <w:r w:rsidRPr="009D1659">
        <w:rPr>
          <w:lang w:val="es-ES"/>
        </w:rPr>
        <w:t>–</w:t>
      </w:r>
      <w:r w:rsidR="00597F9B" w:rsidRPr="009D1659">
        <w:tab/>
      </w:r>
      <w:r w:rsidR="00526D0E">
        <w:t>n</w:t>
      </w:r>
      <w:r w:rsidR="004140DF" w:rsidRPr="009D1659">
        <w:t>o es necesario qu</w:t>
      </w:r>
      <w:r w:rsidR="00857109" w:rsidRPr="009D1659">
        <w:t xml:space="preserve">e el Reglamento de Radiocomunicaciones identifique </w:t>
      </w:r>
      <w:r w:rsidR="00375196" w:rsidRPr="009D1659">
        <w:t xml:space="preserve">para </w:t>
      </w:r>
      <w:r w:rsidR="00857109" w:rsidRPr="009D1659">
        <w:t>la gama de frecuencias 37-43,5</w:t>
      </w:r>
      <w:r>
        <w:t> </w:t>
      </w:r>
      <w:r w:rsidR="00857109" w:rsidRPr="009D1659">
        <w:t>GHz</w:t>
      </w:r>
      <w:r w:rsidR="00375196" w:rsidRPr="009D1659">
        <w:t xml:space="preserve"> IMT a nivel mundial</w:t>
      </w:r>
      <w:r w:rsidR="004140DF" w:rsidRPr="009D1659">
        <w:t xml:space="preserve"> para apoyar una gama de sintonía del equipo de IMT</w:t>
      </w:r>
      <w:r w:rsidR="00857109" w:rsidRPr="009D1659">
        <w:t xml:space="preserve">. </w:t>
      </w:r>
      <w:r w:rsidR="004140DF" w:rsidRPr="009D1659">
        <w:t>En cualquier caso, la gama amplia de sintonía de los equipos de este tipo permitirá a dicho equipo adaptarse a la banda IMT de cada país sin perder las economías de escala;</w:t>
      </w:r>
    </w:p>
    <w:p w14:paraId="0B742440" w14:textId="7D367D32" w:rsidR="00597F9B" w:rsidRPr="0061694A" w:rsidRDefault="009D1659" w:rsidP="009D1659">
      <w:pPr>
        <w:pStyle w:val="enumlev1"/>
        <w:rPr>
          <w:lang w:val="es-ES"/>
        </w:rPr>
      </w:pPr>
      <w:r w:rsidRPr="009D1659">
        <w:rPr>
          <w:lang w:val="es-ES"/>
        </w:rPr>
        <w:t>–</w:t>
      </w:r>
      <w:r w:rsidR="00597F9B" w:rsidRPr="009D1659">
        <w:tab/>
      </w:r>
      <w:r w:rsidR="00526D0E">
        <w:t>l</w:t>
      </w:r>
      <w:r w:rsidR="00857109" w:rsidRPr="009D1659">
        <w:t xml:space="preserve">as bandas identificadas para las IMT deberían poder </w:t>
      </w:r>
      <w:r w:rsidR="004140DF" w:rsidRPr="009D1659">
        <w:t>utilizarse</w:t>
      </w:r>
      <w:r w:rsidR="00857109" w:rsidRPr="009D1659">
        <w:t xml:space="preserve"> en muchos países</w:t>
      </w:r>
      <w:r w:rsidR="004140DF" w:rsidRPr="009D1659">
        <w:t xml:space="preserve"> y,</w:t>
      </w:r>
      <w:r w:rsidR="00857109" w:rsidRPr="009D1659">
        <w:t xml:space="preserve"> al contrario, las bandas</w:t>
      </w:r>
      <w:r w:rsidR="00857109" w:rsidRPr="0061694A">
        <w:rPr>
          <w:lang w:val="es-ES"/>
        </w:rPr>
        <w:t xml:space="preserve"> que no son adecuadas en la mayoría de los países no deberían ser identificadas para las IMT, a fin de garantizar un uso eficiente y armonizado del espectro.</w:t>
      </w:r>
    </w:p>
    <w:p w14:paraId="59AE7AFE" w14:textId="7DA43C64" w:rsidR="00597F9B" w:rsidRPr="0061694A" w:rsidRDefault="004140DF" w:rsidP="009D1659">
      <w:pPr>
        <w:rPr>
          <w:lang w:val="es-ES"/>
        </w:rPr>
      </w:pPr>
      <w:r w:rsidRPr="0061694A">
        <w:rPr>
          <w:lang w:val="es-ES"/>
        </w:rPr>
        <w:t xml:space="preserve">Las economías de escala a nivel mundial para los equipos IMT, así como mantener el SF y el SFS en la banda </w:t>
      </w:r>
      <w:r w:rsidR="00597F9B" w:rsidRPr="0061694A">
        <w:rPr>
          <w:lang w:val="es-ES"/>
        </w:rPr>
        <w:t>37-40</w:t>
      </w:r>
      <w:r w:rsidR="009D2668"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 w:rsidR="009D1659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en la Región</w:t>
      </w:r>
      <w:r w:rsidR="009D1659">
        <w:rPr>
          <w:lang w:val="es-ES"/>
        </w:rPr>
        <w:t> </w:t>
      </w:r>
      <w:r w:rsidR="00597F9B" w:rsidRPr="0061694A">
        <w:rPr>
          <w:lang w:val="es-ES"/>
        </w:rPr>
        <w:t xml:space="preserve">3, </w:t>
      </w:r>
      <w:r w:rsidRPr="0061694A">
        <w:rPr>
          <w:lang w:val="es-ES"/>
        </w:rPr>
        <w:t>puede realizarse mediante identificación de</w:t>
      </w:r>
      <w:r w:rsidR="00597F9B" w:rsidRPr="0061694A">
        <w:rPr>
          <w:lang w:val="es-ES"/>
        </w:rPr>
        <w:t xml:space="preserve"> 3</w:t>
      </w:r>
      <w:r w:rsidR="009D1659">
        <w:rPr>
          <w:lang w:val="es-ES"/>
        </w:rPr>
        <w:t> </w:t>
      </w:r>
      <w:r w:rsidR="00597F9B" w:rsidRPr="0061694A">
        <w:rPr>
          <w:lang w:val="es-ES"/>
        </w:rPr>
        <w:t>GHz</w:t>
      </w:r>
      <w:r w:rsidRPr="0061694A">
        <w:rPr>
          <w:lang w:val="es-ES"/>
        </w:rPr>
        <w:t xml:space="preserve"> de espectro para las IMT en cada Región de la UIT </w:t>
      </w:r>
      <w:r w:rsidR="00597F9B" w:rsidRPr="0061694A">
        <w:rPr>
          <w:lang w:val="es-ES"/>
        </w:rPr>
        <w:t>(</w:t>
      </w:r>
      <w:r w:rsidRPr="0061694A">
        <w:rPr>
          <w:lang w:val="es-ES"/>
        </w:rPr>
        <w:t>véase la Figura</w:t>
      </w:r>
      <w:r w:rsidR="009D1659">
        <w:rPr>
          <w:lang w:val="es-ES"/>
        </w:rPr>
        <w:t> </w:t>
      </w:r>
      <w:r w:rsidR="00597F9B" w:rsidRPr="0061694A">
        <w:rPr>
          <w:lang w:val="es-ES"/>
        </w:rPr>
        <w:t xml:space="preserve">3), </w:t>
      </w:r>
      <w:r w:rsidRPr="0061694A">
        <w:rPr>
          <w:lang w:val="es-ES"/>
        </w:rPr>
        <w:t>siempre y cuando los equipos de RF</w:t>
      </w:r>
      <w:r w:rsidR="0061694A">
        <w:rPr>
          <w:lang w:val="es-ES"/>
        </w:rPr>
        <w:t xml:space="preserve"> </w:t>
      </w:r>
      <w:r w:rsidRPr="0061694A">
        <w:rPr>
          <w:lang w:val="es-ES"/>
        </w:rPr>
        <w:t xml:space="preserve">puedan sintonizar en toda la gama de frecuencias </w:t>
      </w:r>
      <w:r w:rsidR="00597F9B" w:rsidRPr="0061694A">
        <w:rPr>
          <w:lang w:val="es-ES"/>
        </w:rPr>
        <w:t>37-43</w:t>
      </w:r>
      <w:r w:rsidR="009D2668" w:rsidRPr="0061694A">
        <w:rPr>
          <w:lang w:val="es-ES"/>
        </w:rPr>
        <w:t>,</w:t>
      </w:r>
      <w:r w:rsidRPr="0061694A">
        <w:rPr>
          <w:lang w:val="es-ES"/>
        </w:rPr>
        <w:t>5</w:t>
      </w:r>
      <w:r w:rsidR="009D1659">
        <w:rPr>
          <w:lang w:val="es-ES"/>
        </w:rPr>
        <w:t> </w:t>
      </w:r>
      <w:r w:rsidRPr="0061694A">
        <w:rPr>
          <w:lang w:val="es-ES"/>
        </w:rPr>
        <w:t>GHz</w:t>
      </w:r>
      <w:r w:rsidR="00597F9B" w:rsidRPr="0061694A">
        <w:rPr>
          <w:lang w:val="es-ES"/>
        </w:rPr>
        <w:t>.</w:t>
      </w:r>
    </w:p>
    <w:p w14:paraId="62BEEBFE" w14:textId="4B61659B" w:rsidR="00857109" w:rsidRPr="0061694A" w:rsidRDefault="00857109" w:rsidP="009D1659">
      <w:pPr>
        <w:pStyle w:val="Figuretitle"/>
        <w:jc w:val="center"/>
        <w:rPr>
          <w:i/>
          <w:lang w:val="es-ES"/>
        </w:rPr>
      </w:pPr>
      <w:r w:rsidRPr="009D165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0142A5" wp14:editId="2583E998">
            <wp:simplePos x="0" y="0"/>
            <wp:positionH relativeFrom="column">
              <wp:posOffset>438316</wp:posOffset>
            </wp:positionH>
            <wp:positionV relativeFrom="paragraph">
              <wp:posOffset>758660</wp:posOffset>
            </wp:positionV>
            <wp:extent cx="5029200" cy="928370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659">
        <w:t>Figur</w:t>
      </w:r>
      <w:r w:rsidR="004140DF" w:rsidRPr="009D1659">
        <w:t>a</w:t>
      </w:r>
      <w:r w:rsidRPr="009D1659">
        <w:t xml:space="preserve"> 2: </w:t>
      </w:r>
      <w:r w:rsidR="004140DF" w:rsidRPr="009D1659">
        <w:t>Identificaciones actuales para los SFSAD (espacio-Tierra) en la gama de</w:t>
      </w:r>
      <w:r w:rsidR="009D1659">
        <w:br/>
      </w:r>
      <w:r w:rsidR="004140DF" w:rsidRPr="009D1659">
        <w:t>frecuencias 37-43,5</w:t>
      </w:r>
      <w:r w:rsidR="00516BCE">
        <w:t> </w:t>
      </w:r>
      <w:r w:rsidR="004140DF" w:rsidRPr="009D1659">
        <w:t>GHz</w:t>
      </w:r>
    </w:p>
    <w:p w14:paraId="784CE10F" w14:textId="60159271" w:rsidR="00597F9B" w:rsidRPr="0061694A" w:rsidRDefault="00597F9B" w:rsidP="004140DF">
      <w:pPr>
        <w:rPr>
          <w:lang w:val="es-ES"/>
        </w:rPr>
      </w:pPr>
    </w:p>
    <w:p w14:paraId="62C161CE" w14:textId="1C26F332" w:rsidR="004140DF" w:rsidRPr="0061694A" w:rsidRDefault="009D1659" w:rsidP="009D1659">
      <w:pPr>
        <w:pStyle w:val="Tablelegend"/>
        <w:rPr>
          <w:lang w:val="es-ES"/>
        </w:rPr>
      </w:pPr>
      <w:r w:rsidRPr="009D1659">
        <w:rPr>
          <w:lang w:val="es-ES"/>
        </w:rPr>
        <w:t>Leyenda:</w:t>
      </w:r>
      <w:r>
        <w:rPr>
          <w:lang w:val="es-ES"/>
        </w:rPr>
        <w:br/>
      </w:r>
      <w:r w:rsidR="004140DF" w:rsidRPr="009D1659">
        <w:rPr>
          <w:lang w:val="es-ES"/>
        </w:rPr>
        <w:t>Región</w:t>
      </w:r>
      <w:r>
        <w:rPr>
          <w:lang w:val="es-ES"/>
        </w:rPr>
        <w:br/>
      </w:r>
      <w:r w:rsidR="004140DF" w:rsidRPr="009D1659">
        <w:rPr>
          <w:lang w:val="es-ES"/>
        </w:rPr>
        <w:t>SFSAD</w:t>
      </w:r>
    </w:p>
    <w:p w14:paraId="473E931A" w14:textId="44B7C5AA" w:rsidR="00597F9B" w:rsidRPr="009D1659" w:rsidRDefault="00597F9B" w:rsidP="009D1659">
      <w:pPr>
        <w:pStyle w:val="Figuretitle"/>
        <w:jc w:val="center"/>
      </w:pPr>
      <w:r w:rsidRPr="009D1659">
        <w:t>Figur</w:t>
      </w:r>
      <w:r w:rsidR="002C0D4A" w:rsidRPr="009D1659">
        <w:t>a</w:t>
      </w:r>
      <w:r w:rsidRPr="009D1659">
        <w:t xml:space="preserve"> 3: </w:t>
      </w:r>
      <w:r w:rsidR="002C0D4A" w:rsidRPr="009D1659">
        <w:t>Propuesta para las</w:t>
      </w:r>
      <w:r w:rsidRPr="009D1659">
        <w:t xml:space="preserve"> IMT </w:t>
      </w:r>
      <w:r w:rsidR="002C0D4A" w:rsidRPr="009D1659">
        <w:t>en el rango de frecuencias</w:t>
      </w:r>
      <w:r w:rsidRPr="009D1659">
        <w:t xml:space="preserve"> 37-43</w:t>
      </w:r>
      <w:r w:rsidR="002C0D4A" w:rsidRPr="009D1659">
        <w:t>,</w:t>
      </w:r>
      <w:r w:rsidRPr="009D1659">
        <w:t>5 GHz</w:t>
      </w:r>
    </w:p>
    <w:p w14:paraId="469E3917" w14:textId="0552C51A" w:rsidR="00597F9B" w:rsidRPr="0061694A" w:rsidRDefault="00597F9B" w:rsidP="00597F9B">
      <w:pPr>
        <w:keepNext/>
        <w:keepLines/>
        <w:spacing w:line="480" w:lineRule="auto"/>
        <w:ind w:left="540"/>
        <w:rPr>
          <w:lang w:val="es-ES"/>
        </w:rPr>
      </w:pPr>
      <w:r w:rsidRPr="0061694A">
        <w:rPr>
          <w:noProof/>
          <w:lang w:val="es-ES" w:eastAsia="zh-CN"/>
        </w:rPr>
        <w:drawing>
          <wp:inline distT="0" distB="0" distL="0" distR="0" wp14:anchorId="3766A769" wp14:editId="0240A6FC">
            <wp:extent cx="4998085" cy="875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C5B85" w14:textId="09384340" w:rsidR="002C0D4A" w:rsidRPr="009D1659" w:rsidRDefault="009D1659" w:rsidP="009D1659">
      <w:pPr>
        <w:pStyle w:val="Tablelegend"/>
        <w:rPr>
          <w:lang w:val="es-ES"/>
        </w:rPr>
      </w:pPr>
      <w:r w:rsidRPr="009D1659">
        <w:rPr>
          <w:lang w:val="es-ES"/>
        </w:rPr>
        <w:t>Leyenda:</w:t>
      </w:r>
      <w:r w:rsidRPr="009D1659">
        <w:rPr>
          <w:lang w:val="es-ES"/>
        </w:rPr>
        <w:br/>
      </w:r>
      <w:r w:rsidR="002C0D4A" w:rsidRPr="009D1659">
        <w:rPr>
          <w:lang w:val="es-ES"/>
        </w:rPr>
        <w:t>Región</w:t>
      </w:r>
      <w:r w:rsidRPr="009D1659">
        <w:rPr>
          <w:lang w:val="es-ES"/>
        </w:rPr>
        <w:br/>
        <w:t>S</w:t>
      </w:r>
      <w:r w:rsidR="002C0D4A" w:rsidRPr="009D1659">
        <w:rPr>
          <w:lang w:val="es-ES"/>
        </w:rPr>
        <w:t>in cambios</w:t>
      </w:r>
    </w:p>
    <w:p w14:paraId="26C553C0" w14:textId="49888F52" w:rsidR="00597F9B" w:rsidRPr="0061694A" w:rsidRDefault="002C0D4A" w:rsidP="009D1659">
      <w:pPr>
        <w:rPr>
          <w:lang w:val="es-ES"/>
        </w:rPr>
      </w:pPr>
      <w:r w:rsidRPr="0061694A">
        <w:rPr>
          <w:lang w:val="es-ES"/>
        </w:rPr>
        <w:t>Se propone por lo tanto que</w:t>
      </w:r>
      <w:r w:rsidR="00597F9B" w:rsidRPr="0061694A">
        <w:rPr>
          <w:lang w:val="es-ES"/>
        </w:rPr>
        <w:t>:</w:t>
      </w:r>
    </w:p>
    <w:p w14:paraId="7B2AA5EB" w14:textId="50205111" w:rsidR="00597F9B" w:rsidRPr="0061694A" w:rsidRDefault="009D1659" w:rsidP="009D1659">
      <w:pPr>
        <w:pStyle w:val="enumlev1"/>
        <w:rPr>
          <w:lang w:val="es-ES"/>
        </w:rPr>
      </w:pPr>
      <w:r w:rsidRPr="009D1659">
        <w:rPr>
          <w:lang w:val="es-ES"/>
        </w:rPr>
        <w:t>•</w:t>
      </w:r>
      <w:r>
        <w:rPr>
          <w:lang w:val="es-ES"/>
        </w:rPr>
        <w:tab/>
      </w:r>
      <w:r w:rsidR="002C0D4A" w:rsidRPr="0061694A">
        <w:rPr>
          <w:lang w:val="es-ES"/>
        </w:rPr>
        <w:t>Región</w:t>
      </w:r>
      <w:r>
        <w:rPr>
          <w:lang w:val="es-ES"/>
        </w:rPr>
        <w:t xml:space="preserve"> </w:t>
      </w:r>
      <w:r w:rsidR="00597F9B" w:rsidRPr="0061694A">
        <w:rPr>
          <w:lang w:val="es-ES"/>
        </w:rPr>
        <w:t xml:space="preserve">3: </w:t>
      </w:r>
      <w:r w:rsidR="002C0D4A" w:rsidRPr="0061694A">
        <w:rPr>
          <w:lang w:val="es-ES"/>
        </w:rPr>
        <w:t xml:space="preserve">Identificación a las IMT de la banda </w:t>
      </w:r>
      <w:r w:rsidR="00597F9B" w:rsidRPr="0061694A">
        <w:rPr>
          <w:lang w:val="es-ES"/>
        </w:rPr>
        <w:t>40</w:t>
      </w:r>
      <w:r w:rsidR="002C0D4A" w:rsidRPr="0061694A">
        <w:rPr>
          <w:lang w:val="es-ES"/>
        </w:rPr>
        <w:t>,</w:t>
      </w:r>
      <w:r w:rsidR="00597F9B" w:rsidRPr="0061694A">
        <w:rPr>
          <w:lang w:val="es-ES"/>
        </w:rPr>
        <w:t>5-43</w:t>
      </w:r>
      <w:r w:rsidR="002C0D4A"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>
        <w:rPr>
          <w:lang w:val="es-ES"/>
        </w:rPr>
        <w:t> </w:t>
      </w:r>
      <w:r w:rsidR="00597F9B" w:rsidRPr="0061694A">
        <w:rPr>
          <w:lang w:val="es-ES"/>
        </w:rPr>
        <w:t xml:space="preserve">GHz, </w:t>
      </w:r>
      <w:r w:rsidR="002C0D4A" w:rsidRPr="0061694A">
        <w:rPr>
          <w:lang w:val="es-ES"/>
        </w:rPr>
        <w:t>que mantiene las identificaciones actuales al SFSAD en</w:t>
      </w:r>
      <w:r w:rsidR="00597F9B" w:rsidRPr="0061694A">
        <w:rPr>
          <w:lang w:val="es-ES"/>
        </w:rPr>
        <w:t xml:space="preserve"> 40-4</w:t>
      </w:r>
      <w:r w:rsidR="002C0D4A" w:rsidRPr="0061694A">
        <w:rPr>
          <w:lang w:val="es-ES"/>
        </w:rPr>
        <w:t>0,</w:t>
      </w:r>
      <w:r w:rsidR="00597F9B" w:rsidRPr="0061694A">
        <w:rPr>
          <w:lang w:val="es-ES"/>
        </w:rPr>
        <w:t>5</w:t>
      </w:r>
      <w:r>
        <w:rPr>
          <w:lang w:val="es-ES"/>
        </w:rPr>
        <w:t> </w:t>
      </w:r>
      <w:r w:rsidR="00597F9B" w:rsidRPr="0061694A">
        <w:rPr>
          <w:lang w:val="es-ES"/>
        </w:rPr>
        <w:t xml:space="preserve">GHz. </w:t>
      </w:r>
      <w:r w:rsidR="002C0D4A" w:rsidRPr="0061694A">
        <w:rPr>
          <w:lang w:val="es-ES"/>
        </w:rPr>
        <w:t xml:space="preserve">Debe tenerse en cuenta que el ASMG y la CEPT han indicado que no tienen intención de utilizar las bandas por debajo de </w:t>
      </w:r>
      <w:r w:rsidR="00597F9B" w:rsidRPr="0061694A">
        <w:rPr>
          <w:lang w:val="es-ES"/>
        </w:rPr>
        <w:t>40</w:t>
      </w:r>
      <w:r w:rsidR="002C0D4A" w:rsidRPr="0061694A">
        <w:rPr>
          <w:lang w:val="es-ES"/>
        </w:rPr>
        <w:t>,</w:t>
      </w:r>
      <w:r w:rsidR="00597F9B" w:rsidRPr="009D1659">
        <w:t>5</w:t>
      </w:r>
      <w:r>
        <w:t> </w:t>
      </w:r>
      <w:r w:rsidR="00597F9B" w:rsidRPr="009D1659">
        <w:t>GHz</w:t>
      </w:r>
      <w:r w:rsidR="00597F9B" w:rsidRPr="0061694A">
        <w:rPr>
          <w:lang w:val="es-ES"/>
        </w:rPr>
        <w:t xml:space="preserve"> </w:t>
      </w:r>
      <w:r w:rsidR="002C0D4A" w:rsidRPr="0061694A">
        <w:rPr>
          <w:lang w:val="es-ES"/>
        </w:rPr>
        <w:t>para las</w:t>
      </w:r>
      <w:r w:rsidR="0061694A">
        <w:rPr>
          <w:lang w:val="es-ES"/>
        </w:rPr>
        <w:t xml:space="preserve"> </w:t>
      </w:r>
      <w:r w:rsidR="00597F9B" w:rsidRPr="0061694A">
        <w:rPr>
          <w:lang w:val="es-ES"/>
        </w:rPr>
        <w:t>IMT.</w:t>
      </w:r>
    </w:p>
    <w:p w14:paraId="025CB467" w14:textId="1FFC7558" w:rsidR="00BE377D" w:rsidRPr="0061694A" w:rsidRDefault="002C0D4A" w:rsidP="00BE377D">
      <w:pPr>
        <w:rPr>
          <w:lang w:val="es-ES"/>
        </w:rPr>
      </w:pPr>
      <w:r w:rsidRPr="0061694A">
        <w:rPr>
          <w:lang w:val="es-ES"/>
        </w:rPr>
        <w:t>De esta manera se prop</w:t>
      </w:r>
      <w:r w:rsidR="00BE377D" w:rsidRPr="0061694A">
        <w:rPr>
          <w:lang w:val="es-ES"/>
        </w:rPr>
        <w:t>or</w:t>
      </w:r>
      <w:r w:rsidRPr="0061694A">
        <w:rPr>
          <w:lang w:val="es-ES"/>
        </w:rPr>
        <w:t>cionan 3</w:t>
      </w:r>
      <w:r w:rsidR="009D1659">
        <w:rPr>
          <w:lang w:val="es-ES"/>
        </w:rPr>
        <w:t> </w:t>
      </w:r>
      <w:r w:rsidRPr="0061694A">
        <w:rPr>
          <w:lang w:val="es-ES"/>
        </w:rPr>
        <w:t xml:space="preserve">GHz de espectro </w:t>
      </w:r>
      <w:r w:rsidR="00893DC9">
        <w:rPr>
          <w:lang w:val="es-ES"/>
        </w:rPr>
        <w:t>par</w:t>
      </w:r>
      <w:r w:rsidRPr="0061694A">
        <w:rPr>
          <w:lang w:val="es-ES"/>
        </w:rPr>
        <w:t xml:space="preserve">a las IMT en todas las </w:t>
      </w:r>
      <w:r w:rsidR="00BE377D" w:rsidRPr="0061694A">
        <w:rPr>
          <w:lang w:val="es-ES"/>
        </w:rPr>
        <w:t xml:space="preserve">Regiones </w:t>
      </w:r>
      <w:r w:rsidRPr="0061694A">
        <w:rPr>
          <w:lang w:val="es-ES"/>
        </w:rPr>
        <w:t xml:space="preserve">del UIT-R </w:t>
      </w:r>
      <w:r w:rsidR="00BE377D" w:rsidRPr="0061694A">
        <w:rPr>
          <w:lang w:val="es-ES"/>
        </w:rPr>
        <w:t xml:space="preserve">y </w:t>
      </w:r>
      <w:r w:rsidR="00893DC9">
        <w:rPr>
          <w:lang w:val="es-ES"/>
        </w:rPr>
        <w:t xml:space="preserve">se </w:t>
      </w:r>
      <w:r w:rsidR="00BE377D" w:rsidRPr="0061694A">
        <w:rPr>
          <w:lang w:val="es-ES"/>
        </w:rPr>
        <w:t xml:space="preserve">permite la utilización de equipos comunes, siempre y cuando los equipos puedan sintonizar en toda la gama de frecuencias </w:t>
      </w:r>
      <w:r w:rsidR="00597F9B" w:rsidRPr="0061694A">
        <w:rPr>
          <w:lang w:val="es-ES"/>
        </w:rPr>
        <w:t>37-43</w:t>
      </w:r>
      <w:r w:rsidR="00BE377D" w:rsidRPr="0061694A">
        <w:rPr>
          <w:lang w:val="es-ES"/>
        </w:rPr>
        <w:t>,5</w:t>
      </w:r>
      <w:r w:rsidR="009D1659">
        <w:rPr>
          <w:lang w:val="es-ES"/>
        </w:rPr>
        <w:t> </w:t>
      </w:r>
      <w:r w:rsidR="00BE377D" w:rsidRPr="0061694A">
        <w:rPr>
          <w:lang w:val="es-ES"/>
        </w:rPr>
        <w:t>GHz</w:t>
      </w:r>
      <w:r w:rsidR="00597F9B" w:rsidRPr="0061694A">
        <w:rPr>
          <w:lang w:val="es-ES"/>
        </w:rPr>
        <w:t xml:space="preserve">. </w:t>
      </w:r>
      <w:r w:rsidR="00BE377D" w:rsidRPr="0061694A">
        <w:rPr>
          <w:lang w:val="es-ES"/>
        </w:rPr>
        <w:t>Para facilitar la coexistencia entre las IMT y el SFS, debería introducirse en el RR un límite de la potencia radiada total (PRT) para las estaciones de base IMT de 37</w:t>
      </w:r>
      <w:r w:rsidR="009D1659">
        <w:rPr>
          <w:lang w:val="es-ES"/>
        </w:rPr>
        <w:t> </w:t>
      </w:r>
      <w:r w:rsidR="00BE377D" w:rsidRPr="0061694A">
        <w:rPr>
          <w:lang w:val="es-ES"/>
        </w:rPr>
        <w:t>dBm/200</w:t>
      </w:r>
      <w:r w:rsidR="00DA653B">
        <w:rPr>
          <w:lang w:val="es-ES"/>
        </w:rPr>
        <w:t> </w:t>
      </w:r>
      <w:r w:rsidR="00BE377D" w:rsidRPr="0061694A">
        <w:rPr>
          <w:lang w:val="es-ES"/>
        </w:rPr>
        <w:t>MHz. Este nivel se basa en el nivel de base proporcionado por GT</w:t>
      </w:r>
      <w:r w:rsidR="00526D0E">
        <w:rPr>
          <w:lang w:val="es-ES"/>
        </w:rPr>
        <w:t> </w:t>
      </w:r>
      <w:r w:rsidR="00BE377D" w:rsidRPr="0061694A">
        <w:rPr>
          <w:lang w:val="es-ES"/>
        </w:rPr>
        <w:t>5D, al cual se ha añadido el margen calculado en los estudios del GTE</w:t>
      </w:r>
      <w:r w:rsidR="00526D0E">
        <w:rPr>
          <w:lang w:val="es-ES"/>
        </w:rPr>
        <w:t> </w:t>
      </w:r>
      <w:r w:rsidR="00BE377D" w:rsidRPr="0061694A">
        <w:rPr>
          <w:lang w:val="es-ES"/>
        </w:rPr>
        <w:t>5/1.</w:t>
      </w:r>
    </w:p>
    <w:p w14:paraId="3D253806" w14:textId="469858F5" w:rsidR="00597F9B" w:rsidRPr="0061694A" w:rsidRDefault="00BE377D" w:rsidP="00DA653B">
      <w:pPr>
        <w:rPr>
          <w:lang w:val="es-ES"/>
        </w:rPr>
      </w:pPr>
      <w:r w:rsidRPr="0061694A">
        <w:rPr>
          <w:lang w:val="es-ES"/>
        </w:rPr>
        <w:t>Respecto del Informe de la RPC y sus Métodos, apoyamos</w:t>
      </w:r>
      <w:r w:rsidR="00597F9B" w:rsidRPr="0061694A">
        <w:rPr>
          <w:lang w:val="es-ES"/>
        </w:rPr>
        <w:t>:</w:t>
      </w:r>
    </w:p>
    <w:p w14:paraId="57E31FBC" w14:textId="22D6AE00" w:rsidR="00597F9B" w:rsidRPr="0061694A" w:rsidRDefault="00BE377D" w:rsidP="00DA653B">
      <w:pPr>
        <w:rPr>
          <w:lang w:val="es-ES"/>
        </w:rPr>
      </w:pPr>
      <w:r w:rsidRPr="0061694A">
        <w:rPr>
          <w:lang w:val="es-ES"/>
        </w:rPr>
        <w:t>En la banda</w:t>
      </w:r>
      <w:r w:rsidR="00597F9B" w:rsidRPr="0061694A">
        <w:rPr>
          <w:lang w:val="es-ES"/>
        </w:rPr>
        <w:t xml:space="preserve"> 37-40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>GHz:</w:t>
      </w:r>
    </w:p>
    <w:p w14:paraId="3F455C2B" w14:textId="12E7E5F1" w:rsidR="00597F9B" w:rsidRPr="0061694A" w:rsidRDefault="00DA653B" w:rsidP="00DA653B">
      <w:pPr>
        <w:pStyle w:val="enumlev1"/>
        <w:rPr>
          <w:color w:val="000000"/>
          <w:lang w:val="es-ES"/>
        </w:rPr>
      </w:pPr>
      <w:r w:rsidRPr="00DA653B">
        <w:rPr>
          <w:lang w:val="es-ES"/>
        </w:rPr>
        <w:t>–</w:t>
      </w:r>
      <w:r>
        <w:rPr>
          <w:lang w:val="es-ES"/>
        </w:rPr>
        <w:tab/>
      </w:r>
      <w:r w:rsidR="00BE377D" w:rsidRPr="0061694A">
        <w:rPr>
          <w:lang w:val="es-ES"/>
        </w:rPr>
        <w:t>En la Región</w:t>
      </w:r>
      <w:r>
        <w:rPr>
          <w:lang w:val="es-ES"/>
        </w:rPr>
        <w:t> </w:t>
      </w:r>
      <w:r w:rsidR="00597F9B" w:rsidRPr="0061694A">
        <w:rPr>
          <w:lang w:val="es-ES"/>
        </w:rPr>
        <w:t xml:space="preserve">3: </w:t>
      </w:r>
      <w:r w:rsidR="00BE377D" w:rsidRPr="0061694A">
        <w:rPr>
          <w:lang w:val="es-ES"/>
        </w:rPr>
        <w:t>Método</w:t>
      </w:r>
      <w:r w:rsidR="00597F9B" w:rsidRPr="0061694A">
        <w:rPr>
          <w:lang w:val="es-ES"/>
        </w:rPr>
        <w:t xml:space="preserve"> C1 (</w:t>
      </w:r>
      <w:r w:rsidR="00BE377D" w:rsidRPr="0061694A">
        <w:rPr>
          <w:lang w:val="es-ES"/>
        </w:rPr>
        <w:t>sin cambios</w:t>
      </w:r>
      <w:r w:rsidR="00597F9B" w:rsidRPr="0061694A">
        <w:rPr>
          <w:lang w:val="es-ES"/>
        </w:rPr>
        <w:t xml:space="preserve">) </w:t>
      </w:r>
      <w:r w:rsidR="00BE377D" w:rsidRPr="0061694A">
        <w:rPr>
          <w:lang w:val="es-ES"/>
        </w:rPr>
        <w:t>para la banda</w:t>
      </w:r>
      <w:r w:rsidR="00597F9B" w:rsidRPr="0061694A">
        <w:rPr>
          <w:lang w:val="es-ES"/>
        </w:rPr>
        <w:t xml:space="preserve"> 37-40</w:t>
      </w:r>
      <w:r w:rsidR="00BE377D"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>
        <w:rPr>
          <w:lang w:val="es-ES"/>
        </w:rPr>
        <w:t> </w:t>
      </w:r>
      <w:r w:rsidR="00597F9B" w:rsidRPr="0061694A">
        <w:rPr>
          <w:lang w:val="es-ES"/>
        </w:rPr>
        <w:t>GHz</w:t>
      </w:r>
    </w:p>
    <w:p w14:paraId="5433E095" w14:textId="7864B1AF" w:rsidR="00597F9B" w:rsidRPr="0061694A" w:rsidRDefault="00BE377D" w:rsidP="00DA653B">
      <w:pPr>
        <w:rPr>
          <w:lang w:val="es-ES"/>
        </w:rPr>
      </w:pPr>
      <w:r w:rsidRPr="0061694A">
        <w:rPr>
          <w:lang w:val="es-ES"/>
        </w:rPr>
        <w:t xml:space="preserve">En la banda </w:t>
      </w:r>
      <w:r w:rsidR="00597F9B" w:rsidRPr="0061694A">
        <w:rPr>
          <w:lang w:val="es-ES"/>
        </w:rPr>
        <w:t>40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5-42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>GHz:</w:t>
      </w:r>
    </w:p>
    <w:p w14:paraId="653B94C9" w14:textId="4E12C201" w:rsidR="00597F9B" w:rsidRPr="0061694A" w:rsidRDefault="00DA653B" w:rsidP="00DA653B">
      <w:pPr>
        <w:pStyle w:val="enumlev1"/>
        <w:rPr>
          <w:color w:val="000000"/>
          <w:lang w:val="es-ES"/>
        </w:rPr>
      </w:pPr>
      <w:r w:rsidRPr="00DA653B">
        <w:rPr>
          <w:lang w:val="es-ES"/>
        </w:rPr>
        <w:t>–</w:t>
      </w:r>
      <w:r>
        <w:rPr>
          <w:lang w:val="es-ES"/>
        </w:rPr>
        <w:tab/>
      </w:r>
      <w:r w:rsidR="00BE377D" w:rsidRPr="0061694A">
        <w:rPr>
          <w:lang w:val="es-ES"/>
        </w:rPr>
        <w:t xml:space="preserve">En la Región </w:t>
      </w:r>
      <w:r w:rsidR="00597F9B" w:rsidRPr="0061694A">
        <w:rPr>
          <w:lang w:val="es-ES"/>
        </w:rPr>
        <w:t xml:space="preserve">3: </w:t>
      </w:r>
      <w:r w:rsidR="00BE377D" w:rsidRPr="0061694A">
        <w:rPr>
          <w:lang w:val="es-ES"/>
        </w:rPr>
        <w:t xml:space="preserve">Método </w:t>
      </w:r>
      <w:r w:rsidR="00597F9B" w:rsidRPr="0061694A">
        <w:rPr>
          <w:lang w:val="es-ES"/>
        </w:rPr>
        <w:t>D2, Alternativ</w:t>
      </w:r>
      <w:r w:rsidR="00BE377D" w:rsidRPr="0061694A">
        <w:rPr>
          <w:lang w:val="es-ES"/>
        </w:rPr>
        <w:t>a</w:t>
      </w:r>
      <w:r w:rsidR="00597F9B" w:rsidRPr="0061694A">
        <w:rPr>
          <w:lang w:val="es-ES"/>
        </w:rPr>
        <w:t xml:space="preserve"> 2, </w:t>
      </w:r>
      <w:r w:rsidR="00BE377D" w:rsidRPr="0061694A">
        <w:rPr>
          <w:lang w:val="es-ES"/>
        </w:rPr>
        <w:t>Condición</w:t>
      </w:r>
      <w:r w:rsidR="00597F9B" w:rsidRPr="0061694A">
        <w:rPr>
          <w:lang w:val="es-ES"/>
        </w:rPr>
        <w:t xml:space="preserve"> D2a </w:t>
      </w:r>
      <w:r w:rsidR="00BE377D" w:rsidRPr="0061694A">
        <w:rPr>
          <w:lang w:val="es-ES"/>
        </w:rPr>
        <w:t>Opción</w:t>
      </w:r>
      <w:r w:rsidR="00597F9B" w:rsidRPr="0061694A">
        <w:rPr>
          <w:lang w:val="es-ES"/>
        </w:rPr>
        <w:t xml:space="preserve"> 1</w:t>
      </w:r>
    </w:p>
    <w:p w14:paraId="4076C0A5" w14:textId="2D928E11" w:rsidR="00597F9B" w:rsidRPr="0061694A" w:rsidRDefault="00BE377D" w:rsidP="00DA653B">
      <w:pPr>
        <w:rPr>
          <w:lang w:val="es-ES"/>
        </w:rPr>
      </w:pPr>
      <w:r w:rsidRPr="0061694A">
        <w:rPr>
          <w:lang w:val="es-ES"/>
        </w:rPr>
        <w:t xml:space="preserve">En la banda </w:t>
      </w:r>
      <w:r w:rsidR="00597F9B" w:rsidRPr="0061694A">
        <w:rPr>
          <w:lang w:val="es-ES"/>
        </w:rPr>
        <w:t>42</w:t>
      </w:r>
      <w:r w:rsidR="003A6D97" w:rsidRPr="0061694A">
        <w:rPr>
          <w:lang w:val="es-ES"/>
        </w:rPr>
        <w:t>,</w:t>
      </w:r>
      <w:r w:rsidR="00597F9B" w:rsidRPr="0061694A">
        <w:rPr>
          <w:lang w:val="es-ES"/>
        </w:rPr>
        <w:t>5-43</w:t>
      </w:r>
      <w:r w:rsidR="003A6D97" w:rsidRPr="0061694A">
        <w:rPr>
          <w:lang w:val="es-ES"/>
        </w:rPr>
        <w:t>,</w:t>
      </w:r>
      <w:r w:rsidR="00597F9B" w:rsidRPr="0061694A">
        <w:rPr>
          <w:lang w:val="es-ES"/>
        </w:rPr>
        <w:t>5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>GHz:</w:t>
      </w:r>
    </w:p>
    <w:p w14:paraId="26C943E6" w14:textId="2392C764" w:rsidR="00597F9B" w:rsidRPr="0061694A" w:rsidRDefault="00DA653B" w:rsidP="00DA653B">
      <w:pPr>
        <w:pStyle w:val="enumlev1"/>
        <w:rPr>
          <w:lang w:val="es-ES"/>
        </w:rPr>
      </w:pPr>
      <w:r w:rsidRPr="00DA653B">
        <w:rPr>
          <w:lang w:val="es-ES"/>
        </w:rPr>
        <w:t>–</w:t>
      </w:r>
      <w:r>
        <w:rPr>
          <w:lang w:val="es-ES"/>
        </w:rPr>
        <w:tab/>
      </w:r>
      <w:r w:rsidR="00BE377D" w:rsidRPr="0061694A">
        <w:rPr>
          <w:lang w:val="es-ES"/>
        </w:rPr>
        <w:t>En la Región</w:t>
      </w:r>
      <w:r>
        <w:rPr>
          <w:lang w:val="es-ES"/>
        </w:rPr>
        <w:t> </w:t>
      </w:r>
      <w:r w:rsidR="00597F9B" w:rsidRPr="0061694A">
        <w:rPr>
          <w:lang w:val="es-ES"/>
        </w:rPr>
        <w:t xml:space="preserve">3: </w:t>
      </w:r>
      <w:r w:rsidR="00BE377D" w:rsidRPr="0061694A">
        <w:rPr>
          <w:lang w:val="es-ES"/>
        </w:rPr>
        <w:t xml:space="preserve">Se necesita el Método </w:t>
      </w:r>
      <w:r w:rsidR="00597F9B" w:rsidRPr="0061694A">
        <w:rPr>
          <w:lang w:val="es-ES"/>
        </w:rPr>
        <w:t xml:space="preserve">E2, </w:t>
      </w:r>
      <w:r w:rsidR="00BE377D" w:rsidRPr="0061694A">
        <w:rPr>
          <w:lang w:val="es-ES"/>
        </w:rPr>
        <w:t>Condición</w:t>
      </w:r>
      <w:r w:rsidR="00597F9B" w:rsidRPr="0061694A">
        <w:rPr>
          <w:lang w:val="es-ES"/>
        </w:rPr>
        <w:t xml:space="preserve"> E2a </w:t>
      </w:r>
      <w:r w:rsidR="00BE377D" w:rsidRPr="0061694A">
        <w:rPr>
          <w:lang w:val="es-ES"/>
        </w:rPr>
        <w:t xml:space="preserve">Opción </w:t>
      </w:r>
      <w:r w:rsidR="00597F9B" w:rsidRPr="0061694A">
        <w:rPr>
          <w:lang w:val="es-ES"/>
        </w:rPr>
        <w:t>2 (</w:t>
      </w:r>
      <w:r w:rsidR="00BE377D" w:rsidRPr="0061694A">
        <w:rPr>
          <w:lang w:val="es-ES"/>
        </w:rPr>
        <w:t>con</w:t>
      </w:r>
      <w:r w:rsidR="00597F9B" w:rsidRPr="0061694A">
        <w:rPr>
          <w:lang w:val="es-ES"/>
        </w:rPr>
        <w:t xml:space="preserve"> 37</w:t>
      </w:r>
      <w:r>
        <w:rPr>
          <w:lang w:val="es-ES"/>
        </w:rPr>
        <w:t> </w:t>
      </w:r>
      <w:r w:rsidR="00597F9B" w:rsidRPr="0061694A">
        <w:rPr>
          <w:lang w:val="es-ES"/>
        </w:rPr>
        <w:t>dBm/200</w:t>
      </w:r>
      <w:r>
        <w:rPr>
          <w:lang w:val="es-ES"/>
        </w:rPr>
        <w:t> </w:t>
      </w:r>
      <w:r w:rsidR="00597F9B" w:rsidRPr="0061694A">
        <w:rPr>
          <w:lang w:val="es-ES"/>
        </w:rPr>
        <w:t xml:space="preserve">MHz), </w:t>
      </w:r>
      <w:r w:rsidR="00BE377D" w:rsidRPr="0061694A">
        <w:rPr>
          <w:lang w:val="es-ES"/>
        </w:rPr>
        <w:t>Condición</w:t>
      </w:r>
      <w:r w:rsidR="00597F9B" w:rsidRPr="0061694A">
        <w:rPr>
          <w:lang w:val="es-ES"/>
        </w:rPr>
        <w:t xml:space="preserve"> E2c </w:t>
      </w:r>
      <w:r w:rsidR="00BE377D" w:rsidRPr="0061694A">
        <w:rPr>
          <w:lang w:val="es-ES"/>
        </w:rPr>
        <w:t>Opción</w:t>
      </w:r>
      <w:r w:rsidR="00597F9B" w:rsidRPr="0061694A">
        <w:rPr>
          <w:lang w:val="es-ES"/>
        </w:rPr>
        <w:t xml:space="preserve"> 3 o 4 </w:t>
      </w:r>
      <w:r w:rsidR="00BE377D" w:rsidRPr="0061694A">
        <w:rPr>
          <w:lang w:val="es-ES"/>
        </w:rPr>
        <w:t>y</w:t>
      </w:r>
      <w:r w:rsidR="00597F9B" w:rsidRPr="0061694A">
        <w:rPr>
          <w:lang w:val="es-ES"/>
        </w:rPr>
        <w:t xml:space="preserve"> </w:t>
      </w:r>
      <w:r w:rsidR="00BE377D" w:rsidRPr="0061694A">
        <w:rPr>
          <w:lang w:val="es-ES"/>
        </w:rPr>
        <w:t>Condición</w:t>
      </w:r>
      <w:r w:rsidR="00597F9B" w:rsidRPr="0061694A">
        <w:rPr>
          <w:lang w:val="es-ES"/>
        </w:rPr>
        <w:t xml:space="preserve"> E2d </w:t>
      </w:r>
      <w:r w:rsidR="00BE377D" w:rsidRPr="0061694A">
        <w:rPr>
          <w:lang w:val="es-ES"/>
        </w:rPr>
        <w:t>Opción</w:t>
      </w:r>
      <w:r w:rsidR="00597F9B" w:rsidRPr="0061694A">
        <w:rPr>
          <w:lang w:val="es-ES"/>
        </w:rPr>
        <w:t xml:space="preserve"> 1.</w:t>
      </w:r>
    </w:p>
    <w:p w14:paraId="04AA4C17" w14:textId="332E748E" w:rsidR="00597F9B" w:rsidRPr="0061694A" w:rsidRDefault="003A6D97" w:rsidP="00DA653B">
      <w:pPr>
        <w:rPr>
          <w:color w:val="000000"/>
          <w:lang w:val="es-ES"/>
        </w:rPr>
      </w:pPr>
      <w:r w:rsidRPr="0061694A">
        <w:rPr>
          <w:lang w:val="es-ES"/>
        </w:rPr>
        <w:lastRenderedPageBreak/>
        <w:t xml:space="preserve">Los Métodos deben considerarse en conjunto con el Proyecto de nueva Resolución </w:t>
      </w:r>
      <w:r w:rsidR="00597F9B" w:rsidRPr="0061694A">
        <w:rPr>
          <w:b/>
          <w:bCs/>
          <w:lang w:val="es-ES"/>
        </w:rPr>
        <w:t>[B113-IMT 40/50</w:t>
      </w:r>
      <w:r w:rsidR="00526D0E">
        <w:rPr>
          <w:b/>
          <w:bCs/>
          <w:lang w:val="es-ES"/>
        </w:rPr>
        <w:t xml:space="preserve"> </w:t>
      </w:r>
      <w:r w:rsidR="00597F9B" w:rsidRPr="0061694A">
        <w:rPr>
          <w:b/>
          <w:bCs/>
          <w:lang w:val="es-ES"/>
        </w:rPr>
        <w:t>GHZ] (</w:t>
      </w:r>
      <w:r w:rsidRPr="0061694A">
        <w:rPr>
          <w:b/>
          <w:bCs/>
          <w:lang w:val="es-ES"/>
        </w:rPr>
        <w:t>CMR</w:t>
      </w:r>
      <w:r w:rsidR="00597F9B" w:rsidRPr="0061694A">
        <w:rPr>
          <w:b/>
          <w:bCs/>
          <w:lang w:val="es-ES"/>
        </w:rPr>
        <w:t>-19)</w:t>
      </w:r>
      <w:r w:rsidR="00597F9B" w:rsidRPr="0061694A">
        <w:rPr>
          <w:lang w:val="es-ES"/>
        </w:rPr>
        <w:t xml:space="preserve"> </w:t>
      </w:r>
      <w:r w:rsidRPr="0061694A">
        <w:rPr>
          <w:lang w:val="es-ES"/>
        </w:rPr>
        <w:t>del Informe de la RPC</w:t>
      </w:r>
      <w:r w:rsidR="00597F9B" w:rsidRPr="0061694A">
        <w:rPr>
          <w:lang w:val="es-ES"/>
        </w:rPr>
        <w:t>.</w:t>
      </w:r>
    </w:p>
    <w:p w14:paraId="6B34D2C0" w14:textId="2C47F3AC" w:rsidR="00597F9B" w:rsidRPr="0061694A" w:rsidRDefault="00597F9B" w:rsidP="003A6D97">
      <w:pPr>
        <w:pStyle w:val="Headingb"/>
        <w:rPr>
          <w:lang w:val="es-ES"/>
        </w:rPr>
      </w:pPr>
      <w:r w:rsidRPr="0061694A">
        <w:rPr>
          <w:lang w:val="es-ES"/>
        </w:rPr>
        <w:t>Band</w:t>
      </w:r>
      <w:r w:rsidR="003A6D97" w:rsidRPr="0061694A">
        <w:rPr>
          <w:lang w:val="es-ES"/>
        </w:rPr>
        <w:t>a</w:t>
      </w:r>
      <w:r w:rsidRPr="0061694A">
        <w:rPr>
          <w:lang w:val="es-ES"/>
        </w:rPr>
        <w:t>s 47</w:t>
      </w:r>
      <w:r w:rsidR="003A6D97" w:rsidRPr="0061694A">
        <w:rPr>
          <w:lang w:val="es-ES"/>
        </w:rPr>
        <w:t>,</w:t>
      </w:r>
      <w:r w:rsidRPr="0061694A">
        <w:rPr>
          <w:lang w:val="es-ES"/>
        </w:rPr>
        <w:t>2-50</w:t>
      </w:r>
      <w:r w:rsidR="003A6D97" w:rsidRPr="0061694A">
        <w:rPr>
          <w:lang w:val="es-ES"/>
        </w:rPr>
        <w:t>,</w:t>
      </w:r>
      <w:r w:rsidRPr="0061694A">
        <w:rPr>
          <w:lang w:val="es-ES"/>
        </w:rPr>
        <w:t>2</w:t>
      </w:r>
      <w:r w:rsidR="00DA653B">
        <w:rPr>
          <w:lang w:val="es-ES"/>
        </w:rPr>
        <w:t> </w:t>
      </w:r>
      <w:r w:rsidRPr="0061694A">
        <w:rPr>
          <w:lang w:val="es-ES"/>
        </w:rPr>
        <w:t xml:space="preserve">GHz </w:t>
      </w:r>
      <w:r w:rsidR="003A6D97" w:rsidRPr="0061694A">
        <w:rPr>
          <w:lang w:val="es-ES"/>
        </w:rPr>
        <w:t>y</w:t>
      </w:r>
      <w:r w:rsidRPr="0061694A">
        <w:rPr>
          <w:lang w:val="es-ES"/>
        </w:rPr>
        <w:t xml:space="preserve"> 50</w:t>
      </w:r>
      <w:r w:rsidR="003A6D97" w:rsidRPr="0061694A">
        <w:rPr>
          <w:lang w:val="es-ES"/>
        </w:rPr>
        <w:t>,</w:t>
      </w:r>
      <w:r w:rsidRPr="0061694A">
        <w:rPr>
          <w:lang w:val="es-ES"/>
        </w:rPr>
        <w:t>4-52</w:t>
      </w:r>
      <w:r w:rsidR="003A6D97" w:rsidRPr="0061694A">
        <w:rPr>
          <w:lang w:val="es-ES"/>
        </w:rPr>
        <w:t>,</w:t>
      </w:r>
      <w:r w:rsidRPr="0061694A">
        <w:rPr>
          <w:lang w:val="es-ES"/>
        </w:rPr>
        <w:t>6</w:t>
      </w:r>
      <w:r w:rsidR="00DA653B">
        <w:rPr>
          <w:lang w:val="es-ES"/>
        </w:rPr>
        <w:t> </w:t>
      </w:r>
      <w:r w:rsidRPr="0061694A">
        <w:rPr>
          <w:lang w:val="es-ES"/>
        </w:rPr>
        <w:t>GHz</w:t>
      </w:r>
    </w:p>
    <w:p w14:paraId="6485FCFE" w14:textId="7348747A" w:rsidR="00597F9B" w:rsidRPr="0061694A" w:rsidRDefault="003A6D97" w:rsidP="003A6D97">
      <w:pPr>
        <w:rPr>
          <w:lang w:val="es-ES"/>
        </w:rPr>
      </w:pPr>
      <w:r w:rsidRPr="0061694A">
        <w:rPr>
          <w:lang w:val="es-ES"/>
        </w:rPr>
        <w:t xml:space="preserve">Habida cuenta de que se soportan grandes cantidades de espectro para su identificación para las IMT en otras bandas, se recomiendan no realizar cambios en el RR en las bandas </w:t>
      </w:r>
      <w:r w:rsidR="00597F9B" w:rsidRPr="0061694A">
        <w:rPr>
          <w:lang w:val="es-ES"/>
        </w:rPr>
        <w:t>47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 –50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y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>50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4-52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6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>GHz.</w:t>
      </w:r>
    </w:p>
    <w:p w14:paraId="03479630" w14:textId="123451AF" w:rsidR="00597F9B" w:rsidRPr="0061694A" w:rsidRDefault="003A6D97" w:rsidP="003A6D97">
      <w:pPr>
        <w:rPr>
          <w:lang w:val="es-ES"/>
        </w:rPr>
      </w:pPr>
      <w:r w:rsidRPr="0061694A">
        <w:rPr>
          <w:lang w:val="es-ES"/>
        </w:rPr>
        <w:t xml:space="preserve">En lo que respecta al Informe de la RPC y sus Métodos, apoyamos: </w:t>
      </w:r>
    </w:p>
    <w:p w14:paraId="6C5950DA" w14:textId="462E1FD5" w:rsidR="00597F9B" w:rsidRPr="0061694A" w:rsidRDefault="003A6D97" w:rsidP="00DA653B">
      <w:pPr>
        <w:rPr>
          <w:bCs/>
          <w:lang w:val="es-ES"/>
        </w:rPr>
      </w:pPr>
      <w:r w:rsidRPr="0061694A">
        <w:rPr>
          <w:lang w:val="es-ES"/>
        </w:rPr>
        <w:t>Métodos</w:t>
      </w:r>
      <w:r w:rsidR="00597F9B" w:rsidRPr="0061694A">
        <w:rPr>
          <w:lang w:val="es-ES"/>
        </w:rPr>
        <w:t xml:space="preserve"> H1 </w:t>
      </w:r>
      <w:r w:rsidR="00893DC9">
        <w:rPr>
          <w:lang w:val="es-ES"/>
        </w:rPr>
        <w:t>e</w:t>
      </w:r>
      <w:r w:rsidR="00597F9B" w:rsidRPr="0061694A">
        <w:rPr>
          <w:lang w:val="es-ES"/>
        </w:rPr>
        <w:t xml:space="preserve"> I1 (NOC) </w:t>
      </w:r>
      <w:r w:rsidRPr="0061694A">
        <w:rPr>
          <w:lang w:val="es-ES"/>
        </w:rPr>
        <w:t>para las bandas</w:t>
      </w:r>
      <w:r w:rsidR="00597F9B" w:rsidRPr="0061694A">
        <w:rPr>
          <w:lang w:val="es-ES"/>
        </w:rPr>
        <w:t xml:space="preserve"> 47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2-50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2</w:t>
      </w:r>
      <w:r w:rsidR="00DA653B">
        <w:rPr>
          <w:lang w:val="es-ES"/>
        </w:rPr>
        <w:t xml:space="preserve"> 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y</w:t>
      </w:r>
      <w:r w:rsidR="00597F9B" w:rsidRPr="0061694A">
        <w:rPr>
          <w:lang w:val="es-ES"/>
        </w:rPr>
        <w:t xml:space="preserve"> 50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4-52</w:t>
      </w:r>
      <w:r w:rsidRPr="0061694A">
        <w:rPr>
          <w:lang w:val="es-ES"/>
        </w:rPr>
        <w:t>,</w:t>
      </w:r>
      <w:r w:rsidR="00597F9B" w:rsidRPr="0061694A">
        <w:rPr>
          <w:lang w:val="es-ES"/>
        </w:rPr>
        <w:t>6</w:t>
      </w:r>
      <w:r w:rsidR="00DA653B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>respectivamente</w:t>
      </w:r>
      <w:r w:rsidR="00597F9B" w:rsidRPr="0061694A">
        <w:rPr>
          <w:b/>
          <w:lang w:val="es-ES"/>
        </w:rPr>
        <w:t>.</w:t>
      </w:r>
    </w:p>
    <w:p w14:paraId="74565FF3" w14:textId="66AA89C8" w:rsidR="00597F9B" w:rsidRPr="0061694A" w:rsidRDefault="00597F9B" w:rsidP="003A6D97">
      <w:pPr>
        <w:pStyle w:val="Headingb"/>
        <w:keepLines/>
        <w:rPr>
          <w:lang w:val="es-ES"/>
        </w:rPr>
      </w:pPr>
      <w:r w:rsidRPr="0061694A">
        <w:rPr>
          <w:lang w:val="es-ES"/>
        </w:rPr>
        <w:t>Band</w:t>
      </w:r>
      <w:r w:rsidR="003A6D97" w:rsidRPr="0061694A">
        <w:rPr>
          <w:lang w:val="es-ES"/>
        </w:rPr>
        <w:t>a</w:t>
      </w:r>
      <w:r w:rsidRPr="0061694A">
        <w:rPr>
          <w:lang w:val="es-ES"/>
        </w:rPr>
        <w:t xml:space="preserve"> 66-71</w:t>
      </w:r>
      <w:r w:rsidR="00DA653B">
        <w:rPr>
          <w:lang w:val="es-ES"/>
        </w:rPr>
        <w:t> </w:t>
      </w:r>
      <w:r w:rsidRPr="0061694A">
        <w:rPr>
          <w:lang w:val="es-ES"/>
        </w:rPr>
        <w:t>GHz</w:t>
      </w:r>
    </w:p>
    <w:p w14:paraId="30ABF19A" w14:textId="09BAA900" w:rsidR="00597F9B" w:rsidRPr="0061694A" w:rsidRDefault="003A6D97" w:rsidP="003A6D97">
      <w:pPr>
        <w:rPr>
          <w:lang w:val="es-ES"/>
        </w:rPr>
      </w:pPr>
      <w:r w:rsidRPr="0061694A">
        <w:rPr>
          <w:lang w:val="es-ES"/>
        </w:rPr>
        <w:t xml:space="preserve">La identificación para las IMT mediante el Método </w:t>
      </w:r>
      <w:r w:rsidR="00597F9B" w:rsidRPr="0061694A">
        <w:rPr>
          <w:lang w:val="es-ES"/>
        </w:rPr>
        <w:t>J2 (</w:t>
      </w:r>
      <w:r w:rsidRPr="0061694A">
        <w:rPr>
          <w:lang w:val="es-ES"/>
        </w:rPr>
        <w:t>tanto alternativa</w:t>
      </w:r>
      <w:r w:rsidR="00597F9B" w:rsidRPr="0061694A">
        <w:rPr>
          <w:lang w:val="es-ES"/>
        </w:rPr>
        <w:t xml:space="preserve"> 1 </w:t>
      </w:r>
      <w:r w:rsidRPr="0061694A">
        <w:rPr>
          <w:lang w:val="es-ES"/>
        </w:rPr>
        <w:t>como</w:t>
      </w:r>
      <w:r w:rsidR="00597F9B" w:rsidRPr="0061694A">
        <w:rPr>
          <w:lang w:val="es-ES"/>
        </w:rPr>
        <w:t xml:space="preserve"> 2) </w:t>
      </w:r>
      <w:r w:rsidRPr="0061694A">
        <w:rPr>
          <w:lang w:val="es-ES"/>
        </w:rPr>
        <w:t xml:space="preserve">con las condiciones del proyecto de nueva Resolución </w:t>
      </w:r>
      <w:r w:rsidR="00597F9B" w:rsidRPr="0061694A">
        <w:rPr>
          <w:b/>
          <w:bCs/>
          <w:lang w:val="es-ES"/>
        </w:rPr>
        <w:t xml:space="preserve">[C113-IMT </w:t>
      </w:r>
      <w:r w:rsidR="00597F9B" w:rsidRPr="009572CF">
        <w:rPr>
          <w:b/>
          <w:bCs/>
          <w:lang w:val="es-ES"/>
        </w:rPr>
        <w:t>66/71GHZ</w:t>
      </w:r>
      <w:r w:rsidR="00597F9B" w:rsidRPr="0061694A">
        <w:rPr>
          <w:b/>
          <w:bCs/>
          <w:lang w:val="es-ES"/>
        </w:rPr>
        <w:t>] (</w:t>
      </w:r>
      <w:r w:rsidRPr="0061694A">
        <w:rPr>
          <w:b/>
          <w:bCs/>
          <w:lang w:val="es-ES"/>
        </w:rPr>
        <w:t>CMR</w:t>
      </w:r>
      <w:r w:rsidR="00597F9B" w:rsidRPr="0061694A">
        <w:rPr>
          <w:b/>
          <w:bCs/>
          <w:lang w:val="es-ES"/>
        </w:rPr>
        <w:t>-19)</w:t>
      </w:r>
      <w:r w:rsidR="00597F9B" w:rsidRPr="0061694A">
        <w:rPr>
          <w:lang w:val="es-ES"/>
        </w:rPr>
        <w:t>.</w:t>
      </w:r>
    </w:p>
    <w:p w14:paraId="4211512D" w14:textId="0D21DF08" w:rsidR="00597F9B" w:rsidRPr="0061694A" w:rsidRDefault="00597F9B" w:rsidP="003A6D97">
      <w:pPr>
        <w:pStyle w:val="Headingb"/>
        <w:rPr>
          <w:lang w:val="es-ES"/>
        </w:rPr>
      </w:pPr>
      <w:r w:rsidRPr="0061694A">
        <w:rPr>
          <w:lang w:val="es-ES"/>
        </w:rPr>
        <w:t>Band</w:t>
      </w:r>
      <w:r w:rsidR="003A6D97" w:rsidRPr="0061694A">
        <w:rPr>
          <w:lang w:val="es-ES"/>
        </w:rPr>
        <w:t>a</w:t>
      </w:r>
      <w:r w:rsidRPr="0061694A">
        <w:rPr>
          <w:lang w:val="es-ES"/>
        </w:rPr>
        <w:t>s 71-76</w:t>
      </w:r>
      <w:r w:rsidR="00DA653B">
        <w:rPr>
          <w:lang w:val="es-ES"/>
        </w:rPr>
        <w:t> </w:t>
      </w:r>
      <w:r w:rsidRPr="0061694A">
        <w:rPr>
          <w:lang w:val="es-ES"/>
        </w:rPr>
        <w:t>GHz, 81-86</w:t>
      </w:r>
      <w:r w:rsidR="00DA653B">
        <w:rPr>
          <w:lang w:val="es-ES"/>
        </w:rPr>
        <w:t> </w:t>
      </w:r>
      <w:r w:rsidRPr="0061694A">
        <w:rPr>
          <w:lang w:val="es-ES"/>
        </w:rPr>
        <w:t>GHz</w:t>
      </w:r>
    </w:p>
    <w:p w14:paraId="2D6405F0" w14:textId="58F218B3" w:rsidR="00597F9B" w:rsidRPr="0061694A" w:rsidRDefault="003A6D97" w:rsidP="003A6D97">
      <w:pPr>
        <w:rPr>
          <w:lang w:val="es-ES"/>
        </w:rPr>
      </w:pPr>
      <w:r w:rsidRPr="0061694A">
        <w:rPr>
          <w:lang w:val="es-ES"/>
        </w:rPr>
        <w:t>La identificación para las IMT en estas bandas sería aceptable</w:t>
      </w:r>
      <w:r w:rsidR="00597F9B" w:rsidRPr="0061694A">
        <w:rPr>
          <w:lang w:val="es-ES"/>
        </w:rPr>
        <w:t xml:space="preserve">, </w:t>
      </w:r>
      <w:r w:rsidRPr="0061694A">
        <w:rPr>
          <w:lang w:val="es-ES"/>
        </w:rPr>
        <w:t xml:space="preserve">mediante el Método </w:t>
      </w:r>
      <w:r w:rsidR="00597F9B" w:rsidRPr="0061694A">
        <w:rPr>
          <w:lang w:val="es-ES"/>
        </w:rPr>
        <w:t>K2 (</w:t>
      </w:r>
      <w:r w:rsidRPr="0061694A">
        <w:rPr>
          <w:lang w:val="es-ES"/>
        </w:rPr>
        <w:t>tanto alternativa 1 como</w:t>
      </w:r>
      <w:r w:rsidR="00597F9B" w:rsidRPr="0061694A">
        <w:rPr>
          <w:lang w:val="es-ES"/>
        </w:rPr>
        <w:t xml:space="preserve"> 2) </w:t>
      </w:r>
      <w:r w:rsidRPr="0061694A">
        <w:rPr>
          <w:lang w:val="es-ES"/>
        </w:rPr>
        <w:t xml:space="preserve">en la banda de </w:t>
      </w:r>
      <w:r w:rsidR="00597F9B" w:rsidRPr="0061694A">
        <w:rPr>
          <w:lang w:val="es-ES"/>
        </w:rPr>
        <w:t>70</w:t>
      </w:r>
      <w:r w:rsidR="0020215B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 xml:space="preserve">y Método </w:t>
      </w:r>
      <w:r w:rsidR="00597F9B" w:rsidRPr="0061694A">
        <w:rPr>
          <w:lang w:val="es-ES"/>
        </w:rPr>
        <w:t>L2 (</w:t>
      </w:r>
      <w:r w:rsidRPr="0061694A">
        <w:rPr>
          <w:lang w:val="es-ES"/>
        </w:rPr>
        <w:t xml:space="preserve">tanto alternativa 1 como </w:t>
      </w:r>
      <w:r w:rsidR="00597F9B" w:rsidRPr="0061694A">
        <w:rPr>
          <w:lang w:val="es-ES"/>
        </w:rPr>
        <w:t xml:space="preserve">2) </w:t>
      </w:r>
      <w:r w:rsidRPr="0061694A">
        <w:rPr>
          <w:lang w:val="es-ES"/>
        </w:rPr>
        <w:t xml:space="preserve">en la banda de </w:t>
      </w:r>
      <w:r w:rsidR="00597F9B" w:rsidRPr="0061694A">
        <w:rPr>
          <w:lang w:val="es-ES"/>
        </w:rPr>
        <w:t>80</w:t>
      </w:r>
      <w:r w:rsidR="0020215B">
        <w:rPr>
          <w:lang w:val="es-ES"/>
        </w:rPr>
        <w:t> </w:t>
      </w:r>
      <w:r w:rsidR="00597F9B" w:rsidRPr="0061694A">
        <w:rPr>
          <w:lang w:val="es-ES"/>
        </w:rPr>
        <w:t xml:space="preserve">GHz </w:t>
      </w:r>
      <w:r w:rsidRPr="0061694A">
        <w:rPr>
          <w:lang w:val="es-ES"/>
        </w:rPr>
        <w:t xml:space="preserve">con las condiciones del proyecto de nueva Resolución </w:t>
      </w:r>
      <w:r w:rsidR="00597F9B" w:rsidRPr="0061694A">
        <w:rPr>
          <w:b/>
          <w:bCs/>
          <w:lang w:val="es-ES"/>
        </w:rPr>
        <w:t>[E113-</w:t>
      </w:r>
      <w:r w:rsidR="00597F9B" w:rsidRPr="009572CF">
        <w:rPr>
          <w:b/>
          <w:bCs/>
          <w:lang w:val="es-ES"/>
        </w:rPr>
        <w:t>IMT 70/80GHZ]</w:t>
      </w:r>
      <w:r w:rsidR="00597F9B" w:rsidRPr="0061694A">
        <w:rPr>
          <w:b/>
          <w:bCs/>
          <w:lang w:val="es-ES"/>
        </w:rPr>
        <w:t xml:space="preserve"> </w:t>
      </w:r>
      <w:r w:rsidR="0020215B">
        <w:rPr>
          <w:b/>
          <w:bCs/>
          <w:lang w:val="es-ES"/>
        </w:rPr>
        <w:br/>
      </w:r>
      <w:r w:rsidR="00597F9B" w:rsidRPr="0061694A">
        <w:rPr>
          <w:b/>
          <w:bCs/>
          <w:lang w:val="es-ES"/>
        </w:rPr>
        <w:t>(</w:t>
      </w:r>
      <w:r w:rsidRPr="0061694A">
        <w:rPr>
          <w:b/>
          <w:bCs/>
          <w:lang w:val="es-ES"/>
        </w:rPr>
        <w:t>CMR</w:t>
      </w:r>
      <w:r w:rsidR="00597F9B" w:rsidRPr="0061694A">
        <w:rPr>
          <w:b/>
          <w:bCs/>
          <w:lang w:val="es-ES"/>
        </w:rPr>
        <w:t>-19)</w:t>
      </w:r>
      <w:r w:rsidR="00597F9B" w:rsidRPr="0061694A">
        <w:rPr>
          <w:lang w:val="es-ES"/>
        </w:rPr>
        <w:t>.</w:t>
      </w:r>
    </w:p>
    <w:p w14:paraId="6EC13277" w14:textId="57908A51" w:rsidR="00597F9B" w:rsidRPr="0061694A" w:rsidRDefault="003A6D97" w:rsidP="003A6D97">
      <w:pPr>
        <w:pStyle w:val="Headingb"/>
        <w:rPr>
          <w:lang w:val="es-ES"/>
        </w:rPr>
      </w:pPr>
      <w:r w:rsidRPr="0061694A">
        <w:rPr>
          <w:lang w:val="es-ES"/>
        </w:rPr>
        <w:t>Otras</w:t>
      </w:r>
      <w:r w:rsidR="00597F9B" w:rsidRPr="0061694A">
        <w:rPr>
          <w:lang w:val="es-ES"/>
        </w:rPr>
        <w:t xml:space="preserve"> Band</w:t>
      </w:r>
      <w:r w:rsidRPr="0061694A">
        <w:rPr>
          <w:lang w:val="es-ES"/>
        </w:rPr>
        <w:t>a</w:t>
      </w:r>
      <w:r w:rsidR="00597F9B" w:rsidRPr="0061694A">
        <w:rPr>
          <w:lang w:val="es-ES"/>
        </w:rPr>
        <w:t>s</w:t>
      </w:r>
    </w:p>
    <w:p w14:paraId="04B9F7A5" w14:textId="162B38F6" w:rsidR="00597F9B" w:rsidRPr="0061694A" w:rsidRDefault="003A6D97" w:rsidP="0025293D">
      <w:pPr>
        <w:rPr>
          <w:lang w:val="es-ES"/>
        </w:rPr>
      </w:pPr>
      <w:r w:rsidRPr="0061694A">
        <w:rPr>
          <w:lang w:val="es-ES"/>
        </w:rPr>
        <w:t>Las bandas de frecuencias que no están incluidas en la</w:t>
      </w:r>
      <w:r w:rsidR="00597F9B" w:rsidRPr="0061694A">
        <w:rPr>
          <w:lang w:val="es-ES"/>
        </w:rPr>
        <w:t xml:space="preserve"> </w:t>
      </w:r>
      <w:r w:rsidR="00597F9B" w:rsidRPr="0061694A">
        <w:rPr>
          <w:b/>
          <w:lang w:val="es-ES"/>
        </w:rPr>
        <w:t>Resolu</w:t>
      </w:r>
      <w:r w:rsidRPr="0061694A">
        <w:rPr>
          <w:b/>
          <w:lang w:val="es-ES"/>
        </w:rPr>
        <w:t>ción</w:t>
      </w:r>
      <w:r w:rsidR="00597F9B" w:rsidRPr="0061694A">
        <w:rPr>
          <w:b/>
          <w:lang w:val="es-ES"/>
        </w:rPr>
        <w:t xml:space="preserve"> 238</w:t>
      </w:r>
      <w:r w:rsidR="00597F9B" w:rsidRPr="0061694A">
        <w:rPr>
          <w:lang w:val="es-ES"/>
        </w:rPr>
        <w:t xml:space="preserve"> (</w:t>
      </w:r>
      <w:r w:rsidRPr="0061694A">
        <w:rPr>
          <w:b/>
          <w:lang w:val="es-ES"/>
        </w:rPr>
        <w:t>CMR</w:t>
      </w:r>
      <w:r w:rsidR="00597F9B" w:rsidRPr="0061694A">
        <w:rPr>
          <w:b/>
          <w:lang w:val="es-ES"/>
        </w:rPr>
        <w:t>-15</w:t>
      </w:r>
      <w:r w:rsidR="00597F9B" w:rsidRPr="0061694A">
        <w:rPr>
          <w:lang w:val="es-ES"/>
        </w:rPr>
        <w:t xml:space="preserve">) </w:t>
      </w:r>
      <w:r w:rsidRPr="0061694A">
        <w:rPr>
          <w:lang w:val="es-ES"/>
        </w:rPr>
        <w:t>no deben considerarse en el punto</w:t>
      </w:r>
      <w:r w:rsidR="0020215B">
        <w:rPr>
          <w:lang w:val="es-ES"/>
        </w:rPr>
        <w:t> </w:t>
      </w:r>
      <w:r w:rsidRPr="0061694A">
        <w:rPr>
          <w:lang w:val="es-ES"/>
        </w:rPr>
        <w:t>1.13 del orden del día</w:t>
      </w:r>
      <w:r w:rsidR="00597F9B" w:rsidRPr="0061694A">
        <w:rPr>
          <w:lang w:val="es-ES"/>
        </w:rPr>
        <w:t>.</w:t>
      </w:r>
      <w:r w:rsidR="0061694A">
        <w:rPr>
          <w:lang w:val="es-ES"/>
        </w:rPr>
        <w:t xml:space="preserve"> </w:t>
      </w:r>
      <w:r w:rsidRPr="0061694A">
        <w:rPr>
          <w:lang w:val="es-ES"/>
        </w:rPr>
        <w:t>En</w:t>
      </w:r>
      <w:r w:rsidR="00597F9B" w:rsidRPr="0061694A">
        <w:rPr>
          <w:lang w:val="es-ES"/>
        </w:rPr>
        <w:t xml:space="preserve"> particular, </w:t>
      </w:r>
      <w:r w:rsidRPr="0061694A">
        <w:rPr>
          <w:lang w:val="es-ES"/>
        </w:rPr>
        <w:t>como se ha indicado anteriormente, el espectro dedicado a servicios espaciales actualmente en funcionamiento en todo el mundo y que est</w:t>
      </w:r>
      <w:r w:rsidR="0025293D" w:rsidRPr="0061694A">
        <w:rPr>
          <w:lang w:val="es-ES"/>
        </w:rPr>
        <w:t xml:space="preserve">á </w:t>
      </w:r>
      <w:r w:rsidRPr="0061694A">
        <w:rPr>
          <w:lang w:val="es-ES"/>
        </w:rPr>
        <w:t>fuera de</w:t>
      </w:r>
      <w:r w:rsidR="0025293D" w:rsidRPr="0061694A">
        <w:rPr>
          <w:lang w:val="es-ES"/>
        </w:rPr>
        <w:t xml:space="preserve"> </w:t>
      </w:r>
      <w:r w:rsidRPr="0061694A">
        <w:rPr>
          <w:lang w:val="es-ES"/>
        </w:rPr>
        <w:t>l</w:t>
      </w:r>
      <w:r w:rsidR="0025293D" w:rsidRPr="0061694A">
        <w:rPr>
          <w:lang w:val="es-ES"/>
        </w:rPr>
        <w:t>os</w:t>
      </w:r>
      <w:r w:rsidRPr="0061694A">
        <w:rPr>
          <w:lang w:val="es-ES"/>
        </w:rPr>
        <w:t xml:space="preserve"> alcance</w:t>
      </w:r>
      <w:r w:rsidR="0025293D" w:rsidRPr="0061694A">
        <w:rPr>
          <w:lang w:val="es-ES"/>
        </w:rPr>
        <w:t>s</w:t>
      </w:r>
      <w:r w:rsidRPr="0061694A">
        <w:rPr>
          <w:lang w:val="es-ES"/>
        </w:rPr>
        <w:t xml:space="preserve"> de la Resolución y el punto del orden del día no debe considerarse para las</w:t>
      </w:r>
      <w:r w:rsidR="00597F9B" w:rsidRPr="0061694A">
        <w:rPr>
          <w:lang w:val="es-ES"/>
        </w:rPr>
        <w:t xml:space="preserve"> IMT-2020/5G.</w:t>
      </w:r>
    </w:p>
    <w:p w14:paraId="4FABE944" w14:textId="3C581DB4" w:rsidR="00597F9B" w:rsidRPr="0061694A" w:rsidRDefault="00597F9B" w:rsidP="0020215B">
      <w:pPr>
        <w:pStyle w:val="Heading1"/>
        <w:rPr>
          <w:lang w:val="es-ES"/>
        </w:rPr>
      </w:pPr>
      <w:r w:rsidRPr="0061694A">
        <w:rPr>
          <w:lang w:val="es-ES"/>
        </w:rPr>
        <w:t>3</w:t>
      </w:r>
      <w:r w:rsidRPr="0061694A">
        <w:rPr>
          <w:lang w:val="es-ES"/>
        </w:rPr>
        <w:tab/>
      </w:r>
      <w:r w:rsidR="0025293D" w:rsidRPr="0020215B">
        <w:t>Propuesta</w:t>
      </w:r>
    </w:p>
    <w:p w14:paraId="6858AF1B" w14:textId="549B44A9" w:rsidR="0025293D" w:rsidRPr="0061694A" w:rsidRDefault="0025293D" w:rsidP="0025293D">
      <w:pPr>
        <w:rPr>
          <w:szCs w:val="24"/>
          <w:lang w:val="es-ES"/>
        </w:rPr>
      </w:pPr>
      <w:r w:rsidRPr="0061694A">
        <w:rPr>
          <w:szCs w:val="24"/>
          <w:lang w:val="es-ES"/>
        </w:rPr>
        <w:t>Las Administraciones de Samoa presentan respetuosamente las siguientes propuestas para el punto</w:t>
      </w:r>
      <w:r w:rsidR="0020215B">
        <w:rPr>
          <w:szCs w:val="24"/>
          <w:lang w:val="es-ES"/>
        </w:rPr>
        <w:t> </w:t>
      </w:r>
      <w:r w:rsidRPr="0061694A">
        <w:rPr>
          <w:szCs w:val="24"/>
          <w:lang w:val="es-ES"/>
        </w:rPr>
        <w:t>1.13 del orden del día. Se invita al APG a considerar la elaboración de una visión preliminar de la APT o una propuesta común preliminar, lo que sea pertinente, para el punto</w:t>
      </w:r>
      <w:r w:rsidR="0020215B">
        <w:rPr>
          <w:szCs w:val="24"/>
          <w:lang w:val="es-ES"/>
        </w:rPr>
        <w:t> </w:t>
      </w:r>
      <w:r w:rsidRPr="0061694A">
        <w:rPr>
          <w:szCs w:val="24"/>
          <w:lang w:val="es-ES"/>
        </w:rPr>
        <w:t>1.13 del orden del día de la CMR-19</w:t>
      </w:r>
      <w:r w:rsidR="00893DC9">
        <w:rPr>
          <w:szCs w:val="24"/>
          <w:lang w:val="es-ES"/>
        </w:rPr>
        <w:t>,</w:t>
      </w:r>
      <w:r w:rsidRPr="0061694A">
        <w:rPr>
          <w:szCs w:val="24"/>
          <w:lang w:val="es-ES"/>
        </w:rPr>
        <w:t xml:space="preserve"> en base a las propuestas descritas anteriormente y resumidas a continuación.</w:t>
      </w:r>
    </w:p>
    <w:p w14:paraId="38C2FD56" w14:textId="64F0BC08" w:rsidR="00597F9B" w:rsidRPr="0020215B" w:rsidRDefault="0025293D" w:rsidP="0020215B">
      <w:pPr>
        <w:pStyle w:val="Tabletitle"/>
        <w:spacing w:before="120"/>
        <w:rPr>
          <w:sz w:val="24"/>
          <w:szCs w:val="24"/>
          <w:lang w:val="es-ES"/>
        </w:rPr>
      </w:pPr>
      <w:r w:rsidRPr="0020215B">
        <w:rPr>
          <w:sz w:val="24"/>
          <w:szCs w:val="24"/>
          <w:lang w:val="es-ES"/>
        </w:rPr>
        <w:t xml:space="preserve">Resumen de propuestas para el punto 1.13 </w:t>
      </w:r>
      <w:r w:rsidR="0061694A" w:rsidRPr="0020215B">
        <w:rPr>
          <w:sz w:val="24"/>
          <w:szCs w:val="24"/>
          <w:lang w:val="es-ES"/>
        </w:rPr>
        <w:t>del orden</w:t>
      </w:r>
      <w:r w:rsidRPr="0020215B">
        <w:rPr>
          <w:sz w:val="24"/>
          <w:szCs w:val="24"/>
          <w:lang w:val="es-ES"/>
        </w:rPr>
        <w:t xml:space="preserve"> del día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1885"/>
        <w:gridCol w:w="1710"/>
        <w:gridCol w:w="5760"/>
      </w:tblGrid>
      <w:tr w:rsidR="00597F9B" w:rsidRPr="0061694A" w14:paraId="2A6A6A0C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167" w14:textId="29306E0D" w:rsidR="00597F9B" w:rsidRPr="0061694A" w:rsidRDefault="00597F9B" w:rsidP="0020215B">
            <w:pPr>
              <w:pStyle w:val="Tablehead"/>
              <w:rPr>
                <w:lang w:val="es-ES"/>
              </w:rPr>
            </w:pPr>
            <w:r w:rsidRPr="0061694A">
              <w:rPr>
                <w:lang w:val="es-ES"/>
              </w:rPr>
              <w:t>Band</w:t>
            </w:r>
            <w:r w:rsidR="0025293D" w:rsidRPr="0061694A">
              <w:rPr>
                <w:lang w:val="es-ES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900" w14:textId="77777777" w:rsidR="00597F9B" w:rsidRPr="0061694A" w:rsidRDefault="00597F9B" w:rsidP="0020215B">
            <w:pPr>
              <w:pStyle w:val="Tablehead"/>
              <w:rPr>
                <w:lang w:val="es-ES"/>
              </w:rPr>
            </w:pPr>
            <w:r w:rsidRPr="0061694A">
              <w:rPr>
                <w:lang w:val="es-ES"/>
              </w:rPr>
              <w:t>IMT-2020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4A8A" w14:textId="48103923" w:rsidR="00597F9B" w:rsidRPr="0061694A" w:rsidRDefault="0025293D" w:rsidP="0020215B">
            <w:pPr>
              <w:pStyle w:val="Tablehead"/>
              <w:rPr>
                <w:lang w:val="es-ES"/>
              </w:rPr>
            </w:pPr>
            <w:r w:rsidRPr="0061694A">
              <w:rPr>
                <w:lang w:val="es-ES"/>
              </w:rPr>
              <w:t>Informe de la RPC</w:t>
            </w:r>
          </w:p>
        </w:tc>
      </w:tr>
      <w:tr w:rsidR="00597F9B" w:rsidRPr="0061694A" w14:paraId="304EB7BC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700" w14:textId="737C643A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24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25-27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5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  <w:p w14:paraId="0FAC0046" w14:textId="77777777" w:rsidR="00597F9B" w:rsidRPr="0061694A" w:rsidRDefault="00597F9B" w:rsidP="0020215B">
            <w:pPr>
              <w:pStyle w:val="Tabletext"/>
              <w:rPr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25AA" w14:textId="4C73A33C" w:rsidR="00597F9B" w:rsidRPr="0061694A" w:rsidRDefault="0025293D" w:rsidP="00526D0E">
            <w:pPr>
              <w:pStyle w:val="Tabletext"/>
              <w:jc w:val="center"/>
              <w:rPr>
                <w:lang w:val="es-ES"/>
              </w:rPr>
            </w:pPr>
            <w:r w:rsidRPr="0061694A">
              <w:rPr>
                <w:lang w:val="es-ES"/>
              </w:rPr>
              <w:t>Si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95A" w14:textId="2FF5372F" w:rsidR="00597F9B" w:rsidRPr="0061694A" w:rsidRDefault="0025293D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Método</w:t>
            </w:r>
            <w:r w:rsidR="00597F9B" w:rsidRPr="0061694A">
              <w:rPr>
                <w:lang w:val="es-ES"/>
              </w:rPr>
              <w:t xml:space="preserve"> A2 (</w:t>
            </w:r>
            <w:r w:rsidRPr="0061694A">
              <w:rPr>
                <w:lang w:val="es-ES"/>
              </w:rPr>
              <w:t>Alternativa</w:t>
            </w:r>
            <w:r w:rsidR="00597F9B" w:rsidRPr="0061694A">
              <w:rPr>
                <w:lang w:val="es-ES"/>
              </w:rPr>
              <w:t xml:space="preserve"> 1 </w:t>
            </w:r>
            <w:r w:rsidRPr="0061694A">
              <w:rPr>
                <w:lang w:val="es-ES"/>
              </w:rPr>
              <w:t>o</w:t>
            </w:r>
            <w:r w:rsidR="00597F9B" w:rsidRPr="0061694A">
              <w:rPr>
                <w:lang w:val="es-ES"/>
              </w:rPr>
              <w:t xml:space="preserve"> 2), </w:t>
            </w:r>
            <w:r w:rsidRPr="0061694A">
              <w:rPr>
                <w:lang w:val="es-ES"/>
              </w:rPr>
              <w:t>sujeto a</w:t>
            </w:r>
            <w:r w:rsidR="00597F9B" w:rsidRPr="0061694A">
              <w:rPr>
                <w:lang w:val="es-ES"/>
              </w:rPr>
              <w:t>:</w:t>
            </w:r>
          </w:p>
          <w:p w14:paraId="50572F6E" w14:textId="72ED43CF" w:rsidR="00597F9B" w:rsidRPr="0061694A" w:rsidRDefault="0025293D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Condición</w:t>
            </w:r>
            <w:r w:rsidR="00597F9B" w:rsidRPr="0061694A">
              <w:rPr>
                <w:lang w:val="es-ES"/>
              </w:rPr>
              <w:t xml:space="preserve"> A2d </w:t>
            </w:r>
            <w:r w:rsidRPr="0061694A">
              <w:rPr>
                <w:lang w:val="es-ES"/>
              </w:rPr>
              <w:t xml:space="preserve">Opción </w:t>
            </w:r>
            <w:r w:rsidR="00597F9B" w:rsidRPr="0061694A">
              <w:rPr>
                <w:lang w:val="es-ES"/>
              </w:rPr>
              <w:t>1</w:t>
            </w:r>
          </w:p>
          <w:p w14:paraId="3BC371B8" w14:textId="668CBC98" w:rsidR="00597F9B" w:rsidRPr="0061694A" w:rsidRDefault="0025293D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Condición</w:t>
            </w:r>
            <w:r w:rsidR="00597F9B" w:rsidRPr="0061694A">
              <w:rPr>
                <w:lang w:val="es-ES"/>
              </w:rPr>
              <w:t xml:space="preserve"> A2e </w:t>
            </w:r>
            <w:r w:rsidRPr="0061694A">
              <w:rPr>
                <w:lang w:val="es-ES"/>
              </w:rPr>
              <w:t>Opción</w:t>
            </w:r>
            <w:r w:rsidR="00597F9B" w:rsidRPr="0061694A">
              <w:rPr>
                <w:lang w:val="es-ES"/>
              </w:rPr>
              <w:t xml:space="preserve"> 3 (</w:t>
            </w:r>
            <w:r w:rsidRPr="0061694A">
              <w:rPr>
                <w:lang w:val="es-ES"/>
              </w:rPr>
              <w:t>con</w:t>
            </w:r>
            <w:r w:rsidR="00597F9B" w:rsidRPr="0061694A">
              <w:rPr>
                <w:lang w:val="es-ES"/>
              </w:rPr>
              <w:t xml:space="preserve"> 37</w:t>
            </w:r>
            <w:r w:rsidR="0020215B">
              <w:rPr>
                <w:lang w:val="es-ES"/>
              </w:rPr>
              <w:t> </w:t>
            </w:r>
            <w:r w:rsidR="00597F9B" w:rsidRPr="0061694A">
              <w:rPr>
                <w:lang w:val="es-ES"/>
              </w:rPr>
              <w:t>dBm/200</w:t>
            </w:r>
            <w:r w:rsidR="0020215B">
              <w:rPr>
                <w:lang w:val="es-ES"/>
              </w:rPr>
              <w:t> </w:t>
            </w:r>
            <w:r w:rsidR="00597F9B" w:rsidRPr="0061694A">
              <w:rPr>
                <w:lang w:val="es-ES"/>
              </w:rPr>
              <w:t>MHz)</w:t>
            </w:r>
          </w:p>
          <w:p w14:paraId="7B4F67D1" w14:textId="183A3F49" w:rsidR="00597F9B" w:rsidRPr="00526D0E" w:rsidRDefault="0025293D" w:rsidP="0020215B">
            <w:pPr>
              <w:pStyle w:val="Tabletext"/>
              <w:rPr>
                <w:bCs/>
                <w:iCs/>
                <w:lang w:val="es-ES"/>
              </w:rPr>
            </w:pPr>
            <w:r w:rsidRPr="0061694A">
              <w:rPr>
                <w:bCs/>
                <w:iCs/>
                <w:lang w:val="es-ES"/>
              </w:rPr>
              <w:t>Condición</w:t>
            </w:r>
            <w:r w:rsidR="00597F9B" w:rsidRPr="0061694A">
              <w:rPr>
                <w:bCs/>
                <w:iCs/>
                <w:lang w:val="es-ES"/>
              </w:rPr>
              <w:t xml:space="preserve"> A2g </w:t>
            </w:r>
            <w:r w:rsidRPr="0061694A">
              <w:rPr>
                <w:bCs/>
                <w:iCs/>
                <w:lang w:val="es-ES"/>
              </w:rPr>
              <w:t>Opción</w:t>
            </w:r>
            <w:r w:rsidR="00597F9B" w:rsidRPr="0061694A">
              <w:rPr>
                <w:bCs/>
                <w:iCs/>
                <w:lang w:val="es-ES"/>
              </w:rPr>
              <w:t xml:space="preserve"> 3 </w:t>
            </w:r>
            <w:r w:rsidRPr="0061694A">
              <w:rPr>
                <w:lang w:val="es-ES"/>
              </w:rPr>
              <w:t>o</w:t>
            </w:r>
            <w:r w:rsidR="00597F9B" w:rsidRPr="0061694A">
              <w:rPr>
                <w:lang w:val="es-ES"/>
              </w:rPr>
              <w:t xml:space="preserve"> 4</w:t>
            </w:r>
            <w:r w:rsidR="00597F9B" w:rsidRPr="0061694A">
              <w:rPr>
                <w:bCs/>
                <w:iCs/>
                <w:lang w:val="es-ES"/>
              </w:rPr>
              <w:t xml:space="preserve"> </w:t>
            </w:r>
            <w:bookmarkStart w:id="8" w:name="_Hlk15494439"/>
            <w:r w:rsidRPr="0061694A">
              <w:rPr>
                <w:bCs/>
                <w:iCs/>
                <w:lang w:val="es-ES"/>
              </w:rPr>
              <w:t>del</w:t>
            </w:r>
            <w:r w:rsidR="00597F9B" w:rsidRPr="0061694A">
              <w:rPr>
                <w:bCs/>
                <w:iCs/>
                <w:lang w:val="es-ES"/>
              </w:rPr>
              <w:t xml:space="preserve"> </w:t>
            </w:r>
            <w:r w:rsidRPr="0061694A">
              <w:rPr>
                <w:bCs/>
                <w:iCs/>
                <w:lang w:val="es-ES"/>
              </w:rPr>
              <w:t>proyecto de nueva Resolución</w:t>
            </w:r>
            <w:r w:rsidR="00597F9B" w:rsidRPr="0061694A">
              <w:rPr>
                <w:bCs/>
                <w:iCs/>
                <w:lang w:val="es-ES"/>
              </w:rPr>
              <w:t xml:space="preserve"> </w:t>
            </w:r>
            <w:r w:rsidR="00597F9B" w:rsidRPr="0061694A">
              <w:rPr>
                <w:b/>
                <w:iCs/>
                <w:lang w:val="es-ES"/>
              </w:rPr>
              <w:t>[A113-IMT 26</w:t>
            </w:r>
            <w:r w:rsidR="0020215B">
              <w:rPr>
                <w:b/>
                <w:iCs/>
                <w:lang w:val="es-ES"/>
              </w:rPr>
              <w:t> </w:t>
            </w:r>
            <w:r w:rsidR="00597F9B" w:rsidRPr="0061694A">
              <w:rPr>
                <w:b/>
                <w:iCs/>
                <w:lang w:val="es-ES"/>
              </w:rPr>
              <w:t>GHZ] (</w:t>
            </w:r>
            <w:r w:rsidR="00F85FB0" w:rsidRPr="0061694A">
              <w:rPr>
                <w:b/>
                <w:iCs/>
                <w:lang w:val="es-ES"/>
              </w:rPr>
              <w:t>CMR</w:t>
            </w:r>
            <w:r w:rsidR="00597F9B" w:rsidRPr="0061694A">
              <w:rPr>
                <w:b/>
                <w:iCs/>
                <w:lang w:val="es-ES"/>
              </w:rPr>
              <w:t>-19</w:t>
            </w:r>
            <w:bookmarkEnd w:id="8"/>
            <w:r w:rsidR="00597F9B" w:rsidRPr="0061694A">
              <w:rPr>
                <w:b/>
                <w:iCs/>
                <w:lang w:val="es-ES"/>
              </w:rPr>
              <w:t>)</w:t>
            </w:r>
          </w:p>
        </w:tc>
      </w:tr>
      <w:tr w:rsidR="00597F9B" w:rsidRPr="0061694A" w14:paraId="00714EAA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760C" w14:textId="45F16074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37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0-40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5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087" w14:textId="77777777" w:rsidR="00597F9B" w:rsidRPr="0061694A" w:rsidRDefault="00597F9B" w:rsidP="00526D0E">
            <w:pPr>
              <w:pStyle w:val="Tabletext"/>
              <w:jc w:val="center"/>
              <w:rPr>
                <w:lang w:val="es-ES"/>
              </w:rPr>
            </w:pPr>
            <w:r w:rsidRPr="0061694A">
              <w:rPr>
                <w:lang w:val="es-ES"/>
              </w:rPr>
              <w:t>No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089" w14:textId="44E9C869" w:rsidR="00597F9B" w:rsidRPr="0061694A" w:rsidRDefault="0061694A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Región</w:t>
            </w:r>
            <w:r w:rsidR="00597F9B" w:rsidRPr="0061694A">
              <w:rPr>
                <w:lang w:val="es-ES"/>
              </w:rPr>
              <w:t xml:space="preserve"> 3: </w:t>
            </w:r>
            <w:r w:rsidR="0025293D" w:rsidRPr="0061694A">
              <w:rPr>
                <w:lang w:val="es-ES"/>
              </w:rPr>
              <w:t>Método</w:t>
            </w:r>
            <w:r w:rsidR="00597F9B" w:rsidRPr="0061694A">
              <w:rPr>
                <w:lang w:val="es-ES"/>
              </w:rPr>
              <w:t xml:space="preserve"> C1 (</w:t>
            </w:r>
            <w:r w:rsidR="0025293D" w:rsidRPr="0061694A">
              <w:rPr>
                <w:lang w:val="es-ES"/>
              </w:rPr>
              <w:t>Sin cambios</w:t>
            </w:r>
            <w:r w:rsidR="00597F9B" w:rsidRPr="0061694A">
              <w:rPr>
                <w:lang w:val="es-ES"/>
              </w:rPr>
              <w:t>)</w:t>
            </w:r>
          </w:p>
          <w:p w14:paraId="3164BB47" w14:textId="7594FEAB" w:rsidR="00597F9B" w:rsidRPr="0061694A" w:rsidRDefault="0025293D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Proyecto de nueva Resolución</w:t>
            </w:r>
            <w:r w:rsidR="00597F9B" w:rsidRPr="0061694A">
              <w:rPr>
                <w:lang w:val="es-ES"/>
              </w:rPr>
              <w:t xml:space="preserve"> </w:t>
            </w:r>
            <w:r w:rsidR="00597F9B" w:rsidRPr="0061694A">
              <w:rPr>
                <w:b/>
                <w:lang w:val="es-ES"/>
              </w:rPr>
              <w:t>[</w:t>
            </w:r>
            <w:r w:rsidR="00597F9B" w:rsidRPr="0061694A">
              <w:rPr>
                <w:b/>
                <w:iCs/>
                <w:lang w:val="es-ES"/>
              </w:rPr>
              <w:t xml:space="preserve">B113-IMT </w:t>
            </w:r>
            <w:r w:rsidR="00597F9B" w:rsidRPr="009572CF">
              <w:rPr>
                <w:b/>
                <w:iCs/>
                <w:lang w:val="es-ES"/>
              </w:rPr>
              <w:t>40/50GHZ</w:t>
            </w:r>
            <w:r w:rsidR="00597F9B" w:rsidRPr="009572CF">
              <w:rPr>
                <w:b/>
                <w:lang w:val="es-ES"/>
              </w:rPr>
              <w:t>] (</w:t>
            </w:r>
            <w:r w:rsidR="00F85FB0" w:rsidRPr="009572CF">
              <w:rPr>
                <w:b/>
                <w:lang w:val="es-ES"/>
              </w:rPr>
              <w:t>CMR</w:t>
            </w:r>
            <w:r w:rsidR="00597F9B" w:rsidRPr="0061694A">
              <w:rPr>
                <w:b/>
                <w:lang w:val="es-ES"/>
              </w:rPr>
              <w:t>-19)</w:t>
            </w:r>
          </w:p>
        </w:tc>
      </w:tr>
      <w:tr w:rsidR="00597F9B" w:rsidRPr="0061694A" w14:paraId="1A0CA835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842" w14:textId="1064D9D9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40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5-42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5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FDCE" w14:textId="677E8086" w:rsidR="00597F9B" w:rsidRPr="0061694A" w:rsidRDefault="0020215B" w:rsidP="00526D0E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A528" w14:textId="2180D759" w:rsidR="00597F9B" w:rsidRPr="0061694A" w:rsidRDefault="0061694A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Región</w:t>
            </w:r>
            <w:r w:rsidR="00597F9B" w:rsidRPr="0061694A">
              <w:rPr>
                <w:lang w:val="es-ES"/>
              </w:rPr>
              <w:t xml:space="preserve"> 3: </w:t>
            </w:r>
            <w:r w:rsidR="0025293D" w:rsidRPr="0061694A">
              <w:rPr>
                <w:lang w:val="es-ES"/>
              </w:rPr>
              <w:t>Método</w:t>
            </w:r>
            <w:r w:rsidR="00597F9B" w:rsidRPr="0061694A">
              <w:rPr>
                <w:lang w:val="es-ES"/>
              </w:rPr>
              <w:t xml:space="preserve"> D2, </w:t>
            </w:r>
            <w:r w:rsidR="0025293D" w:rsidRPr="0061694A">
              <w:rPr>
                <w:lang w:val="es-ES"/>
              </w:rPr>
              <w:t>Alternativa</w:t>
            </w:r>
            <w:r w:rsidR="00597F9B" w:rsidRPr="0061694A">
              <w:rPr>
                <w:lang w:val="es-ES"/>
              </w:rPr>
              <w:t xml:space="preserve"> 2, </w:t>
            </w:r>
            <w:r w:rsidR="0025293D" w:rsidRPr="0061694A">
              <w:rPr>
                <w:lang w:val="es-ES"/>
              </w:rPr>
              <w:t>sujeto a</w:t>
            </w:r>
            <w:r w:rsidR="00597F9B" w:rsidRPr="0061694A">
              <w:rPr>
                <w:lang w:val="es-ES"/>
              </w:rPr>
              <w:t>:</w:t>
            </w:r>
          </w:p>
          <w:p w14:paraId="5B4BE578" w14:textId="7BCC1F6C" w:rsidR="00597F9B" w:rsidRPr="0061694A" w:rsidRDefault="0025293D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Condición</w:t>
            </w:r>
            <w:r w:rsidR="00597F9B" w:rsidRPr="0061694A">
              <w:rPr>
                <w:lang w:val="es-ES"/>
              </w:rPr>
              <w:t xml:space="preserve"> D2a, </w:t>
            </w:r>
            <w:r w:rsidRPr="0061694A">
              <w:rPr>
                <w:lang w:val="es-ES"/>
              </w:rPr>
              <w:t>Opción</w:t>
            </w:r>
            <w:r w:rsidR="00597F9B" w:rsidRPr="0061694A">
              <w:rPr>
                <w:lang w:val="es-ES"/>
              </w:rPr>
              <w:t xml:space="preserve"> 1</w:t>
            </w:r>
          </w:p>
          <w:p w14:paraId="09AF02D7" w14:textId="6FFACCB2" w:rsidR="00597F9B" w:rsidRPr="0061694A" w:rsidRDefault="0025293D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Proyecto de nueva Resolución</w:t>
            </w:r>
            <w:r w:rsidR="00597F9B" w:rsidRPr="0061694A">
              <w:rPr>
                <w:lang w:val="es-ES"/>
              </w:rPr>
              <w:t xml:space="preserve"> </w:t>
            </w:r>
            <w:r w:rsidR="00597F9B" w:rsidRPr="0061694A">
              <w:rPr>
                <w:b/>
                <w:bCs/>
                <w:lang w:val="es-ES"/>
              </w:rPr>
              <w:t>[</w:t>
            </w:r>
            <w:r w:rsidR="00597F9B" w:rsidRPr="0061694A">
              <w:rPr>
                <w:b/>
                <w:bCs/>
                <w:iCs/>
                <w:lang w:val="es-ES"/>
              </w:rPr>
              <w:t>B113-IM</w:t>
            </w:r>
            <w:r w:rsidR="00597F9B" w:rsidRPr="009572CF">
              <w:rPr>
                <w:b/>
                <w:bCs/>
                <w:iCs/>
                <w:lang w:val="es-ES"/>
              </w:rPr>
              <w:t>T 40/50GHZ</w:t>
            </w:r>
            <w:r w:rsidR="00597F9B" w:rsidRPr="0061694A">
              <w:rPr>
                <w:b/>
                <w:lang w:val="es-ES"/>
              </w:rPr>
              <w:t>] (</w:t>
            </w:r>
            <w:r w:rsidR="00F85FB0" w:rsidRPr="0061694A">
              <w:rPr>
                <w:b/>
                <w:lang w:val="es-ES"/>
              </w:rPr>
              <w:t>CMR</w:t>
            </w:r>
            <w:r w:rsidR="00597F9B" w:rsidRPr="0061694A">
              <w:rPr>
                <w:b/>
                <w:lang w:val="es-ES"/>
              </w:rPr>
              <w:t>-19)</w:t>
            </w:r>
          </w:p>
        </w:tc>
      </w:tr>
      <w:tr w:rsidR="00597F9B" w:rsidRPr="0061694A" w14:paraId="6C350A0E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B246" w14:textId="6AF1849A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42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5-43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5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A0A" w14:textId="7A1BCD60" w:rsidR="00597F9B" w:rsidRPr="0061694A" w:rsidRDefault="0020215B" w:rsidP="00526D0E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D69C" w14:textId="4EB41AC0" w:rsidR="00597F9B" w:rsidRPr="009572CF" w:rsidRDefault="0061694A" w:rsidP="0020215B">
            <w:pPr>
              <w:pStyle w:val="Tabletext"/>
              <w:rPr>
                <w:lang w:val="es-ES"/>
              </w:rPr>
            </w:pPr>
            <w:r w:rsidRPr="009572CF">
              <w:rPr>
                <w:lang w:val="es-ES"/>
              </w:rPr>
              <w:t>Región</w:t>
            </w:r>
            <w:r w:rsidR="00597F9B" w:rsidRPr="009572CF">
              <w:rPr>
                <w:lang w:val="es-ES"/>
              </w:rPr>
              <w:t xml:space="preserve"> 3: </w:t>
            </w:r>
            <w:r w:rsidR="0025293D" w:rsidRPr="009572CF">
              <w:rPr>
                <w:lang w:val="es-ES"/>
              </w:rPr>
              <w:t>Método</w:t>
            </w:r>
            <w:r w:rsidR="00597F9B" w:rsidRPr="009572CF">
              <w:rPr>
                <w:lang w:val="es-ES"/>
              </w:rPr>
              <w:t xml:space="preserve"> E2, </w:t>
            </w:r>
            <w:r w:rsidRPr="009572CF">
              <w:rPr>
                <w:lang w:val="es-ES"/>
              </w:rPr>
              <w:t>sujeto</w:t>
            </w:r>
            <w:r w:rsidR="00597F9B" w:rsidRPr="009572CF">
              <w:rPr>
                <w:lang w:val="es-ES"/>
              </w:rPr>
              <w:t xml:space="preserve"> </w:t>
            </w:r>
            <w:r w:rsidRPr="009572CF">
              <w:rPr>
                <w:lang w:val="es-ES"/>
              </w:rPr>
              <w:t>a</w:t>
            </w:r>
            <w:r w:rsidR="00597F9B" w:rsidRPr="009572CF">
              <w:rPr>
                <w:lang w:val="es-ES"/>
              </w:rPr>
              <w:t>:</w:t>
            </w:r>
          </w:p>
          <w:p w14:paraId="5863E242" w14:textId="5527C45D" w:rsidR="00597F9B" w:rsidRPr="009572CF" w:rsidRDefault="0025293D" w:rsidP="0020215B">
            <w:pPr>
              <w:pStyle w:val="Tabletext"/>
              <w:rPr>
                <w:lang w:val="es-ES"/>
              </w:rPr>
            </w:pPr>
            <w:r w:rsidRPr="009572CF">
              <w:rPr>
                <w:lang w:val="es-ES"/>
              </w:rPr>
              <w:t>Condición</w:t>
            </w:r>
            <w:r w:rsidR="00597F9B" w:rsidRPr="009572CF">
              <w:rPr>
                <w:lang w:val="es-ES"/>
              </w:rPr>
              <w:t xml:space="preserve"> E2a </w:t>
            </w:r>
            <w:r w:rsidRPr="009572CF">
              <w:rPr>
                <w:lang w:val="es-ES"/>
              </w:rPr>
              <w:t>Opción</w:t>
            </w:r>
            <w:r w:rsidR="00597F9B" w:rsidRPr="009572CF">
              <w:rPr>
                <w:lang w:val="es-ES"/>
              </w:rPr>
              <w:t xml:space="preserve"> 2 (</w:t>
            </w:r>
            <w:r w:rsidRPr="009572CF">
              <w:rPr>
                <w:lang w:val="es-ES"/>
              </w:rPr>
              <w:t>con</w:t>
            </w:r>
            <w:r w:rsidR="00597F9B" w:rsidRPr="009572CF">
              <w:rPr>
                <w:lang w:val="es-ES"/>
              </w:rPr>
              <w:t xml:space="preserve"> 37</w:t>
            </w:r>
            <w:r w:rsidR="0020215B" w:rsidRPr="009572CF">
              <w:rPr>
                <w:lang w:val="es-ES"/>
              </w:rPr>
              <w:t> </w:t>
            </w:r>
            <w:r w:rsidR="00597F9B" w:rsidRPr="009572CF">
              <w:rPr>
                <w:lang w:val="es-ES"/>
              </w:rPr>
              <w:t>dBm/200</w:t>
            </w:r>
            <w:r w:rsidR="0020215B" w:rsidRPr="009572CF">
              <w:rPr>
                <w:lang w:val="es-ES"/>
              </w:rPr>
              <w:t> </w:t>
            </w:r>
            <w:r w:rsidR="00597F9B" w:rsidRPr="009572CF">
              <w:rPr>
                <w:lang w:val="es-ES"/>
              </w:rPr>
              <w:t>MHz)</w:t>
            </w:r>
          </w:p>
          <w:p w14:paraId="0AEBD1AD" w14:textId="4AB6532E" w:rsidR="00597F9B" w:rsidRPr="009572CF" w:rsidRDefault="0025293D" w:rsidP="0020215B">
            <w:pPr>
              <w:pStyle w:val="Tabletext"/>
              <w:rPr>
                <w:lang w:val="es-ES"/>
              </w:rPr>
            </w:pPr>
            <w:r w:rsidRPr="009572CF">
              <w:rPr>
                <w:lang w:val="es-ES"/>
              </w:rPr>
              <w:t>Condición</w:t>
            </w:r>
            <w:r w:rsidR="00597F9B" w:rsidRPr="009572CF">
              <w:rPr>
                <w:lang w:val="es-ES"/>
              </w:rPr>
              <w:t xml:space="preserve"> E2c </w:t>
            </w:r>
            <w:r w:rsidRPr="009572CF">
              <w:rPr>
                <w:lang w:val="es-ES"/>
              </w:rPr>
              <w:t>Opción</w:t>
            </w:r>
            <w:r w:rsidR="00597F9B" w:rsidRPr="009572CF">
              <w:rPr>
                <w:lang w:val="es-ES"/>
              </w:rPr>
              <w:t xml:space="preserve"> 3 </w:t>
            </w:r>
            <w:r w:rsidRPr="009572CF">
              <w:rPr>
                <w:lang w:val="es-ES"/>
              </w:rPr>
              <w:t>o</w:t>
            </w:r>
            <w:r w:rsidR="00597F9B" w:rsidRPr="009572CF">
              <w:rPr>
                <w:lang w:val="es-ES"/>
              </w:rPr>
              <w:t xml:space="preserve"> 4</w:t>
            </w:r>
          </w:p>
          <w:p w14:paraId="13D78935" w14:textId="74D1248A" w:rsidR="00597F9B" w:rsidRPr="009572CF" w:rsidRDefault="0025293D" w:rsidP="0020215B">
            <w:pPr>
              <w:pStyle w:val="Tabletext"/>
              <w:rPr>
                <w:lang w:val="es-ES"/>
              </w:rPr>
            </w:pPr>
            <w:r w:rsidRPr="009572CF">
              <w:rPr>
                <w:lang w:val="es-ES"/>
              </w:rPr>
              <w:lastRenderedPageBreak/>
              <w:t>Condición</w:t>
            </w:r>
            <w:r w:rsidR="00597F9B" w:rsidRPr="009572CF">
              <w:rPr>
                <w:lang w:val="es-ES"/>
              </w:rPr>
              <w:t xml:space="preserve"> E2d </w:t>
            </w:r>
            <w:r w:rsidRPr="009572CF">
              <w:rPr>
                <w:lang w:val="es-ES"/>
              </w:rPr>
              <w:t>Opción</w:t>
            </w:r>
            <w:r w:rsidR="00597F9B" w:rsidRPr="009572CF">
              <w:rPr>
                <w:lang w:val="es-ES"/>
              </w:rPr>
              <w:t xml:space="preserve"> 1 </w:t>
            </w:r>
          </w:p>
          <w:p w14:paraId="4EB761F0" w14:textId="038BBC22" w:rsidR="00597F9B" w:rsidRPr="009572CF" w:rsidRDefault="0025293D" w:rsidP="0020215B">
            <w:pPr>
              <w:pStyle w:val="Tabletext"/>
              <w:rPr>
                <w:b/>
                <w:color w:val="000000"/>
                <w:lang w:val="es-ES"/>
              </w:rPr>
            </w:pPr>
            <w:r w:rsidRPr="009572CF">
              <w:rPr>
                <w:lang w:val="es-ES"/>
              </w:rPr>
              <w:t>Proyecto de nueva Resolución</w:t>
            </w:r>
            <w:r w:rsidR="00597F9B" w:rsidRPr="009572CF">
              <w:rPr>
                <w:lang w:val="es-ES"/>
              </w:rPr>
              <w:t xml:space="preserve"> </w:t>
            </w:r>
            <w:r w:rsidR="00597F9B" w:rsidRPr="009572CF">
              <w:rPr>
                <w:b/>
                <w:bCs/>
                <w:lang w:val="es-ES"/>
              </w:rPr>
              <w:t>[</w:t>
            </w:r>
            <w:r w:rsidR="00597F9B" w:rsidRPr="009572CF">
              <w:rPr>
                <w:b/>
                <w:bCs/>
                <w:iCs/>
                <w:lang w:val="es-ES"/>
              </w:rPr>
              <w:t>B113-IMT 40/50GHZ</w:t>
            </w:r>
            <w:r w:rsidR="00597F9B" w:rsidRPr="009572CF">
              <w:rPr>
                <w:b/>
                <w:lang w:val="es-ES"/>
              </w:rPr>
              <w:t>] (</w:t>
            </w:r>
            <w:r w:rsidR="00F85FB0" w:rsidRPr="009572CF">
              <w:rPr>
                <w:b/>
                <w:lang w:val="es-ES"/>
              </w:rPr>
              <w:t>CMR</w:t>
            </w:r>
            <w:r w:rsidR="00597F9B" w:rsidRPr="009572CF">
              <w:rPr>
                <w:b/>
                <w:lang w:val="es-ES"/>
              </w:rPr>
              <w:t>-19)</w:t>
            </w:r>
          </w:p>
        </w:tc>
      </w:tr>
      <w:tr w:rsidR="00597F9B" w:rsidRPr="0061694A" w14:paraId="4BA366BF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B12" w14:textId="63CD7BD6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lastRenderedPageBreak/>
              <w:t>47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2-50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2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CF3E" w14:textId="77777777" w:rsidR="00597F9B" w:rsidRPr="0061694A" w:rsidRDefault="00597F9B" w:rsidP="00526D0E">
            <w:pPr>
              <w:pStyle w:val="Tabletext"/>
              <w:jc w:val="center"/>
              <w:rPr>
                <w:lang w:val="es-ES"/>
              </w:rPr>
            </w:pPr>
            <w:r w:rsidRPr="0061694A">
              <w:rPr>
                <w:lang w:val="es-ES"/>
              </w:rPr>
              <w:t>No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EDD" w14:textId="1126C171" w:rsidR="00597F9B" w:rsidRPr="009572CF" w:rsidRDefault="0025293D" w:rsidP="0020215B">
            <w:pPr>
              <w:pStyle w:val="Tabletext"/>
              <w:rPr>
                <w:lang w:val="es-ES"/>
              </w:rPr>
            </w:pPr>
            <w:r w:rsidRPr="009572CF">
              <w:rPr>
                <w:lang w:val="es-ES"/>
              </w:rPr>
              <w:t>Método</w:t>
            </w:r>
            <w:r w:rsidR="00597F9B" w:rsidRPr="009572CF">
              <w:rPr>
                <w:lang w:val="es-ES"/>
              </w:rPr>
              <w:t xml:space="preserve"> H1 (</w:t>
            </w:r>
            <w:r w:rsidRPr="009572CF">
              <w:rPr>
                <w:lang w:val="es-ES"/>
              </w:rPr>
              <w:t>Sin cambios</w:t>
            </w:r>
            <w:r w:rsidR="00597F9B" w:rsidRPr="009572CF">
              <w:rPr>
                <w:lang w:val="es-ES"/>
              </w:rPr>
              <w:t>)</w:t>
            </w:r>
          </w:p>
        </w:tc>
      </w:tr>
      <w:tr w:rsidR="00597F9B" w:rsidRPr="0061694A" w14:paraId="6886ABB2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8BA5" w14:textId="7BF686BA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50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4-52</w:t>
            </w:r>
            <w:r w:rsidR="0025293D" w:rsidRPr="0061694A">
              <w:rPr>
                <w:lang w:val="es-ES"/>
              </w:rPr>
              <w:t>,</w:t>
            </w:r>
            <w:r w:rsidRPr="0061694A">
              <w:rPr>
                <w:lang w:val="es-ES"/>
              </w:rPr>
              <w:t>6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61D" w14:textId="77777777" w:rsidR="00597F9B" w:rsidRPr="0061694A" w:rsidRDefault="00597F9B" w:rsidP="00526D0E">
            <w:pPr>
              <w:pStyle w:val="Tabletext"/>
              <w:jc w:val="center"/>
              <w:rPr>
                <w:lang w:val="es-ES"/>
              </w:rPr>
            </w:pPr>
            <w:r w:rsidRPr="0061694A">
              <w:rPr>
                <w:lang w:val="es-ES"/>
              </w:rPr>
              <w:t>No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F2F5" w14:textId="6D8DD334" w:rsidR="00597F9B" w:rsidRPr="009572CF" w:rsidRDefault="0025293D" w:rsidP="0020215B">
            <w:pPr>
              <w:pStyle w:val="Tabletext"/>
              <w:rPr>
                <w:lang w:val="es-ES"/>
              </w:rPr>
            </w:pPr>
            <w:r w:rsidRPr="009572CF">
              <w:rPr>
                <w:lang w:val="es-ES"/>
              </w:rPr>
              <w:t>Método</w:t>
            </w:r>
            <w:r w:rsidR="00597F9B" w:rsidRPr="009572CF">
              <w:rPr>
                <w:lang w:val="es-ES"/>
              </w:rPr>
              <w:t xml:space="preserve"> I1 (</w:t>
            </w:r>
            <w:r w:rsidRPr="009572CF">
              <w:rPr>
                <w:lang w:val="es-ES"/>
              </w:rPr>
              <w:t>Sin cambios</w:t>
            </w:r>
            <w:r w:rsidR="00597F9B" w:rsidRPr="009572CF">
              <w:rPr>
                <w:lang w:val="es-ES"/>
              </w:rPr>
              <w:t>)</w:t>
            </w:r>
          </w:p>
        </w:tc>
      </w:tr>
      <w:tr w:rsidR="00597F9B" w:rsidRPr="0061694A" w14:paraId="7D7C55D3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ADE6" w14:textId="58810359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66-71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090C" w14:textId="5C3E0FE4" w:rsidR="00597F9B" w:rsidRPr="0061694A" w:rsidRDefault="0020215B" w:rsidP="00526D0E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0FEA" w14:textId="22BD1462" w:rsidR="00597F9B" w:rsidRPr="009572CF" w:rsidRDefault="0025293D" w:rsidP="0020215B">
            <w:pPr>
              <w:pStyle w:val="Tabletext"/>
              <w:rPr>
                <w:rFonts w:asciiTheme="minorHAnsi" w:hAnsiTheme="minorHAnsi" w:cstheme="minorBidi"/>
                <w:lang w:val="es-ES"/>
              </w:rPr>
            </w:pPr>
            <w:r w:rsidRPr="009572CF">
              <w:rPr>
                <w:bCs/>
                <w:lang w:val="es-ES"/>
              </w:rPr>
              <w:t>Método</w:t>
            </w:r>
            <w:r w:rsidR="00597F9B" w:rsidRPr="009572CF">
              <w:rPr>
                <w:bCs/>
                <w:lang w:val="es-ES"/>
              </w:rPr>
              <w:t xml:space="preserve"> J2 (</w:t>
            </w:r>
            <w:r w:rsidRPr="009572CF">
              <w:rPr>
                <w:bCs/>
                <w:lang w:val="es-ES"/>
              </w:rPr>
              <w:t>Alternativa</w:t>
            </w:r>
            <w:r w:rsidR="00597F9B" w:rsidRPr="009572CF">
              <w:rPr>
                <w:bCs/>
                <w:lang w:val="es-ES"/>
              </w:rPr>
              <w:t xml:space="preserve"> 1 </w:t>
            </w:r>
            <w:r w:rsidRPr="009572CF">
              <w:rPr>
                <w:bCs/>
                <w:lang w:val="es-ES"/>
              </w:rPr>
              <w:t>o</w:t>
            </w:r>
            <w:r w:rsidR="00597F9B" w:rsidRPr="009572CF">
              <w:rPr>
                <w:bCs/>
                <w:lang w:val="es-ES"/>
              </w:rPr>
              <w:t xml:space="preserve"> 2) </w:t>
            </w:r>
            <w:r w:rsidRPr="009572CF">
              <w:rPr>
                <w:bCs/>
                <w:lang w:val="es-ES"/>
              </w:rPr>
              <w:t>con las condiciones del</w:t>
            </w:r>
            <w:r w:rsidR="0061694A" w:rsidRPr="009572CF">
              <w:rPr>
                <w:bCs/>
                <w:lang w:val="es-ES"/>
              </w:rPr>
              <w:t xml:space="preserve"> </w:t>
            </w:r>
            <w:r w:rsidRPr="009572CF">
              <w:rPr>
                <w:bCs/>
                <w:lang w:val="es-ES"/>
              </w:rPr>
              <w:t>proyecto de nueva Resolución</w:t>
            </w:r>
            <w:r w:rsidR="00597F9B" w:rsidRPr="009572CF">
              <w:rPr>
                <w:bCs/>
                <w:lang w:val="es-ES"/>
              </w:rPr>
              <w:t xml:space="preserve"> </w:t>
            </w:r>
            <w:r w:rsidR="00597F9B" w:rsidRPr="009572CF">
              <w:rPr>
                <w:b/>
                <w:lang w:val="es-ES"/>
              </w:rPr>
              <w:t>[C113-IMT 66/71GHZ-J2] (</w:t>
            </w:r>
            <w:r w:rsidR="00F85FB0" w:rsidRPr="009572CF">
              <w:rPr>
                <w:b/>
                <w:lang w:val="es-ES"/>
              </w:rPr>
              <w:t>CMR</w:t>
            </w:r>
            <w:r w:rsidR="00597F9B" w:rsidRPr="009572CF">
              <w:rPr>
                <w:b/>
                <w:lang w:val="es-ES"/>
              </w:rPr>
              <w:t>-19)</w:t>
            </w:r>
          </w:p>
        </w:tc>
      </w:tr>
      <w:tr w:rsidR="00597F9B" w:rsidRPr="0061694A" w14:paraId="454BA144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8D58" w14:textId="543B667C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71-76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F07" w14:textId="6987D446" w:rsidR="00597F9B" w:rsidRPr="0061694A" w:rsidRDefault="0020215B" w:rsidP="00526D0E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304" w14:textId="4AC3B7A3" w:rsidR="00597F9B" w:rsidRPr="009572CF" w:rsidRDefault="0025293D" w:rsidP="0020215B">
            <w:pPr>
              <w:pStyle w:val="Tabletext"/>
              <w:rPr>
                <w:rFonts w:asciiTheme="minorHAnsi" w:hAnsiTheme="minorHAnsi" w:cstheme="minorBidi"/>
                <w:bCs/>
                <w:lang w:val="es-ES"/>
              </w:rPr>
            </w:pPr>
            <w:r w:rsidRPr="009572CF">
              <w:rPr>
                <w:bCs/>
                <w:lang w:val="es-ES"/>
              </w:rPr>
              <w:t>Método</w:t>
            </w:r>
            <w:r w:rsidR="00597F9B" w:rsidRPr="009572CF">
              <w:rPr>
                <w:bCs/>
                <w:lang w:val="es-ES"/>
              </w:rPr>
              <w:t xml:space="preserve"> K2 (</w:t>
            </w:r>
            <w:r w:rsidRPr="009572CF">
              <w:rPr>
                <w:bCs/>
                <w:lang w:val="es-ES"/>
              </w:rPr>
              <w:t>Alternativa</w:t>
            </w:r>
            <w:r w:rsidR="00597F9B" w:rsidRPr="009572CF">
              <w:rPr>
                <w:bCs/>
                <w:lang w:val="es-ES"/>
              </w:rPr>
              <w:t xml:space="preserve"> 1 </w:t>
            </w:r>
            <w:r w:rsidRPr="009572CF">
              <w:rPr>
                <w:bCs/>
                <w:lang w:val="es-ES"/>
              </w:rPr>
              <w:t>o</w:t>
            </w:r>
            <w:r w:rsidR="00597F9B" w:rsidRPr="009572CF">
              <w:rPr>
                <w:bCs/>
                <w:lang w:val="es-ES"/>
              </w:rPr>
              <w:t xml:space="preserve"> 2) </w:t>
            </w:r>
            <w:r w:rsidRPr="009572CF">
              <w:rPr>
                <w:bCs/>
                <w:lang w:val="es-ES"/>
              </w:rPr>
              <w:t>con las condiciones del</w:t>
            </w:r>
            <w:r w:rsidR="0061694A" w:rsidRPr="009572CF">
              <w:rPr>
                <w:bCs/>
                <w:lang w:val="es-ES"/>
              </w:rPr>
              <w:t xml:space="preserve"> </w:t>
            </w:r>
            <w:r w:rsidRPr="009572CF">
              <w:rPr>
                <w:bCs/>
                <w:lang w:val="es-ES"/>
              </w:rPr>
              <w:t>proyecto de nueva Resolución</w:t>
            </w:r>
            <w:r w:rsidR="00597F9B" w:rsidRPr="009572CF">
              <w:rPr>
                <w:bCs/>
                <w:lang w:val="es-ES"/>
              </w:rPr>
              <w:t xml:space="preserve"> </w:t>
            </w:r>
            <w:r w:rsidR="00597F9B" w:rsidRPr="009572CF">
              <w:rPr>
                <w:b/>
                <w:lang w:val="es-ES"/>
              </w:rPr>
              <w:t>[E113-IMT 70/80GHZ] (</w:t>
            </w:r>
            <w:r w:rsidR="00F85FB0" w:rsidRPr="009572CF">
              <w:rPr>
                <w:b/>
                <w:lang w:val="es-ES"/>
              </w:rPr>
              <w:t>CMR</w:t>
            </w:r>
            <w:r w:rsidR="00597F9B" w:rsidRPr="009572CF">
              <w:rPr>
                <w:b/>
                <w:lang w:val="es-ES"/>
              </w:rPr>
              <w:t>-19)</w:t>
            </w:r>
          </w:p>
        </w:tc>
      </w:tr>
      <w:tr w:rsidR="00597F9B" w:rsidRPr="0061694A" w14:paraId="7C22A125" w14:textId="77777777" w:rsidTr="00597F9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C1E" w14:textId="3A8AD7D9" w:rsidR="00597F9B" w:rsidRPr="0061694A" w:rsidRDefault="00597F9B" w:rsidP="0020215B">
            <w:pPr>
              <w:pStyle w:val="Tabletext"/>
              <w:rPr>
                <w:lang w:val="es-ES"/>
              </w:rPr>
            </w:pPr>
            <w:r w:rsidRPr="0061694A">
              <w:rPr>
                <w:lang w:val="es-ES"/>
              </w:rPr>
              <w:t>81-86</w:t>
            </w:r>
            <w:r w:rsidR="0020215B">
              <w:rPr>
                <w:lang w:val="es-ES"/>
              </w:rPr>
              <w:t> </w:t>
            </w:r>
            <w:r w:rsidRPr="0061694A">
              <w:rPr>
                <w:lang w:val="es-ES"/>
              </w:rPr>
              <w:t>GHz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0948" w14:textId="3EA7128D" w:rsidR="00597F9B" w:rsidRPr="0061694A" w:rsidRDefault="0020215B" w:rsidP="00526D0E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D358" w14:textId="5168BF5B" w:rsidR="00597F9B" w:rsidRPr="0061694A" w:rsidRDefault="0025293D" w:rsidP="0020215B">
            <w:pPr>
              <w:pStyle w:val="Tabletext"/>
              <w:rPr>
                <w:rFonts w:asciiTheme="minorHAnsi" w:hAnsiTheme="minorHAnsi" w:cstheme="minorBidi"/>
                <w:bCs/>
                <w:lang w:val="es-ES"/>
              </w:rPr>
            </w:pPr>
            <w:r w:rsidRPr="0061694A">
              <w:rPr>
                <w:bCs/>
                <w:lang w:val="es-ES"/>
              </w:rPr>
              <w:t>Método</w:t>
            </w:r>
            <w:r w:rsidR="00597F9B" w:rsidRPr="0061694A">
              <w:rPr>
                <w:bCs/>
                <w:lang w:val="es-ES"/>
              </w:rPr>
              <w:t xml:space="preserve"> L2 (</w:t>
            </w:r>
            <w:r w:rsidRPr="0061694A">
              <w:rPr>
                <w:bCs/>
                <w:lang w:val="es-ES"/>
              </w:rPr>
              <w:t>Alternativa</w:t>
            </w:r>
            <w:r w:rsidR="00597F9B" w:rsidRPr="0061694A">
              <w:rPr>
                <w:bCs/>
                <w:lang w:val="es-ES"/>
              </w:rPr>
              <w:t xml:space="preserve"> 1 </w:t>
            </w:r>
            <w:r w:rsidRPr="0061694A">
              <w:rPr>
                <w:bCs/>
                <w:lang w:val="es-ES"/>
              </w:rPr>
              <w:t>o</w:t>
            </w:r>
            <w:r w:rsidR="00597F9B" w:rsidRPr="0061694A">
              <w:rPr>
                <w:bCs/>
                <w:lang w:val="es-ES"/>
              </w:rPr>
              <w:t xml:space="preserve"> 2) </w:t>
            </w:r>
            <w:r w:rsidRPr="0061694A">
              <w:rPr>
                <w:bCs/>
                <w:lang w:val="es-ES"/>
              </w:rPr>
              <w:t>con las condiciones del</w:t>
            </w:r>
            <w:r w:rsidR="0061694A">
              <w:rPr>
                <w:bCs/>
                <w:lang w:val="es-ES"/>
              </w:rPr>
              <w:t xml:space="preserve"> </w:t>
            </w:r>
            <w:r w:rsidRPr="0061694A">
              <w:rPr>
                <w:bCs/>
                <w:lang w:val="es-ES"/>
              </w:rPr>
              <w:t>proyecto de nueva Resolución</w:t>
            </w:r>
            <w:r w:rsidR="00597F9B" w:rsidRPr="0061694A">
              <w:rPr>
                <w:bCs/>
                <w:lang w:val="es-ES"/>
              </w:rPr>
              <w:t xml:space="preserve"> </w:t>
            </w:r>
            <w:r w:rsidR="00597F9B" w:rsidRPr="0061694A">
              <w:rPr>
                <w:b/>
                <w:lang w:val="es-ES"/>
              </w:rPr>
              <w:t>[E113-</w:t>
            </w:r>
            <w:r w:rsidR="00597F9B" w:rsidRPr="009572CF">
              <w:rPr>
                <w:b/>
                <w:lang w:val="es-ES"/>
              </w:rPr>
              <w:t>IMT 70/80GHZ] (</w:t>
            </w:r>
            <w:r w:rsidR="00F85FB0" w:rsidRPr="009572CF">
              <w:rPr>
                <w:b/>
                <w:lang w:val="es-ES"/>
              </w:rPr>
              <w:t>CMR</w:t>
            </w:r>
            <w:r w:rsidR="00597F9B" w:rsidRPr="0061694A">
              <w:rPr>
                <w:b/>
                <w:lang w:val="es-ES"/>
              </w:rPr>
              <w:t>-19)</w:t>
            </w:r>
          </w:p>
        </w:tc>
      </w:tr>
    </w:tbl>
    <w:p w14:paraId="7ED7C70F" w14:textId="7E1F4D8E" w:rsidR="00857109" w:rsidRPr="0061694A" w:rsidRDefault="00857109" w:rsidP="00F07755">
      <w:pPr>
        <w:pStyle w:val="Reasons"/>
        <w:rPr>
          <w:lang w:val="es-ES"/>
        </w:rPr>
      </w:pPr>
    </w:p>
    <w:p w14:paraId="68BDD531" w14:textId="3A50837C" w:rsidR="008750A8" w:rsidRPr="0061694A" w:rsidRDefault="00857109" w:rsidP="0020215B">
      <w:pPr>
        <w:jc w:val="center"/>
        <w:rPr>
          <w:lang w:val="es-ES"/>
        </w:rPr>
      </w:pPr>
      <w:r w:rsidRPr="0061694A">
        <w:rPr>
          <w:lang w:val="es-ES"/>
        </w:rPr>
        <w:t>______________</w:t>
      </w:r>
    </w:p>
    <w:sectPr w:rsidR="008750A8" w:rsidRPr="0061694A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1F83" w14:textId="77777777" w:rsidR="00F61320" w:rsidRDefault="00F61320">
      <w:r>
        <w:separator/>
      </w:r>
    </w:p>
  </w:endnote>
  <w:endnote w:type="continuationSeparator" w:id="0">
    <w:p w14:paraId="1C23E2B2" w14:textId="77777777" w:rsidR="00F61320" w:rsidRDefault="00F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2CBF" w14:textId="77777777" w:rsidR="00F61320" w:rsidRDefault="00F613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423E01" w14:textId="781FEA08" w:rsidR="00F61320" w:rsidRPr="00516BCE" w:rsidRDefault="00F61320">
    <w:pPr>
      <w:ind w:right="360"/>
    </w:pPr>
    <w:r>
      <w:fldChar w:fldCharType="begin"/>
    </w:r>
    <w:r w:rsidRPr="00516BCE">
      <w:instrText xml:space="preserve"> FILENAME \p  \* MERGEFORMAT </w:instrText>
    </w:r>
    <w:r>
      <w:fldChar w:fldCharType="separate"/>
    </w:r>
    <w:r w:rsidR="00516BCE">
      <w:rPr>
        <w:noProof/>
      </w:rPr>
      <w:t>P:\ESP\ITU-R\CONF-R\CMR19\000\075ADD13S.docx</w:t>
    </w:r>
    <w:r>
      <w:fldChar w:fldCharType="end"/>
    </w:r>
    <w:r w:rsidRPr="00516BCE">
      <w:tab/>
    </w:r>
    <w:r>
      <w:fldChar w:fldCharType="begin"/>
    </w:r>
    <w:r>
      <w:instrText xml:space="preserve"> SAVEDATE \@ DD.MM.YY </w:instrText>
    </w:r>
    <w:r>
      <w:fldChar w:fldCharType="separate"/>
    </w:r>
    <w:r w:rsidR="00134A70">
      <w:rPr>
        <w:noProof/>
      </w:rPr>
      <w:t>18.10.19</w:t>
    </w:r>
    <w:r>
      <w:fldChar w:fldCharType="end"/>
    </w:r>
    <w:r w:rsidRPr="00516BCE">
      <w:tab/>
    </w:r>
    <w:r>
      <w:fldChar w:fldCharType="begin"/>
    </w:r>
    <w:r>
      <w:instrText xml:space="preserve"> PRINTDATE \@ DD.MM.YY </w:instrText>
    </w:r>
    <w:r>
      <w:fldChar w:fldCharType="separate"/>
    </w:r>
    <w:r w:rsidR="00516BCE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8FFE" w14:textId="45977110" w:rsidR="00F61320" w:rsidRPr="00981B31" w:rsidRDefault="00981B31" w:rsidP="00981B31">
    <w:pPr>
      <w:pStyle w:val="Footer"/>
      <w:rPr>
        <w:lang w:val="en-US"/>
      </w:rPr>
    </w:pPr>
    <w:r>
      <w:fldChar w:fldCharType="begin"/>
    </w:r>
    <w:r w:rsidRPr="00597F9B">
      <w:rPr>
        <w:lang w:val="en-US"/>
      </w:rPr>
      <w:instrText xml:space="preserve"> FILENAME \p  \* MERGEFORMAT </w:instrText>
    </w:r>
    <w:r>
      <w:fldChar w:fldCharType="separate"/>
    </w:r>
    <w:r w:rsidR="005D7B34">
      <w:rPr>
        <w:lang w:val="en-US"/>
      </w:rPr>
      <w:t>P:\ESP\ITU-R\CONF-R\CMR19\000\075ADD13S.docx</w:t>
    </w:r>
    <w:r>
      <w:fldChar w:fldCharType="end"/>
    </w:r>
    <w:r>
      <w:rPr>
        <w:lang w:val="en-US"/>
      </w:rPr>
      <w:t xml:space="preserve"> (4621</w:t>
    </w:r>
    <w:r w:rsidR="00134A70">
      <w:rPr>
        <w:lang w:val="en-US"/>
      </w:rPr>
      <w:t>4</w:t>
    </w:r>
    <w:r>
      <w:rPr>
        <w:lang w:val="en-US"/>
      </w:rPr>
      <w:t>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607D" w14:textId="253D939F" w:rsidR="00F61320" w:rsidRPr="00597F9B" w:rsidRDefault="00F61320" w:rsidP="00CF337C">
    <w:pPr>
      <w:pStyle w:val="Footer"/>
      <w:rPr>
        <w:lang w:val="en-US"/>
      </w:rPr>
    </w:pPr>
    <w:r>
      <w:fldChar w:fldCharType="begin"/>
    </w:r>
    <w:r w:rsidRPr="00597F9B">
      <w:rPr>
        <w:lang w:val="en-US"/>
      </w:rPr>
      <w:instrText xml:space="preserve"> FILENAME \p  \* MERGEFORMAT </w:instrText>
    </w:r>
    <w:r>
      <w:fldChar w:fldCharType="separate"/>
    </w:r>
    <w:r w:rsidR="005D7B34">
      <w:rPr>
        <w:lang w:val="en-US"/>
      </w:rPr>
      <w:t>P:\ESP\ITU-R\CONF-R\CMR19\000\075ADD13S.docx</w:t>
    </w:r>
    <w:r>
      <w:fldChar w:fldCharType="end"/>
    </w:r>
    <w:r w:rsidR="00981B31">
      <w:rPr>
        <w:lang w:val="en-US"/>
      </w:rPr>
      <w:t xml:space="preserve"> (4621</w:t>
    </w:r>
    <w:r w:rsidR="00134A70">
      <w:rPr>
        <w:lang w:val="en-US"/>
      </w:rPr>
      <w:t>4</w:t>
    </w:r>
    <w:r w:rsidR="005D7B34">
      <w:rPr>
        <w:lang w:val="en-US"/>
      </w:rPr>
      <w:t>0</w:t>
    </w:r>
    <w:r w:rsidR="00981B3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D3EC" w14:textId="77777777" w:rsidR="00F61320" w:rsidRDefault="00F61320">
      <w:r>
        <w:rPr>
          <w:b/>
        </w:rPr>
        <w:t>_______________</w:t>
      </w:r>
    </w:p>
  </w:footnote>
  <w:footnote w:type="continuationSeparator" w:id="0">
    <w:p w14:paraId="49D09D22" w14:textId="77777777" w:rsidR="00F61320" w:rsidRDefault="00F61320">
      <w:r>
        <w:continuationSeparator/>
      </w:r>
    </w:p>
  </w:footnote>
  <w:footnote w:id="1">
    <w:p w14:paraId="03454225" w14:textId="77777777" w:rsidR="00981B31" w:rsidRPr="00597F9B" w:rsidRDefault="00981B31" w:rsidP="00981B3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97F9B">
        <w:rPr>
          <w:lang w:val="en-US"/>
        </w:rPr>
        <w:t xml:space="preserve"> </w:t>
      </w:r>
      <w:proofErr w:type="spellStart"/>
      <w:r>
        <w:rPr>
          <w:lang w:val="en-US"/>
        </w:rPr>
        <w:t>Véase</w:t>
      </w:r>
      <w:proofErr w:type="spellEnd"/>
      <w:r w:rsidRPr="00597F9B">
        <w:rPr>
          <w:lang w:val="en-US"/>
        </w:rPr>
        <w:t xml:space="preserve">, </w:t>
      </w:r>
      <w:r>
        <w:rPr>
          <w:lang w:val="en-US"/>
        </w:rPr>
        <w:t xml:space="preserve">por </w:t>
      </w:r>
      <w:proofErr w:type="spellStart"/>
      <w:r>
        <w:rPr>
          <w:lang w:val="en-US"/>
        </w:rPr>
        <w:t>ejemplo</w:t>
      </w:r>
      <w:proofErr w:type="spellEnd"/>
      <w:r w:rsidRPr="00597F9B">
        <w:rPr>
          <w:lang w:val="en-US"/>
        </w:rPr>
        <w:t xml:space="preserve">, Peter B. de </w:t>
      </w:r>
      <w:proofErr w:type="spellStart"/>
      <w:r w:rsidRPr="00597F9B">
        <w:rPr>
          <w:lang w:val="en-US"/>
        </w:rPr>
        <w:t>Selding</w:t>
      </w:r>
      <w:proofErr w:type="spellEnd"/>
      <w:r w:rsidRPr="00597F9B">
        <w:rPr>
          <w:lang w:val="en-US"/>
        </w:rPr>
        <w:t xml:space="preserve">, </w:t>
      </w:r>
      <w:r w:rsidRPr="00597F9B">
        <w:rPr>
          <w:i/>
          <w:lang w:val="en-US"/>
        </w:rPr>
        <w:t>ViaSat details $1.4-billion global Ka-band satellite broadband strategy to oust incumbent players</w:t>
      </w:r>
      <w:r w:rsidRPr="00597F9B">
        <w:rPr>
          <w:lang w:val="en-US"/>
        </w:rPr>
        <w:t xml:space="preserve">, </w:t>
      </w:r>
      <w:hyperlink r:id="rId1" w:history="1">
        <w:r w:rsidRPr="00597F9B">
          <w:rPr>
            <w:rStyle w:val="Hyperlink1"/>
            <w:lang w:val="en-US"/>
          </w:rPr>
          <w:t>http://spacenews.com/viasat-details-1-4-billion-global-ka-band-satellite-broadband-strategy-to-oust-incumbent-players/</w:t>
        </w:r>
      </w:hyperlink>
      <w:r w:rsidRPr="00597F9B">
        <w:rPr>
          <w:lang w:val="en-US"/>
        </w:rPr>
        <w:t xml:space="preserve"> (10 </w:t>
      </w:r>
      <w:r>
        <w:rPr>
          <w:lang w:val="en-US"/>
        </w:rPr>
        <w:t xml:space="preserve">de </w:t>
      </w:r>
      <w:proofErr w:type="spellStart"/>
      <w:r>
        <w:rPr>
          <w:lang w:val="en-US"/>
        </w:rPr>
        <w:t>febrero</w:t>
      </w:r>
      <w:proofErr w:type="spellEnd"/>
      <w:r>
        <w:rPr>
          <w:lang w:val="en-US"/>
        </w:rPr>
        <w:t xml:space="preserve"> de </w:t>
      </w:r>
      <w:r w:rsidRPr="00597F9B">
        <w:rPr>
          <w:lang w:val="en-US"/>
        </w:rPr>
        <w:t xml:space="preserve">2016); Peter B. de </w:t>
      </w:r>
      <w:proofErr w:type="spellStart"/>
      <w:r w:rsidRPr="00597F9B">
        <w:rPr>
          <w:lang w:val="en-US"/>
        </w:rPr>
        <w:t>Selding</w:t>
      </w:r>
      <w:proofErr w:type="spellEnd"/>
      <w:r w:rsidRPr="00597F9B">
        <w:rPr>
          <w:lang w:val="en-US"/>
        </w:rPr>
        <w:t xml:space="preserve">, </w:t>
      </w:r>
      <w:r w:rsidRPr="00597F9B">
        <w:rPr>
          <w:i/>
          <w:lang w:val="en-US"/>
        </w:rPr>
        <w:t>SES bets more than $1 billion that Boeing satellites can lure Amazon Web Services et al</w:t>
      </w:r>
      <w:r w:rsidRPr="00597F9B">
        <w:rPr>
          <w:lang w:val="en-US"/>
        </w:rPr>
        <w:t xml:space="preserve">, </w:t>
      </w:r>
      <w:hyperlink r:id="rId2" w:history="1">
        <w:r w:rsidRPr="00597F9B">
          <w:rPr>
            <w:rStyle w:val="Hyperlink1"/>
            <w:lang w:val="en-US"/>
          </w:rPr>
          <w:t>https://www.spaceintelreport.com/ses-bets-1-billion-boeing-satellites-can-lure-amazon-web-services-et-al/</w:t>
        </w:r>
      </w:hyperlink>
      <w:r w:rsidRPr="00597F9B">
        <w:rPr>
          <w:lang w:val="en-US"/>
        </w:rPr>
        <w:t xml:space="preserve"> (19 </w:t>
      </w:r>
      <w:r>
        <w:rPr>
          <w:lang w:val="en-US"/>
        </w:rPr>
        <w:t xml:space="preserve">de </w:t>
      </w:r>
      <w:proofErr w:type="spellStart"/>
      <w:r>
        <w:rPr>
          <w:lang w:val="en-US"/>
        </w:rPr>
        <w:t>septiembre</w:t>
      </w:r>
      <w:proofErr w:type="spellEnd"/>
      <w:r>
        <w:rPr>
          <w:lang w:val="en-US"/>
        </w:rPr>
        <w:t xml:space="preserve"> de</w:t>
      </w:r>
      <w:r w:rsidRPr="00597F9B">
        <w:rPr>
          <w:lang w:val="en-US"/>
        </w:rPr>
        <w:t xml:space="preserve">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CE30" w14:textId="77777777" w:rsidR="00F61320" w:rsidRDefault="00F6132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3DC9">
      <w:rPr>
        <w:rStyle w:val="PageNumber"/>
        <w:noProof/>
      </w:rPr>
      <w:t>8</w:t>
    </w:r>
    <w:r>
      <w:rPr>
        <w:rStyle w:val="PageNumber"/>
      </w:rPr>
      <w:fldChar w:fldCharType="end"/>
    </w:r>
  </w:p>
  <w:p w14:paraId="6C4BA7BB" w14:textId="77777777" w:rsidR="00F61320" w:rsidRDefault="00F61320" w:rsidP="00C44E9E">
    <w:pPr>
      <w:pStyle w:val="Header"/>
      <w:rPr>
        <w:lang w:val="en-US"/>
      </w:rPr>
    </w:pPr>
    <w:r>
      <w:rPr>
        <w:lang w:val="en-US"/>
      </w:rPr>
      <w:t>CMR19/</w:t>
    </w:r>
    <w:r>
      <w:t>75(Add.13)-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BED0744"/>
    <w:multiLevelType w:val="hybridMultilevel"/>
    <w:tmpl w:val="C2C0E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7180"/>
    <w:multiLevelType w:val="hybridMultilevel"/>
    <w:tmpl w:val="6890ED16"/>
    <w:lvl w:ilvl="0" w:tplc="0BBC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0634C"/>
    <w:multiLevelType w:val="hybridMultilevel"/>
    <w:tmpl w:val="43207284"/>
    <w:lvl w:ilvl="0" w:tplc="C0646C62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6A03"/>
    <w:rsid w:val="0002785D"/>
    <w:rsid w:val="00087AE8"/>
    <w:rsid w:val="00094272"/>
    <w:rsid w:val="000A5B9A"/>
    <w:rsid w:val="000E5BF9"/>
    <w:rsid w:val="000F0E6D"/>
    <w:rsid w:val="000F1AED"/>
    <w:rsid w:val="00121170"/>
    <w:rsid w:val="00123CC5"/>
    <w:rsid w:val="00134A70"/>
    <w:rsid w:val="0015142D"/>
    <w:rsid w:val="001616DC"/>
    <w:rsid w:val="00163962"/>
    <w:rsid w:val="00164E7D"/>
    <w:rsid w:val="0018261C"/>
    <w:rsid w:val="00191A97"/>
    <w:rsid w:val="0019729C"/>
    <w:rsid w:val="001A083F"/>
    <w:rsid w:val="001A5B18"/>
    <w:rsid w:val="001C41FA"/>
    <w:rsid w:val="001E2B52"/>
    <w:rsid w:val="001E3F27"/>
    <w:rsid w:val="001E7D42"/>
    <w:rsid w:val="0020215B"/>
    <w:rsid w:val="0023659C"/>
    <w:rsid w:val="00236D2A"/>
    <w:rsid w:val="0024569E"/>
    <w:rsid w:val="0025293D"/>
    <w:rsid w:val="00255F12"/>
    <w:rsid w:val="00262C09"/>
    <w:rsid w:val="002A4E0F"/>
    <w:rsid w:val="002A791F"/>
    <w:rsid w:val="002C0D4A"/>
    <w:rsid w:val="002C1A52"/>
    <w:rsid w:val="002C1B26"/>
    <w:rsid w:val="002C5622"/>
    <w:rsid w:val="002C5D6C"/>
    <w:rsid w:val="002E701F"/>
    <w:rsid w:val="0030082D"/>
    <w:rsid w:val="00316820"/>
    <w:rsid w:val="003248A9"/>
    <w:rsid w:val="00324FFA"/>
    <w:rsid w:val="0032680B"/>
    <w:rsid w:val="00363A65"/>
    <w:rsid w:val="00375196"/>
    <w:rsid w:val="003A6D97"/>
    <w:rsid w:val="003B1E8C"/>
    <w:rsid w:val="003C0613"/>
    <w:rsid w:val="003C2508"/>
    <w:rsid w:val="003D0AA3"/>
    <w:rsid w:val="003E2086"/>
    <w:rsid w:val="003E4CA1"/>
    <w:rsid w:val="003F7F66"/>
    <w:rsid w:val="004140DF"/>
    <w:rsid w:val="00440B3A"/>
    <w:rsid w:val="0044375A"/>
    <w:rsid w:val="0045384C"/>
    <w:rsid w:val="00454553"/>
    <w:rsid w:val="00456C6C"/>
    <w:rsid w:val="00472A86"/>
    <w:rsid w:val="004B124A"/>
    <w:rsid w:val="004B3095"/>
    <w:rsid w:val="004C7923"/>
    <w:rsid w:val="004D2C7C"/>
    <w:rsid w:val="005133B5"/>
    <w:rsid w:val="00516BCE"/>
    <w:rsid w:val="00524392"/>
    <w:rsid w:val="00526D0E"/>
    <w:rsid w:val="00532097"/>
    <w:rsid w:val="0058350F"/>
    <w:rsid w:val="00583C7E"/>
    <w:rsid w:val="0059098E"/>
    <w:rsid w:val="00597F9B"/>
    <w:rsid w:val="005C1B63"/>
    <w:rsid w:val="005D46FB"/>
    <w:rsid w:val="005D7B34"/>
    <w:rsid w:val="005F2605"/>
    <w:rsid w:val="005F3B0E"/>
    <w:rsid w:val="005F3DB8"/>
    <w:rsid w:val="005F559C"/>
    <w:rsid w:val="00602857"/>
    <w:rsid w:val="00604F52"/>
    <w:rsid w:val="006124AD"/>
    <w:rsid w:val="0061353F"/>
    <w:rsid w:val="0061694A"/>
    <w:rsid w:val="00620C40"/>
    <w:rsid w:val="00621917"/>
    <w:rsid w:val="00624009"/>
    <w:rsid w:val="00662BA0"/>
    <w:rsid w:val="0067344B"/>
    <w:rsid w:val="00684A94"/>
    <w:rsid w:val="00692AAE"/>
    <w:rsid w:val="006A477C"/>
    <w:rsid w:val="006C0E38"/>
    <w:rsid w:val="006D6E67"/>
    <w:rsid w:val="006E1A13"/>
    <w:rsid w:val="00701C20"/>
    <w:rsid w:val="00702F3D"/>
    <w:rsid w:val="0070518E"/>
    <w:rsid w:val="007354E9"/>
    <w:rsid w:val="007424E8"/>
    <w:rsid w:val="00744D78"/>
    <w:rsid w:val="0074579D"/>
    <w:rsid w:val="00754B54"/>
    <w:rsid w:val="00765578"/>
    <w:rsid w:val="00766333"/>
    <w:rsid w:val="0077084A"/>
    <w:rsid w:val="007952C7"/>
    <w:rsid w:val="007B5D44"/>
    <w:rsid w:val="007C0B95"/>
    <w:rsid w:val="007C2317"/>
    <w:rsid w:val="007D330A"/>
    <w:rsid w:val="007F14E5"/>
    <w:rsid w:val="00857109"/>
    <w:rsid w:val="00866AE6"/>
    <w:rsid w:val="008750A8"/>
    <w:rsid w:val="0089223D"/>
    <w:rsid w:val="00893DC9"/>
    <w:rsid w:val="008C0FB2"/>
    <w:rsid w:val="008D3316"/>
    <w:rsid w:val="008E5AF2"/>
    <w:rsid w:val="0090121B"/>
    <w:rsid w:val="009144C9"/>
    <w:rsid w:val="009241F5"/>
    <w:rsid w:val="0094091F"/>
    <w:rsid w:val="009572CF"/>
    <w:rsid w:val="00962171"/>
    <w:rsid w:val="00971943"/>
    <w:rsid w:val="00973754"/>
    <w:rsid w:val="00981B31"/>
    <w:rsid w:val="00985E17"/>
    <w:rsid w:val="009C0BED"/>
    <w:rsid w:val="009D1659"/>
    <w:rsid w:val="009D2668"/>
    <w:rsid w:val="009E11EC"/>
    <w:rsid w:val="009E27E1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B7B"/>
    <w:rsid w:val="00BE2E80"/>
    <w:rsid w:val="00BE377D"/>
    <w:rsid w:val="00BE5EDD"/>
    <w:rsid w:val="00BE6A1F"/>
    <w:rsid w:val="00C126C4"/>
    <w:rsid w:val="00C44E9E"/>
    <w:rsid w:val="00C54B57"/>
    <w:rsid w:val="00C63EB5"/>
    <w:rsid w:val="00C87DA7"/>
    <w:rsid w:val="00CC01E0"/>
    <w:rsid w:val="00CD5FEE"/>
    <w:rsid w:val="00CE60D2"/>
    <w:rsid w:val="00CE7431"/>
    <w:rsid w:val="00CF337C"/>
    <w:rsid w:val="00D00CA8"/>
    <w:rsid w:val="00D0288A"/>
    <w:rsid w:val="00D25635"/>
    <w:rsid w:val="00D72A5D"/>
    <w:rsid w:val="00DA653B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66080"/>
    <w:rsid w:val="00E71D14"/>
    <w:rsid w:val="00EA77F0"/>
    <w:rsid w:val="00EF0268"/>
    <w:rsid w:val="00EF355D"/>
    <w:rsid w:val="00F01976"/>
    <w:rsid w:val="00F07755"/>
    <w:rsid w:val="00F32316"/>
    <w:rsid w:val="00F61320"/>
    <w:rsid w:val="00F66597"/>
    <w:rsid w:val="00F675D0"/>
    <w:rsid w:val="00F8150C"/>
    <w:rsid w:val="00F85FB0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1963C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semiHidden/>
    <w:unhideWhenUsed/>
    <w:rsid w:val="00597F9B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7F9B"/>
    <w:rPr>
      <w:rFonts w:ascii="Times New Roman" w:hAnsi="Times New Roman"/>
      <w:sz w:val="24"/>
      <w:lang w:val="es-ES_tradnl" w:eastAsia="en-US"/>
    </w:rPr>
  </w:style>
  <w:style w:type="character" w:customStyle="1" w:styleId="Hyperlink1">
    <w:name w:val="Hyperlink1"/>
    <w:basedOn w:val="DefaultParagraphFont"/>
    <w:uiPriority w:val="99"/>
    <w:rsid w:val="00597F9B"/>
    <w:rPr>
      <w:color w:val="0000FF"/>
      <w:u w:val="single"/>
    </w:rPr>
  </w:style>
  <w:style w:type="table" w:styleId="TableGrid">
    <w:name w:val="Table Grid"/>
    <w:basedOn w:val="TableNormal"/>
    <w:rsid w:val="00597F9B"/>
    <w:rPr>
      <w:rFonts w:ascii="Times New Roman" w:eastAsia="Batang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97F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97F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7F9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aceintelreport.com/ses-bets-1-billion-boeing-satellites-can-lure-amazon-web-services-et-al/" TargetMode="External"/><Relationship Id="rId1" Type="http://schemas.openxmlformats.org/officeDocument/2006/relationships/hyperlink" Target="http://spacenews.com/viasat-details-1-4-billion-global-ka-band-satellite-broadband-strategy-to-oust-incumbent-play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R16-WRC19-C-0075!A13!MSW-S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EE60-E8E4-498A-A70A-9D831480C7ED}">
  <ds:schemaRefs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B74FA4-5E91-4C69-931B-C92E439A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3218</Words>
  <Characters>16772</Characters>
  <Application>Microsoft Office Word</Application>
  <DocSecurity>0</DocSecurity>
  <Lines>372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R16-WRC19-C-0075!A13!MSW-S</vt:lpstr>
    </vt:vector>
  </TitlesOfParts>
  <Manager>Secretaría General - Pool</Manager>
  <Company>Unión Internacional de Telecomunicaciones (UIT)</Company>
  <LinksUpToDate>false</LinksUpToDate>
  <CharactersWithSpaces>19804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R16-WRC19-C-0075!A13!MSW-S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10</cp:revision>
  <cp:lastPrinted>2019-10-18T08:49:00Z</cp:lastPrinted>
  <dcterms:created xsi:type="dcterms:W3CDTF">2019-10-16T12:04:00Z</dcterms:created>
  <dcterms:modified xsi:type="dcterms:W3CDTF">2019-10-18T10:12:00Z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