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169605BB" w14:textId="77777777" w:rsidTr="0050008E">
        <w:trPr>
          <w:cantSplit/>
        </w:trPr>
        <w:tc>
          <w:tcPr>
            <w:tcW w:w="6911" w:type="dxa"/>
          </w:tcPr>
          <w:p w14:paraId="65703CF3" w14:textId="77777777" w:rsidR="00BB1D82" w:rsidRPr="00930FFD" w:rsidRDefault="00851625" w:rsidP="00CF4808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1DDF3236" w14:textId="77777777" w:rsidR="00BB1D82" w:rsidRPr="002A6F8F" w:rsidRDefault="000A55AE" w:rsidP="00CF4808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36B17CDB" wp14:editId="520FABA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6D8B521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4668EAF" w14:textId="77777777" w:rsidR="00BB1D82" w:rsidRPr="002A6F8F" w:rsidRDefault="00BB1D82" w:rsidP="00CF4808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7C8872" w14:textId="77777777" w:rsidR="00BB1D82" w:rsidRPr="002A6F8F" w:rsidRDefault="00BB1D82" w:rsidP="00CF4808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6914F9BF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4D8D336" w14:textId="77777777" w:rsidR="00BB1D82" w:rsidRPr="002A6F8F" w:rsidRDefault="00BB1D82" w:rsidP="00CF480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D2B8187" w14:textId="77777777" w:rsidR="00BB1D82" w:rsidRPr="002A6F8F" w:rsidRDefault="00BB1D82" w:rsidP="00CF4808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10216A4F" w14:textId="77777777" w:rsidTr="00BB1D82">
        <w:trPr>
          <w:cantSplit/>
        </w:trPr>
        <w:tc>
          <w:tcPr>
            <w:tcW w:w="6911" w:type="dxa"/>
          </w:tcPr>
          <w:p w14:paraId="64BE0F31" w14:textId="77777777" w:rsidR="00BB1D82" w:rsidRPr="00930FFD" w:rsidRDefault="006D4724" w:rsidP="00CF480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6A59BFD6" w14:textId="77777777" w:rsidR="00BB1D82" w:rsidRPr="002A6F8F" w:rsidRDefault="006D4724" w:rsidP="00CF4808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Document 63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3153179C" w14:textId="77777777" w:rsidTr="00BB1D82">
        <w:trPr>
          <w:cantSplit/>
        </w:trPr>
        <w:tc>
          <w:tcPr>
            <w:tcW w:w="6911" w:type="dxa"/>
          </w:tcPr>
          <w:p w14:paraId="6CF80BF3" w14:textId="77777777" w:rsidR="00690C7B" w:rsidRPr="00930FFD" w:rsidRDefault="00690C7B" w:rsidP="00CF480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02EF4C69" w14:textId="77777777" w:rsidR="00690C7B" w:rsidRPr="002A6F8F" w:rsidRDefault="00690C7B" w:rsidP="00CF480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9 octobre 2019</w:t>
            </w:r>
          </w:p>
        </w:tc>
      </w:tr>
      <w:tr w:rsidR="00690C7B" w:rsidRPr="002A6F8F" w14:paraId="49124672" w14:textId="77777777" w:rsidTr="00BB1D82">
        <w:trPr>
          <w:cantSplit/>
        </w:trPr>
        <w:tc>
          <w:tcPr>
            <w:tcW w:w="6911" w:type="dxa"/>
          </w:tcPr>
          <w:p w14:paraId="5BBD8FBE" w14:textId="77777777" w:rsidR="00690C7B" w:rsidRPr="002A6F8F" w:rsidRDefault="00690C7B" w:rsidP="00CF480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1240553A" w14:textId="77777777" w:rsidR="00690C7B" w:rsidRPr="002A6F8F" w:rsidRDefault="00690C7B" w:rsidP="00CF480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7D467A7B" w14:textId="77777777" w:rsidTr="00C11970">
        <w:trPr>
          <w:cantSplit/>
        </w:trPr>
        <w:tc>
          <w:tcPr>
            <w:tcW w:w="10031" w:type="dxa"/>
            <w:gridSpan w:val="2"/>
          </w:tcPr>
          <w:p w14:paraId="5D255BFA" w14:textId="77777777" w:rsidR="00690C7B" w:rsidRPr="002A6F8F" w:rsidRDefault="00690C7B" w:rsidP="00CF480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0944826D" w14:textId="77777777" w:rsidTr="0050008E">
        <w:trPr>
          <w:cantSplit/>
        </w:trPr>
        <w:tc>
          <w:tcPr>
            <w:tcW w:w="10031" w:type="dxa"/>
            <w:gridSpan w:val="2"/>
          </w:tcPr>
          <w:p w14:paraId="13D5B9C5" w14:textId="77777777" w:rsidR="00690C7B" w:rsidRPr="005C6044" w:rsidRDefault="00690C7B" w:rsidP="00CF4808">
            <w:pPr>
              <w:pStyle w:val="Source"/>
            </w:pPr>
            <w:bookmarkStart w:id="1" w:name="dsource" w:colFirst="0" w:colLast="0"/>
            <w:r w:rsidRPr="005C6044">
              <w:t>Corée (République de)/Indonésie (République d')</w:t>
            </w:r>
          </w:p>
        </w:tc>
      </w:tr>
      <w:tr w:rsidR="00690C7B" w:rsidRPr="002A6F8F" w14:paraId="1DD294C6" w14:textId="77777777" w:rsidTr="0050008E">
        <w:trPr>
          <w:cantSplit/>
        </w:trPr>
        <w:tc>
          <w:tcPr>
            <w:tcW w:w="10031" w:type="dxa"/>
            <w:gridSpan w:val="2"/>
          </w:tcPr>
          <w:p w14:paraId="244C4A7E" w14:textId="77777777" w:rsidR="00690C7B" w:rsidRPr="005C6044" w:rsidRDefault="00690C7B" w:rsidP="00CF4808">
            <w:pPr>
              <w:pStyle w:val="Title1"/>
            </w:pPr>
            <w:bookmarkStart w:id="2" w:name="dtitle1" w:colFirst="0" w:colLast="0"/>
            <w:bookmarkEnd w:id="1"/>
            <w:r w:rsidRPr="005C6044">
              <w:t>Propositions pour les travaux de la conférence</w:t>
            </w:r>
          </w:p>
        </w:tc>
      </w:tr>
      <w:tr w:rsidR="00690C7B" w:rsidRPr="002A6F8F" w14:paraId="133D670C" w14:textId="77777777" w:rsidTr="0050008E">
        <w:trPr>
          <w:cantSplit/>
        </w:trPr>
        <w:tc>
          <w:tcPr>
            <w:tcW w:w="10031" w:type="dxa"/>
            <w:gridSpan w:val="2"/>
          </w:tcPr>
          <w:p w14:paraId="32A230F8" w14:textId="77777777" w:rsidR="00690C7B" w:rsidRPr="005C6044" w:rsidRDefault="00690C7B" w:rsidP="00CF4808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62ADE155" w14:textId="77777777" w:rsidTr="0050008E">
        <w:trPr>
          <w:cantSplit/>
        </w:trPr>
        <w:tc>
          <w:tcPr>
            <w:tcW w:w="10031" w:type="dxa"/>
            <w:gridSpan w:val="2"/>
          </w:tcPr>
          <w:p w14:paraId="35A6FFBE" w14:textId="77777777" w:rsidR="00690C7B" w:rsidRDefault="00690C7B" w:rsidP="00CF4808">
            <w:pPr>
              <w:pStyle w:val="Agendaitem"/>
            </w:pPr>
            <w:bookmarkStart w:id="4" w:name="dtitle3" w:colFirst="0" w:colLast="0"/>
            <w:bookmarkEnd w:id="3"/>
            <w:r w:rsidRPr="006D4724">
              <w:t>Point 7(J) de l'ordre du jour</w:t>
            </w:r>
          </w:p>
        </w:tc>
      </w:tr>
    </w:tbl>
    <w:bookmarkEnd w:id="4"/>
    <w:p w14:paraId="43AA5464" w14:textId="3FEA1845" w:rsidR="001C0E40" w:rsidRPr="00404314" w:rsidRDefault="005C6044" w:rsidP="00CF4808">
      <w:r w:rsidRPr="009B46DD">
        <w:t>7</w:t>
      </w:r>
      <w:r w:rsidRPr="009B46DD">
        <w:tab/>
        <w:t xml:space="preserve">examiner d'éventuels changements à apporter, et d'autres options à mettre en oeuvre, en application de la Résolution 86 (Rév. Marrakech, 2002) de la Conférence de plénipotentiaires, intitulée </w:t>
      </w:r>
      <w:r w:rsidR="00A31DFA">
        <w:t>«</w:t>
      </w:r>
      <w:r w:rsidRPr="009B46DD">
        <w:t>Procédures de publication anticipée, de coordination, de notification et d'inscription des assignations de fréquence relatives aux réseaux à satellite</w:t>
      </w:r>
      <w:r w:rsidR="00A31DFA">
        <w:t>»</w:t>
      </w:r>
      <w:r w:rsidRPr="009B46DD">
        <w:t>, conformément à la Résolution </w:t>
      </w:r>
      <w:r w:rsidRPr="009B46DD">
        <w:rPr>
          <w:b/>
          <w:bCs/>
        </w:rPr>
        <w:t>86 (Rév.CMR-07)</w:t>
      </w:r>
      <w:r w:rsidRPr="009B46DD">
        <w:t>, afin de faciliter l'utilisation rationnelle, efficace et économique des fréquences radioélectriques et des orbites associées, y compris de l'orbite des satellites géostationnaires;</w:t>
      </w:r>
    </w:p>
    <w:p w14:paraId="78746A59" w14:textId="065A39D1" w:rsidR="001C0E40" w:rsidRPr="00404314" w:rsidRDefault="005C6044" w:rsidP="00CF4808">
      <w:r w:rsidRPr="009B46DD">
        <w:t>7</w:t>
      </w:r>
      <w:r>
        <w:t>(J)</w:t>
      </w:r>
      <w:r w:rsidRPr="009B46DD">
        <w:tab/>
      </w:r>
      <w:r w:rsidRPr="009C5955">
        <w:t xml:space="preserve">Question J – Limite de puissance surfacique figurant dans la section 1 de l'Annexe 1 de l'Appendice </w:t>
      </w:r>
      <w:r w:rsidRPr="009C5955">
        <w:rPr>
          <w:b/>
          <w:bCs/>
        </w:rPr>
        <w:t>30</w:t>
      </w:r>
      <w:r w:rsidRPr="009C5955">
        <w:t xml:space="preserve"> du RR.</w:t>
      </w:r>
    </w:p>
    <w:p w14:paraId="2520D95C" w14:textId="1466C243" w:rsidR="003A583E" w:rsidRDefault="005C6044" w:rsidP="00CF4808">
      <w:pPr>
        <w:pStyle w:val="Headingb"/>
      </w:pPr>
      <w:r w:rsidRPr="005C6044">
        <w:t>Introduction</w:t>
      </w:r>
    </w:p>
    <w:p w14:paraId="3345C77A" w14:textId="0DEA7B40" w:rsidR="00EF06F5" w:rsidRDefault="00596F68" w:rsidP="00CF4808">
      <w:pPr>
        <w:rPr>
          <w:lang w:val="fr-CH"/>
        </w:rPr>
      </w:pPr>
      <w:r>
        <w:rPr>
          <w:lang w:val="fr-CH"/>
        </w:rPr>
        <w:t xml:space="preserve">La République de Corée et la République d'Indonésie sont d'avis que la limite de puissance surfacique visée au </w:t>
      </w:r>
      <w:r w:rsidRPr="00507F9C">
        <w:rPr>
          <w:lang w:val="fr-CH"/>
        </w:rPr>
        <w:t xml:space="preserve">premier alinéa de la section 1 de l'Annexe 1 de l'Appendice </w:t>
      </w:r>
      <w:r w:rsidRPr="00507F9C">
        <w:rPr>
          <w:b/>
          <w:bCs/>
          <w:lang w:val="fr-CH"/>
        </w:rPr>
        <w:t>30</w:t>
      </w:r>
      <w:r w:rsidRPr="00507F9C">
        <w:rPr>
          <w:lang w:val="fr-CH"/>
        </w:rPr>
        <w:t xml:space="preserve"> du RR </w:t>
      </w:r>
      <w:r>
        <w:rPr>
          <w:lang w:val="fr-CH"/>
        </w:rPr>
        <w:t>est une</w:t>
      </w:r>
      <w:r w:rsidRPr="00507F9C">
        <w:rPr>
          <w:lang w:val="fr-CH"/>
        </w:rPr>
        <w:t xml:space="preserve"> limite stricte à ne pas dépasser</w:t>
      </w:r>
      <w:r w:rsidRPr="00596F68">
        <w:rPr>
          <w:color w:val="000000"/>
        </w:rPr>
        <w:t xml:space="preserve"> </w:t>
      </w:r>
      <w:r>
        <w:rPr>
          <w:color w:val="000000"/>
        </w:rPr>
        <w:t>dans les zones frontalières et sur les autres territoires relevant de la juridiction d'une quelconque autre administration,</w:t>
      </w:r>
      <w:r w:rsidRPr="00507F9C">
        <w:rPr>
          <w:lang w:val="fr-CH"/>
        </w:rPr>
        <w:t xml:space="preserve"> afin de protéger les assignations du SRS contre les brouillages susceptibles d'être causés par les réseaux du SRS situé</w:t>
      </w:r>
      <w:r>
        <w:rPr>
          <w:lang w:val="fr-CH"/>
        </w:rPr>
        <w:t>s</w:t>
      </w:r>
      <w:r w:rsidRPr="00507F9C">
        <w:rPr>
          <w:lang w:val="fr-CH"/>
        </w:rPr>
        <w:t xml:space="preserve"> en dehors d'un arc de </w:t>
      </w:r>
      <w:r>
        <w:rPr>
          <w:color w:val="000000"/>
        </w:rPr>
        <w:t>±</w:t>
      </w:r>
      <w:r w:rsidR="00CF4808">
        <w:rPr>
          <w:color w:val="000000"/>
        </w:rPr>
        <w:t xml:space="preserve"> </w:t>
      </w:r>
      <w:r>
        <w:rPr>
          <w:color w:val="000000"/>
        </w:rPr>
        <w:t>9°</w:t>
      </w:r>
      <w:r w:rsidRPr="00507F9C">
        <w:rPr>
          <w:lang w:val="fr-CH"/>
        </w:rPr>
        <w:t xml:space="preserve"> autour d'un réseau utile du SRS.</w:t>
      </w:r>
    </w:p>
    <w:p w14:paraId="37629E53" w14:textId="1FD35E70" w:rsidR="005C6044" w:rsidRPr="005C6044" w:rsidRDefault="00EF06F5" w:rsidP="00CF4808">
      <w:r>
        <w:rPr>
          <w:lang w:val="fr-CH"/>
        </w:rPr>
        <w:t xml:space="preserve">En outre, comme il </w:t>
      </w:r>
      <w:r w:rsidRPr="0049733D">
        <w:rPr>
          <w:lang w:val="fr-CH"/>
        </w:rPr>
        <w:t xml:space="preserve">serait très difficile, sur le plan technique </w:t>
      </w:r>
      <w:r>
        <w:rPr>
          <w:lang w:val="fr-CH"/>
        </w:rPr>
        <w:t>et dans la</w:t>
      </w:r>
      <w:r w:rsidRPr="0049733D">
        <w:rPr>
          <w:lang w:val="fr-CH"/>
        </w:rPr>
        <w:t xml:space="preserve"> pratique, de respecter la limite de puissance surfacique visée </w:t>
      </w:r>
      <w:r>
        <w:rPr>
          <w:lang w:val="fr-CH"/>
        </w:rPr>
        <w:t xml:space="preserve">au </w:t>
      </w:r>
      <w:r w:rsidRPr="00507F9C">
        <w:rPr>
          <w:lang w:val="fr-CH"/>
        </w:rPr>
        <w:t>premier alinéa de la section 1 de l'Annexe 1 de l'Appendice</w:t>
      </w:r>
      <w:r w:rsidR="00D01EA8">
        <w:rPr>
          <w:lang w:val="fr-CH"/>
        </w:rPr>
        <w:t> </w:t>
      </w:r>
      <w:r w:rsidRPr="00507F9C">
        <w:rPr>
          <w:b/>
          <w:bCs/>
          <w:lang w:val="fr-CH"/>
        </w:rPr>
        <w:t>30</w:t>
      </w:r>
      <w:r w:rsidRPr="00507F9C">
        <w:rPr>
          <w:lang w:val="fr-CH"/>
        </w:rPr>
        <w:t xml:space="preserve"> du RR</w:t>
      </w:r>
      <w:r w:rsidRPr="0049733D">
        <w:rPr>
          <w:lang w:val="fr-CH"/>
        </w:rPr>
        <w:t xml:space="preserve"> </w:t>
      </w:r>
      <w:r>
        <w:rPr>
          <w:lang w:val="fr-CH"/>
        </w:rPr>
        <w:t>sur le territoire d'autres administrations qui est géographiquement proche du territoire de l'administration notificatrice lo</w:t>
      </w:r>
      <w:bookmarkStart w:id="5" w:name="_GoBack"/>
      <w:bookmarkEnd w:id="5"/>
      <w:r>
        <w:rPr>
          <w:lang w:val="fr-CH"/>
        </w:rPr>
        <w:t>rsque le dépassement de la limite est autorisé à l'intérieur du territoire national de l'administration notificatrice, les dispositions réglementaires actuelles relatives à la limite stricte ne devraient pas être modifiées.</w:t>
      </w:r>
    </w:p>
    <w:p w14:paraId="57434234" w14:textId="262BAB4D" w:rsidR="005C6044" w:rsidRPr="00CF4808" w:rsidRDefault="00EF06F5" w:rsidP="00CF4808">
      <w:r w:rsidRPr="00EF06F5">
        <w:t>Par conséquent</w:t>
      </w:r>
      <w:r w:rsidR="005C6044" w:rsidRPr="00EF06F5">
        <w:t xml:space="preserve">, </w:t>
      </w:r>
      <w:r w:rsidRPr="00EF06F5">
        <w:t xml:space="preserve">la </w:t>
      </w:r>
      <w:r>
        <w:rPr>
          <w:lang w:val="fr-CH"/>
        </w:rPr>
        <w:t xml:space="preserve">République de Corée et la République d'Indonésie </w:t>
      </w:r>
      <w:r>
        <w:t xml:space="preserve">sont d'avis qu'il ne faut apporter aucune modification à l'Annexe 1 de l'Appendice </w:t>
      </w:r>
      <w:r w:rsidR="005C6044" w:rsidRPr="00EF06F5">
        <w:rPr>
          <w:b/>
          <w:bCs/>
        </w:rPr>
        <w:t>30</w:t>
      </w:r>
      <w:r w:rsidR="006B4009">
        <w:rPr>
          <w:b/>
          <w:bCs/>
        </w:rPr>
        <w:t xml:space="preserve"> </w:t>
      </w:r>
      <w:r w:rsidR="006B4009">
        <w:t>du RR</w:t>
      </w:r>
      <w:r w:rsidR="005C6044" w:rsidRPr="00EF06F5">
        <w:t>.</w:t>
      </w:r>
    </w:p>
    <w:p w14:paraId="5709935F" w14:textId="0B989F7B" w:rsidR="00CF4808" w:rsidRDefault="00CF4808" w:rsidP="00CF4808">
      <w:pPr>
        <w:pStyle w:val="Headingb"/>
      </w:pPr>
      <w:bookmarkStart w:id="6" w:name="_Toc459986340"/>
      <w:bookmarkStart w:id="7" w:name="_Toc459987790"/>
      <w:r w:rsidRPr="005C6044">
        <w:t>Propositions</w:t>
      </w:r>
    </w:p>
    <w:p w14:paraId="792AD7F8" w14:textId="77777777" w:rsidR="00D01EA8" w:rsidRPr="00D01EA8" w:rsidRDefault="00D01EA8" w:rsidP="00D01EA8"/>
    <w:p w14:paraId="34BF01FB" w14:textId="74575FF8" w:rsidR="00221098" w:rsidRPr="00CF4808" w:rsidRDefault="005C6044" w:rsidP="00CF4808">
      <w:pPr>
        <w:pStyle w:val="AppendixNo"/>
      </w:pPr>
      <w:r w:rsidRPr="00CF4808">
        <w:lastRenderedPageBreak/>
        <w:t xml:space="preserve">APPENDICE </w:t>
      </w:r>
      <w:r w:rsidRPr="00CF4808">
        <w:rPr>
          <w:rStyle w:val="href"/>
        </w:rPr>
        <w:t>30</w:t>
      </w:r>
      <w:r w:rsidRPr="00CF4808">
        <w:t xml:space="preserve"> (RÉV.CMR</w:t>
      </w:r>
      <w:r w:rsidRPr="00CF4808">
        <w:noBreakHyphen/>
        <w:t>15)</w:t>
      </w:r>
      <w:r w:rsidRPr="00CF4808">
        <w:rPr>
          <w:rStyle w:val="FootnoteReference"/>
          <w:position w:val="0"/>
          <w:sz w:val="28"/>
        </w:rPr>
        <w:footnoteReference w:customMarkFollows="1" w:id="1"/>
        <w:t>*</w:t>
      </w:r>
      <w:bookmarkEnd w:id="6"/>
      <w:bookmarkEnd w:id="7"/>
    </w:p>
    <w:p w14:paraId="1EBBC471" w14:textId="77777777" w:rsidR="00221098" w:rsidRPr="003F7C6E" w:rsidRDefault="005C6044" w:rsidP="00CF4808">
      <w:pPr>
        <w:pStyle w:val="Appendixtitle"/>
        <w:rPr>
          <w:rFonts w:asciiTheme="majorBidi" w:hAnsiTheme="majorBidi"/>
        </w:rPr>
      </w:pPr>
      <w:bookmarkStart w:id="8" w:name="_Toc459986341"/>
      <w:bookmarkStart w:id="9" w:name="_Toc459987791"/>
      <w:r>
        <w:rPr>
          <w:lang w:val="fr-CH"/>
        </w:rPr>
        <w:t xml:space="preserve">Dispositions applicables à tous les </w:t>
      </w:r>
      <w:r w:rsidRPr="00686985">
        <w:t>services</w:t>
      </w:r>
      <w:r>
        <w:rPr>
          <w:lang w:val="fr-CH"/>
        </w:rPr>
        <w:t xml:space="preserve"> et Plans et Liste</w:t>
      </w:r>
      <w:r w:rsidRPr="00981B1A">
        <w:rPr>
          <w:rStyle w:val="FootnoteReference"/>
          <w:rFonts w:ascii="Times New Roman" w:hAnsi="Times New Roman"/>
          <w:b w:val="0"/>
          <w:bCs/>
          <w:color w:val="000000"/>
          <w:lang w:val="fr-CH"/>
        </w:rPr>
        <w:footnoteReference w:customMarkFollows="1" w:id="2"/>
        <w:t>1</w:t>
      </w:r>
      <w:r>
        <w:rPr>
          <w:lang w:val="fr-CH"/>
        </w:rPr>
        <w:t xml:space="preserve"> associés</w:t>
      </w:r>
      <w:r>
        <w:rPr>
          <w:lang w:val="fr-CH"/>
        </w:rPr>
        <w:br/>
        <w:t>concernant le service de radiodiffusion par satellite dans les</w:t>
      </w:r>
      <w:r>
        <w:rPr>
          <w:lang w:val="fr-CH"/>
        </w:rPr>
        <w:br/>
        <w:t>bandes 11,7-12,2 GHz (dans la Région 3), 11,7-12,5 GHz</w:t>
      </w:r>
      <w:r>
        <w:rPr>
          <w:lang w:val="fr-CH"/>
        </w:rPr>
        <w:br/>
        <w:t>(dans la Région 1) et 12,2-12,7 GHz (dans la Région 2)</w:t>
      </w:r>
      <w:r w:rsidRPr="00050C63">
        <w:rPr>
          <w:b w:val="0"/>
          <w:sz w:val="16"/>
          <w:lang w:val="fr-CH"/>
        </w:rPr>
        <w:t>     </w:t>
      </w:r>
      <w:r w:rsidRPr="003F7C6E">
        <w:rPr>
          <w:rFonts w:asciiTheme="majorBidi" w:hAnsiTheme="majorBidi"/>
          <w:b w:val="0"/>
          <w:sz w:val="16"/>
          <w:lang w:val="fr-CH"/>
        </w:rPr>
        <w:t>(CMR</w:t>
      </w:r>
      <w:r w:rsidRPr="003F7C6E">
        <w:rPr>
          <w:rFonts w:asciiTheme="majorBidi" w:hAnsiTheme="majorBidi"/>
          <w:b w:val="0"/>
          <w:sz w:val="16"/>
          <w:lang w:val="fr-CH"/>
        </w:rPr>
        <w:noBreakHyphen/>
        <w:t>03)</w:t>
      </w:r>
      <w:bookmarkEnd w:id="8"/>
      <w:bookmarkEnd w:id="9"/>
    </w:p>
    <w:p w14:paraId="246BD6C1" w14:textId="77777777" w:rsidR="00221098" w:rsidRDefault="005C6044" w:rsidP="00CF4808">
      <w:pPr>
        <w:pStyle w:val="AnnexNo"/>
      </w:pPr>
      <w:bookmarkStart w:id="10" w:name="_Toc459986356"/>
      <w:bookmarkStart w:id="11" w:name="_Toc459987792"/>
      <w:r>
        <w:rPr>
          <w:lang w:val="fr-CH"/>
        </w:rPr>
        <w:t>ANNEXE 1</w:t>
      </w:r>
      <w:r>
        <w:rPr>
          <w:sz w:val="16"/>
          <w:lang w:val="fr-CH"/>
        </w:rPr>
        <w:t>     (R</w:t>
      </w:r>
      <w:r>
        <w:rPr>
          <w:caps w:val="0"/>
          <w:sz w:val="16"/>
          <w:lang w:val="fr-CH"/>
        </w:rPr>
        <w:t>ÉV</w:t>
      </w:r>
      <w:r>
        <w:rPr>
          <w:sz w:val="16"/>
          <w:lang w:val="fr-CH"/>
        </w:rPr>
        <w:t>.CMR-15)</w:t>
      </w:r>
      <w:bookmarkEnd w:id="10"/>
      <w:bookmarkEnd w:id="11"/>
    </w:p>
    <w:p w14:paraId="581A6A53" w14:textId="77777777" w:rsidR="00221098" w:rsidRDefault="005C6044" w:rsidP="00CF4808">
      <w:pPr>
        <w:pStyle w:val="Annextitle"/>
      </w:pPr>
      <w:bookmarkStart w:id="12" w:name="_Toc459987793"/>
      <w:r w:rsidRPr="00204783">
        <w:t>Limites</w:t>
      </w:r>
      <w:r>
        <w:rPr>
          <w:lang w:val="fr-CH"/>
        </w:rPr>
        <w:t xml:space="preserve"> à prendre en considération pour déterminer si un service d'une administration est affecté par un projet de modification du Plan pour la </w:t>
      </w:r>
      <w:r>
        <w:rPr>
          <w:lang w:val="fr-CH"/>
        </w:rPr>
        <w:br/>
        <w:t>Région 2 ou par un projet d'assignation nouvelle ou modifiée dans la Liste pour les Régions 1 et 3 ou lorsqu'il faut rechercher l'accord d'une autre administration conformément au présent Appendice</w:t>
      </w:r>
      <w:r w:rsidRPr="00891C97">
        <w:rPr>
          <w:rStyle w:val="FootnoteReference"/>
          <w:rFonts w:asciiTheme="majorBidi" w:hAnsiTheme="majorBidi"/>
          <w:b w:val="0"/>
          <w:bCs/>
          <w:color w:val="000000"/>
          <w:lang w:val="fr-CH"/>
        </w:rPr>
        <w:footnoteReference w:customMarkFollows="1" w:id="3"/>
        <w:t>25</w:t>
      </w:r>
      <w:bookmarkEnd w:id="12"/>
    </w:p>
    <w:p w14:paraId="086DE58C" w14:textId="77777777" w:rsidR="00CF2054" w:rsidRDefault="005C6044" w:rsidP="00CF4808">
      <w:pPr>
        <w:pStyle w:val="Proposal"/>
      </w:pPr>
      <w:r>
        <w:rPr>
          <w:u w:val="single"/>
        </w:rPr>
        <w:t>NOC</w:t>
      </w:r>
      <w:r>
        <w:tab/>
        <w:t>KOR/INS/63/1</w:t>
      </w:r>
      <w:r>
        <w:rPr>
          <w:vanish/>
          <w:color w:val="7F7F7F" w:themeColor="text1" w:themeTint="80"/>
          <w:vertAlign w:val="superscript"/>
        </w:rPr>
        <w:t>#50132</w:t>
      </w:r>
    </w:p>
    <w:p w14:paraId="7B0BD4D8" w14:textId="77777777" w:rsidR="007132E2" w:rsidRPr="00F405A9" w:rsidRDefault="005C6044" w:rsidP="00CF4808">
      <w:pPr>
        <w:pStyle w:val="Heading1"/>
        <w:rPr>
          <w:lang w:val="fr-CH"/>
        </w:rPr>
      </w:pPr>
      <w:bookmarkStart w:id="13" w:name="_Toc525201428"/>
      <w:bookmarkStart w:id="14" w:name="_Toc3466535"/>
      <w:bookmarkStart w:id="15" w:name="_Toc3812021"/>
      <w:bookmarkStart w:id="16" w:name="_Toc3817983"/>
      <w:bookmarkStart w:id="17" w:name="_Toc3824040"/>
      <w:bookmarkStart w:id="18" w:name="_Toc3888151"/>
      <w:r w:rsidRPr="00F405A9">
        <w:rPr>
          <w:lang w:val="fr-CH"/>
        </w:rPr>
        <w:t>1</w:t>
      </w:r>
      <w:r w:rsidRPr="00F405A9">
        <w:rPr>
          <w:lang w:val="fr-CH"/>
        </w:rPr>
        <w:tab/>
        <w:t>Limites applicables au brouillage causé aux assignations de fréquence conformes au Plan pour les Régions 1 et 3 ou à la Liste pour les Régions 1 et 3 ou causé aux assignations nouvelles ou modifiées de la Liste pour les Régions 1 et 3</w:t>
      </w:r>
      <w:bookmarkEnd w:id="13"/>
      <w:bookmarkEnd w:id="14"/>
      <w:bookmarkEnd w:id="15"/>
      <w:bookmarkEnd w:id="16"/>
      <w:bookmarkEnd w:id="17"/>
      <w:bookmarkEnd w:id="18"/>
    </w:p>
    <w:p w14:paraId="3017410F" w14:textId="74487DB5" w:rsidR="005C6044" w:rsidRPr="001D7288" w:rsidRDefault="005C6044" w:rsidP="00CF4808">
      <w:pPr>
        <w:pStyle w:val="Reasons"/>
        <w:rPr>
          <w:lang w:val="fr-CH"/>
        </w:rPr>
      </w:pPr>
      <w:r w:rsidRPr="001D7288">
        <w:rPr>
          <w:b/>
          <w:lang w:val="fr-CH"/>
        </w:rPr>
        <w:t>Motifs:</w:t>
      </w:r>
      <w:r w:rsidRPr="001D7288">
        <w:rPr>
          <w:lang w:val="fr-CH"/>
        </w:rPr>
        <w:tab/>
      </w:r>
      <w:r w:rsidR="001D7288">
        <w:rPr>
          <w:lang w:val="fr-CH"/>
        </w:rPr>
        <w:t xml:space="preserve">Comme il </w:t>
      </w:r>
      <w:r w:rsidR="001D7288" w:rsidRPr="0049733D">
        <w:rPr>
          <w:lang w:val="fr-CH"/>
        </w:rPr>
        <w:t xml:space="preserve">serait très difficile, sur le plan technique </w:t>
      </w:r>
      <w:r w:rsidR="001D7288">
        <w:rPr>
          <w:lang w:val="fr-CH"/>
        </w:rPr>
        <w:t>et dans la</w:t>
      </w:r>
      <w:r w:rsidR="001D7288" w:rsidRPr="0049733D">
        <w:rPr>
          <w:lang w:val="fr-CH"/>
        </w:rPr>
        <w:t xml:space="preserve"> pratique, de respecter la limite de puissance surfacique visée </w:t>
      </w:r>
      <w:r w:rsidR="001D7288">
        <w:rPr>
          <w:lang w:val="fr-CH"/>
        </w:rPr>
        <w:t xml:space="preserve">au </w:t>
      </w:r>
      <w:r w:rsidR="001D7288" w:rsidRPr="00507F9C">
        <w:rPr>
          <w:lang w:val="fr-CH"/>
        </w:rPr>
        <w:t>premier alinéa de la section 1 de l'Annexe 1 de l'Appendice</w:t>
      </w:r>
      <w:r w:rsidR="001D7288">
        <w:rPr>
          <w:lang w:val="fr-CH"/>
        </w:rPr>
        <w:t> </w:t>
      </w:r>
      <w:r w:rsidR="001D7288" w:rsidRPr="00507F9C">
        <w:rPr>
          <w:b/>
          <w:bCs/>
          <w:lang w:val="fr-CH"/>
        </w:rPr>
        <w:t>30</w:t>
      </w:r>
      <w:r w:rsidR="001D7288" w:rsidRPr="00507F9C">
        <w:rPr>
          <w:lang w:val="fr-CH"/>
        </w:rPr>
        <w:t xml:space="preserve"> du RR</w:t>
      </w:r>
      <w:r w:rsidR="001D7288" w:rsidRPr="0049733D">
        <w:rPr>
          <w:lang w:val="fr-CH"/>
        </w:rPr>
        <w:t xml:space="preserve"> </w:t>
      </w:r>
      <w:r w:rsidR="001D7288">
        <w:rPr>
          <w:lang w:val="fr-CH"/>
        </w:rPr>
        <w:t>sur le territoire d'autres administrations qui est géographiquement proche du territoire de l'administration notificatrice lorsque le dépassement de la limite est autorisé à l'intérieur du territoire national de l'administration notificatrice, les dispositions réglementaires actuelles relatives à la limite stricte ne devraient pas être modifiées.</w:t>
      </w:r>
    </w:p>
    <w:p w14:paraId="0FF14A06" w14:textId="17587FC7" w:rsidR="00CF2054" w:rsidRPr="005C6044" w:rsidRDefault="005C6044" w:rsidP="00CF4808">
      <w:pPr>
        <w:jc w:val="center"/>
      </w:pPr>
      <w:r>
        <w:t>______________</w:t>
      </w:r>
    </w:p>
    <w:sectPr w:rsidR="00CF2054" w:rsidRPr="005C604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2F8F6" w14:textId="77777777" w:rsidR="0070076C" w:rsidRDefault="0070076C">
      <w:r>
        <w:separator/>
      </w:r>
    </w:p>
  </w:endnote>
  <w:endnote w:type="continuationSeparator" w:id="0">
    <w:p w14:paraId="78283D4F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7FE1A" w14:textId="616C7CAA" w:rsidR="00936D25" w:rsidRPr="00777485" w:rsidRDefault="00936D25">
    <w:pPr>
      <w:rPr>
        <w:lang w:val="fr-CH"/>
      </w:rPr>
    </w:pPr>
    <w:r>
      <w:fldChar w:fldCharType="begin"/>
    </w:r>
    <w:r w:rsidRPr="00777485">
      <w:rPr>
        <w:lang w:val="fr-CH"/>
      </w:rPr>
      <w:instrText xml:space="preserve"> FILENAME \p  \* MERGEFORMAT </w:instrText>
    </w:r>
    <w:r>
      <w:fldChar w:fldCharType="separate"/>
    </w:r>
    <w:r w:rsidR="00642E28">
      <w:rPr>
        <w:noProof/>
        <w:lang w:val="fr-CH"/>
      </w:rPr>
      <w:t>P:\FRA\ITU-R\CONF-R\CMR19\000\063F.docx</w:t>
    </w:r>
    <w:r>
      <w:fldChar w:fldCharType="end"/>
    </w:r>
    <w:r w:rsidRPr="0077748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2E28">
      <w:rPr>
        <w:noProof/>
      </w:rPr>
      <w:t>25.10.19</w:t>
    </w:r>
    <w:r>
      <w:fldChar w:fldCharType="end"/>
    </w:r>
    <w:r w:rsidRPr="0077748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42E28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0F91" w14:textId="43B64FC3" w:rsidR="00936D25" w:rsidRPr="00777485" w:rsidRDefault="00642E28" w:rsidP="00A31DFA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P:\FRA\ITU-R\CONF-R\CMR19\000\063F.docx</w:t>
    </w:r>
    <w:r>
      <w:fldChar w:fldCharType="end"/>
    </w:r>
    <w:r w:rsidR="00A31DFA">
      <w:t xml:space="preserve"> (462090)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23C7" w14:textId="696D6E95" w:rsidR="00936D25" w:rsidRPr="00777485" w:rsidRDefault="00642E28" w:rsidP="00A31DFA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P:\FRA\ITU-R\CONF-R\CMR19\000\063F.docx</w:t>
    </w:r>
    <w:r>
      <w:fldChar w:fldCharType="end"/>
    </w:r>
    <w:r w:rsidR="00A31DFA">
      <w:t xml:space="preserve"> (462090)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CE921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10EFE0B" w14:textId="77777777" w:rsidR="0070076C" w:rsidRDefault="0070076C">
      <w:r>
        <w:continuationSeparator/>
      </w:r>
    </w:p>
  </w:footnote>
  <w:footnote w:id="1">
    <w:p w14:paraId="202930E8" w14:textId="77777777" w:rsidR="00E555B4" w:rsidRDefault="005C6044" w:rsidP="00193AD6">
      <w:pPr>
        <w:pStyle w:val="FootnoteText"/>
      </w:pPr>
      <w:r>
        <w:rPr>
          <w:rStyle w:val="FootnoteReference"/>
        </w:rPr>
        <w:t>*</w:t>
      </w:r>
      <w:r>
        <w:tab/>
      </w:r>
      <w:r>
        <w:rPr>
          <w:lang w:val="fr-CH"/>
        </w:rPr>
        <w:t>L'expression «</w:t>
      </w:r>
      <w:r w:rsidRPr="00686985">
        <w:t>assignation</w:t>
      </w:r>
      <w:r>
        <w:rPr>
          <w:lang w:val="fr-CH"/>
        </w:rPr>
        <w:t xml:space="preserve"> de fréquence à une station spatiale», partout où elle figure dans le présent Appendice, doit être entendue comme se référant à une assignation de fréquence associée à une position orbitale donnée. Voir également l'Annexe 7 pour les restrictions applicables aux positions orbitales.</w:t>
      </w:r>
      <w:r>
        <w:t>     </w:t>
      </w:r>
      <w:r>
        <w:rPr>
          <w:sz w:val="16"/>
        </w:rPr>
        <w:t>(CMR-2000)</w:t>
      </w:r>
    </w:p>
  </w:footnote>
  <w:footnote w:id="2">
    <w:p w14:paraId="6745E49C" w14:textId="77777777" w:rsidR="00E555B4" w:rsidRDefault="005C6044" w:rsidP="00193AD6">
      <w:pPr>
        <w:pStyle w:val="FootnoteText"/>
        <w:rPr>
          <w:sz w:val="16"/>
          <w:lang w:val="fr-CH"/>
        </w:rPr>
      </w:pPr>
      <w:r>
        <w:rPr>
          <w:rStyle w:val="FootnoteReference"/>
        </w:rPr>
        <w:t>1</w:t>
      </w:r>
      <w:r>
        <w:t xml:space="preserve"> </w:t>
      </w:r>
      <w:r w:rsidRPr="004A0D59">
        <w:rPr>
          <w:lang w:val="fr-CH"/>
        </w:rPr>
        <w:tab/>
      </w:r>
      <w:r>
        <w:rPr>
          <w:lang w:val="fr-CH"/>
        </w:rPr>
        <w:t xml:space="preserve">La Liste des utilisations </w:t>
      </w:r>
      <w:r w:rsidRPr="00686985">
        <w:t>additionnelles</w:t>
      </w:r>
      <w:r>
        <w:rPr>
          <w:lang w:val="fr-CH"/>
        </w:rPr>
        <w:t xml:space="preserve"> pour les Régions 1 et 3 est annexée au Fichier de référence international des fréquences (voir la Résolution </w:t>
      </w:r>
      <w:r>
        <w:rPr>
          <w:b/>
          <w:bCs/>
        </w:rPr>
        <w:t>542</w:t>
      </w:r>
      <w:r>
        <w:rPr>
          <w:b/>
          <w:bCs/>
          <w:lang w:val="fr-CH"/>
        </w:rPr>
        <w:t xml:space="preserve"> (CMR</w:t>
      </w:r>
      <w:r>
        <w:rPr>
          <w:b/>
          <w:bCs/>
          <w:lang w:val="fr-CH"/>
        </w:rPr>
        <w:noBreakHyphen/>
        <w:t>2000)</w:t>
      </w:r>
      <w:r>
        <w:rPr>
          <w:rStyle w:val="FootnoteReference"/>
          <w:color w:val="000000"/>
        </w:rPr>
        <w:t>**</w:t>
      </w:r>
      <w:r>
        <w:rPr>
          <w:lang w:val="fr-CH"/>
        </w:rPr>
        <w:t>).</w:t>
      </w:r>
      <w:r>
        <w:rPr>
          <w:b/>
          <w:bCs/>
          <w:sz w:val="16"/>
          <w:lang w:val="fr-CH"/>
        </w:rPr>
        <w:t>     </w:t>
      </w:r>
      <w:r>
        <w:rPr>
          <w:sz w:val="16"/>
          <w:lang w:val="fr-CH"/>
        </w:rPr>
        <w:t xml:space="preserve"> (CMR-03)</w:t>
      </w:r>
    </w:p>
    <w:p w14:paraId="7F601494" w14:textId="77777777" w:rsidR="00E555B4" w:rsidRDefault="005C6044" w:rsidP="00193AD6">
      <w:pPr>
        <w:pStyle w:val="FootnoteText"/>
        <w:tabs>
          <w:tab w:val="left" w:pos="567"/>
        </w:tabs>
      </w:pPr>
      <w:r>
        <w:rPr>
          <w:lang w:val="fr-CH"/>
        </w:rPr>
        <w:tab/>
      </w:r>
      <w:r>
        <w:rPr>
          <w:rStyle w:val="FootnoteReference"/>
          <w:color w:val="000000"/>
        </w:rPr>
        <w:t>**</w:t>
      </w:r>
      <w:r>
        <w:tab/>
      </w:r>
      <w:r>
        <w:rPr>
          <w:i/>
          <w:iCs/>
        </w:rPr>
        <w:t>Note du Secrétariat</w:t>
      </w:r>
      <w:r w:rsidRPr="00B96D6D">
        <w:t xml:space="preserve">: </w:t>
      </w:r>
      <w:r>
        <w:t xml:space="preserve">Cette </w:t>
      </w:r>
      <w:r w:rsidRPr="00686985">
        <w:t>Résolution</w:t>
      </w:r>
      <w:r>
        <w:t xml:space="preserve"> a été abrogée par la CMR</w:t>
      </w:r>
      <w:r>
        <w:noBreakHyphen/>
        <w:t>03.</w:t>
      </w:r>
    </w:p>
    <w:p w14:paraId="24025ECA" w14:textId="77777777" w:rsidR="00E555B4" w:rsidRDefault="005C6044" w:rsidP="00193AD6">
      <w:pPr>
        <w:pStyle w:val="FootnoteText"/>
      </w:pPr>
      <w:r w:rsidRPr="00686985">
        <w:rPr>
          <w:i/>
          <w:iCs/>
        </w:rPr>
        <w:t>Note du Secrétariat</w:t>
      </w:r>
      <w:r w:rsidRPr="004F685F">
        <w:t>:</w:t>
      </w:r>
      <w:r w:rsidRPr="00686985">
        <w:rPr>
          <w:i/>
          <w:iCs/>
        </w:rPr>
        <w:t xml:space="preserve"> </w:t>
      </w:r>
      <w:r w:rsidRPr="00B040CA">
        <w:rPr>
          <w:iCs/>
        </w:rPr>
        <w:t>Les références à un Article avec son numéro en romain se réfèrent à un Article du présent Appendice.</w:t>
      </w:r>
    </w:p>
  </w:footnote>
  <w:footnote w:id="3">
    <w:p w14:paraId="09FB29F4" w14:textId="77777777" w:rsidR="00E555B4" w:rsidRDefault="005C6044" w:rsidP="00193AD6">
      <w:pPr>
        <w:pStyle w:val="FootnoteText"/>
        <w:rPr>
          <w:lang w:val="fr-CH"/>
        </w:rPr>
      </w:pPr>
      <w:r>
        <w:rPr>
          <w:rStyle w:val="FootnoteReference"/>
          <w:color w:val="000000"/>
        </w:rPr>
        <w:t>25</w:t>
      </w:r>
      <w:r>
        <w:t xml:space="preserve"> </w:t>
      </w:r>
      <w:r>
        <w:tab/>
      </w:r>
      <w:r>
        <w:rPr>
          <w:lang w:val="fr-CH"/>
        </w:rPr>
        <w:t>Dans la présente Annexe, sauf en ce qui concerne le § 2, les limites se rapportent à la puissance surfacique obtenue en supposant une propagation en espace libre.</w:t>
      </w:r>
    </w:p>
    <w:p w14:paraId="03851C75" w14:textId="77777777" w:rsidR="00E555B4" w:rsidRDefault="005C6044" w:rsidP="00193AD6">
      <w:pPr>
        <w:pStyle w:val="FootnoteText"/>
      </w:pPr>
      <w:r>
        <w:rPr>
          <w:lang w:val="fr-CH"/>
        </w:rPr>
        <w:tab/>
        <w:t>Dans le § 2 de la présente Annexe, la limite spécifiée se rapporte à la marge de protection globale équivalente calculée selon le § 2.2.4 de l'Annexe 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37F87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C801BF0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63-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D7288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96F68"/>
    <w:rsid w:val="005A7C75"/>
    <w:rsid w:val="005C3768"/>
    <w:rsid w:val="005C6044"/>
    <w:rsid w:val="005C6C3F"/>
    <w:rsid w:val="00613635"/>
    <w:rsid w:val="0062093D"/>
    <w:rsid w:val="00637ECF"/>
    <w:rsid w:val="00642E28"/>
    <w:rsid w:val="00647B59"/>
    <w:rsid w:val="00690C7B"/>
    <w:rsid w:val="006A4B45"/>
    <w:rsid w:val="006B4009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77485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1DFA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E2665"/>
    <w:rsid w:val="00BF26E7"/>
    <w:rsid w:val="00C53FCA"/>
    <w:rsid w:val="00C76BAF"/>
    <w:rsid w:val="00C814B9"/>
    <w:rsid w:val="00CD516F"/>
    <w:rsid w:val="00CF2054"/>
    <w:rsid w:val="00CF4808"/>
    <w:rsid w:val="00D01EA8"/>
    <w:rsid w:val="00D119A7"/>
    <w:rsid w:val="00D25FBA"/>
    <w:rsid w:val="00D32B28"/>
    <w:rsid w:val="00D42954"/>
    <w:rsid w:val="00D468A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06F5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E3F86E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R16-WRC19-C-0063!!MSW-F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92E4CD6-BA82-4C71-9CC1-3B2033198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39353-E130-4E9C-A2EA-6B5C6E25E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0A6D3E-5525-43C8-A82C-892E068F1700}">
  <ds:schemaRefs>
    <ds:schemaRef ds:uri="32a1a8c5-2265-4ebc-b7a0-2071e2c5c9bb"/>
    <ds:schemaRef ds:uri="http://schemas.microsoft.com/office/2006/documentManagement/types"/>
    <ds:schemaRef ds:uri="http://purl.org/dc/elements/1.1/"/>
    <ds:schemaRef ds:uri="996b2e75-67fd-4955-a3b0-5ab9934cb50b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3199</Characters>
  <Application>Microsoft Office Word</Application>
  <DocSecurity>0</DocSecurity>
  <Lines>68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R16-WRC19-C-0063!!MSW-F</vt:lpstr>
    </vt:vector>
  </TitlesOfParts>
  <Manager>Secrétariat général - Pool</Manager>
  <Company>Union internationale des télécommunications (UIT)</Company>
  <LinksUpToDate>false</LinksUpToDate>
  <CharactersWithSpaces>3742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R16-WRC19-C-0063!!MSW-F</dc:title>
  <dc:subject>Conférence mondiale des radiocommunications - 2019</dc:subject>
  <dc:creator>Documents Proposals Manager (DPM)</dc:creator>
  <cp:keywords>DPM_v2019.10.11.1_prod</cp:keywords>
  <dc:description/>
  <cp:lastModifiedBy>French</cp:lastModifiedBy>
  <cp:revision>5</cp:revision>
  <cp:lastPrinted>2019-10-25T15:51:00Z</cp:lastPrinted>
  <dcterms:created xsi:type="dcterms:W3CDTF">2019-10-25T05:32:00Z</dcterms:created>
  <dcterms:modified xsi:type="dcterms:W3CDTF">2019-10-25T15:51:00Z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