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F34240F" w14:textId="77777777">
        <w:trPr>
          <w:cantSplit/>
        </w:trPr>
        <w:tc>
          <w:tcPr>
            <w:tcW w:w="6911" w:type="dxa"/>
          </w:tcPr>
          <w:p w14:paraId="72C629E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742F816" w14:textId="77777777" w:rsidR="00A066F1" w:rsidRDefault="005F04D8" w:rsidP="003B2284">
            <w:pPr>
              <w:spacing w:before="0" w:line="240" w:lineRule="atLeast"/>
              <w:jc w:val="right"/>
            </w:pPr>
            <w:r>
              <w:rPr>
                <w:noProof/>
                <w:lang w:eastAsia="en-GB"/>
              </w:rPr>
              <w:drawing>
                <wp:inline distT="0" distB="0" distL="0" distR="0" wp14:anchorId="72512700" wp14:editId="2E52280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6841302" w14:textId="77777777">
        <w:trPr>
          <w:cantSplit/>
        </w:trPr>
        <w:tc>
          <w:tcPr>
            <w:tcW w:w="6911" w:type="dxa"/>
            <w:tcBorders>
              <w:bottom w:val="single" w:sz="12" w:space="0" w:color="auto"/>
            </w:tcBorders>
          </w:tcPr>
          <w:p w14:paraId="2E58128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3CC0FBA" w14:textId="77777777" w:rsidR="00A066F1" w:rsidRPr="00617BE4" w:rsidRDefault="00A066F1" w:rsidP="00A066F1">
            <w:pPr>
              <w:spacing w:before="0" w:line="240" w:lineRule="atLeast"/>
              <w:rPr>
                <w:rFonts w:ascii="Verdana" w:hAnsi="Verdana"/>
                <w:szCs w:val="24"/>
              </w:rPr>
            </w:pPr>
          </w:p>
        </w:tc>
      </w:tr>
      <w:tr w:rsidR="00A066F1" w:rsidRPr="00C324A8" w14:paraId="21F0ECEA" w14:textId="77777777">
        <w:trPr>
          <w:cantSplit/>
        </w:trPr>
        <w:tc>
          <w:tcPr>
            <w:tcW w:w="6911" w:type="dxa"/>
            <w:tcBorders>
              <w:top w:val="single" w:sz="12" w:space="0" w:color="auto"/>
            </w:tcBorders>
          </w:tcPr>
          <w:p w14:paraId="53DA15A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07DB761" w14:textId="77777777" w:rsidR="00A066F1" w:rsidRPr="00C324A8" w:rsidRDefault="00A066F1" w:rsidP="00A066F1">
            <w:pPr>
              <w:spacing w:before="0" w:line="240" w:lineRule="atLeast"/>
              <w:rPr>
                <w:rFonts w:ascii="Verdana" w:hAnsi="Verdana"/>
                <w:sz w:val="20"/>
              </w:rPr>
            </w:pPr>
          </w:p>
        </w:tc>
      </w:tr>
      <w:tr w:rsidR="00A066F1" w:rsidRPr="00C324A8" w14:paraId="2329A408" w14:textId="77777777">
        <w:trPr>
          <w:cantSplit/>
          <w:trHeight w:val="23"/>
        </w:trPr>
        <w:tc>
          <w:tcPr>
            <w:tcW w:w="6911" w:type="dxa"/>
            <w:shd w:val="clear" w:color="auto" w:fill="auto"/>
          </w:tcPr>
          <w:p w14:paraId="32BD9D68"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F4C74C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63</w:t>
            </w:r>
            <w:r w:rsidR="00A066F1" w:rsidRPr="00841216">
              <w:rPr>
                <w:rFonts w:ascii="Verdana" w:hAnsi="Verdana"/>
                <w:b/>
                <w:sz w:val="20"/>
              </w:rPr>
              <w:t>-</w:t>
            </w:r>
            <w:r w:rsidR="005E10C9" w:rsidRPr="00841216">
              <w:rPr>
                <w:rFonts w:ascii="Verdana" w:hAnsi="Verdana"/>
                <w:b/>
                <w:sz w:val="20"/>
              </w:rPr>
              <w:t>E</w:t>
            </w:r>
          </w:p>
        </w:tc>
      </w:tr>
      <w:tr w:rsidR="00A066F1" w:rsidRPr="00C324A8" w14:paraId="7B9FD9AF" w14:textId="77777777">
        <w:trPr>
          <w:cantSplit/>
          <w:trHeight w:val="23"/>
        </w:trPr>
        <w:tc>
          <w:tcPr>
            <w:tcW w:w="6911" w:type="dxa"/>
            <w:shd w:val="clear" w:color="auto" w:fill="auto"/>
          </w:tcPr>
          <w:p w14:paraId="0F868C4B"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7C0D45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26D2903E" w14:textId="77777777">
        <w:trPr>
          <w:cantSplit/>
          <w:trHeight w:val="23"/>
        </w:trPr>
        <w:tc>
          <w:tcPr>
            <w:tcW w:w="6911" w:type="dxa"/>
            <w:shd w:val="clear" w:color="auto" w:fill="auto"/>
          </w:tcPr>
          <w:p w14:paraId="3E6F0FF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5C4B7F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9AB3646" w14:textId="77777777" w:rsidTr="00025864">
        <w:trPr>
          <w:cantSplit/>
          <w:trHeight w:val="23"/>
        </w:trPr>
        <w:tc>
          <w:tcPr>
            <w:tcW w:w="10031" w:type="dxa"/>
            <w:gridSpan w:val="2"/>
            <w:shd w:val="clear" w:color="auto" w:fill="auto"/>
          </w:tcPr>
          <w:p w14:paraId="76F46A9E" w14:textId="77777777" w:rsidR="00A066F1" w:rsidRPr="00C324A8" w:rsidRDefault="00A066F1" w:rsidP="00A066F1">
            <w:pPr>
              <w:tabs>
                <w:tab w:val="left" w:pos="993"/>
              </w:tabs>
              <w:spacing w:before="0"/>
              <w:rPr>
                <w:rFonts w:ascii="Verdana" w:hAnsi="Verdana"/>
                <w:b/>
                <w:sz w:val="20"/>
              </w:rPr>
            </w:pPr>
          </w:p>
        </w:tc>
      </w:tr>
      <w:tr w:rsidR="00E55816" w:rsidRPr="00C324A8" w14:paraId="3BC26F0F" w14:textId="77777777" w:rsidTr="00025864">
        <w:trPr>
          <w:cantSplit/>
          <w:trHeight w:val="23"/>
        </w:trPr>
        <w:tc>
          <w:tcPr>
            <w:tcW w:w="10031" w:type="dxa"/>
            <w:gridSpan w:val="2"/>
            <w:shd w:val="clear" w:color="auto" w:fill="auto"/>
          </w:tcPr>
          <w:p w14:paraId="584DCD1B" w14:textId="77777777" w:rsidR="00E55816" w:rsidRDefault="00884D60" w:rsidP="00E55816">
            <w:pPr>
              <w:pStyle w:val="Source"/>
            </w:pPr>
            <w:r>
              <w:t>Korea (Republic of)/Indonesia (Republic of)</w:t>
            </w:r>
          </w:p>
        </w:tc>
      </w:tr>
      <w:tr w:rsidR="00E55816" w:rsidRPr="00C324A8" w14:paraId="73680143" w14:textId="77777777" w:rsidTr="00025864">
        <w:trPr>
          <w:cantSplit/>
          <w:trHeight w:val="23"/>
        </w:trPr>
        <w:tc>
          <w:tcPr>
            <w:tcW w:w="10031" w:type="dxa"/>
            <w:gridSpan w:val="2"/>
            <w:shd w:val="clear" w:color="auto" w:fill="auto"/>
          </w:tcPr>
          <w:p w14:paraId="2D2B5BA8" w14:textId="77777777" w:rsidR="00E55816" w:rsidRDefault="007D5320" w:rsidP="00E55816">
            <w:pPr>
              <w:pStyle w:val="Title1"/>
            </w:pPr>
            <w:r>
              <w:t>Proposals for the work of the conference</w:t>
            </w:r>
          </w:p>
        </w:tc>
      </w:tr>
      <w:tr w:rsidR="00E55816" w:rsidRPr="00C324A8" w14:paraId="01709C1C" w14:textId="77777777" w:rsidTr="00025864">
        <w:trPr>
          <w:cantSplit/>
          <w:trHeight w:val="23"/>
        </w:trPr>
        <w:tc>
          <w:tcPr>
            <w:tcW w:w="10031" w:type="dxa"/>
            <w:gridSpan w:val="2"/>
            <w:shd w:val="clear" w:color="auto" w:fill="auto"/>
          </w:tcPr>
          <w:p w14:paraId="7805613F" w14:textId="77777777" w:rsidR="00E55816" w:rsidRDefault="00E55816" w:rsidP="00E55816">
            <w:pPr>
              <w:pStyle w:val="Title2"/>
            </w:pPr>
          </w:p>
        </w:tc>
      </w:tr>
      <w:tr w:rsidR="00A538A6" w:rsidRPr="00C324A8" w14:paraId="1BFCD20C" w14:textId="77777777" w:rsidTr="00025864">
        <w:trPr>
          <w:cantSplit/>
          <w:trHeight w:val="23"/>
        </w:trPr>
        <w:tc>
          <w:tcPr>
            <w:tcW w:w="10031" w:type="dxa"/>
            <w:gridSpan w:val="2"/>
            <w:shd w:val="clear" w:color="auto" w:fill="auto"/>
          </w:tcPr>
          <w:p w14:paraId="58219924" w14:textId="77777777" w:rsidR="00A538A6" w:rsidRDefault="004B13CB" w:rsidP="004B13CB">
            <w:pPr>
              <w:pStyle w:val="Agendaitem"/>
            </w:pPr>
            <w:r>
              <w:t>Agenda item 7(J)</w:t>
            </w:r>
          </w:p>
        </w:tc>
      </w:tr>
    </w:tbl>
    <w:bookmarkEnd w:id="6"/>
    <w:bookmarkEnd w:id="7"/>
    <w:p w14:paraId="4D12DEBD" w14:textId="77777777" w:rsidR="005118F7" w:rsidRPr="00EC5386" w:rsidRDefault="00B37EFD"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7F7E454" w14:textId="77777777" w:rsidR="003E696A" w:rsidRPr="00EC5386" w:rsidRDefault="00B37EFD" w:rsidP="005179D1">
      <w:pPr>
        <w:overflowPunct/>
        <w:autoSpaceDE/>
        <w:autoSpaceDN/>
        <w:adjustRightInd/>
        <w:textAlignment w:val="auto"/>
        <w:rPr>
          <w:lang w:val="en-US"/>
        </w:rPr>
      </w:pPr>
      <w:r>
        <w:rPr>
          <w:lang w:val="en-US"/>
        </w:rPr>
        <w:t>7(J)</w:t>
      </w:r>
      <w:r w:rsidRPr="00656311">
        <w:rPr>
          <w:lang w:val="en-US"/>
        </w:rPr>
        <w:tab/>
      </w:r>
      <w:r w:rsidRPr="00CE594A">
        <w:rPr>
          <w:lang w:val="en-US"/>
        </w:rPr>
        <w:t xml:space="preserve">Issue </w:t>
      </w:r>
      <w:r>
        <w:rPr>
          <w:lang w:val="en-US"/>
        </w:rPr>
        <w:t>J</w:t>
      </w:r>
      <w:r w:rsidRPr="00CE594A">
        <w:rPr>
          <w:lang w:val="en-US"/>
        </w:rPr>
        <w:t xml:space="preserve"> - </w:t>
      </w:r>
      <w:r>
        <w:t>Pfd</w:t>
      </w:r>
      <w:r w:rsidRPr="006562AE">
        <w:rPr>
          <w:lang w:val="en-US"/>
        </w:rPr>
        <w:t xml:space="preserve"> limit in </w:t>
      </w:r>
      <w:r>
        <w:rPr>
          <w:lang w:val="en-US"/>
        </w:rPr>
        <w:t xml:space="preserve">Section 1, Annex 1 of </w:t>
      </w:r>
      <w:r w:rsidRPr="006562AE">
        <w:rPr>
          <w:lang w:val="en-US"/>
        </w:rPr>
        <w:t>RR Appendix</w:t>
      </w:r>
      <w:r>
        <w:rPr>
          <w:lang w:val="en-US"/>
        </w:rPr>
        <w:t xml:space="preserve"> </w:t>
      </w:r>
      <w:r w:rsidRPr="008F5E94">
        <w:rPr>
          <w:b/>
          <w:bCs/>
          <w:lang w:val="en-US"/>
        </w:rPr>
        <w:t>30</w:t>
      </w:r>
    </w:p>
    <w:p w14:paraId="2BFF6B65" w14:textId="77777777" w:rsidR="00B37EFD" w:rsidRPr="00B37EFD" w:rsidRDefault="00B37EFD" w:rsidP="00F84281">
      <w:pPr>
        <w:pStyle w:val="Headingb"/>
      </w:pPr>
      <w:r w:rsidRPr="00B37EFD">
        <w:t>Introduction</w:t>
      </w:r>
    </w:p>
    <w:p w14:paraId="00C7C55B" w14:textId="77777777" w:rsidR="00B37EFD" w:rsidRPr="0014636D" w:rsidRDefault="00B37EFD" w:rsidP="00C17DCF">
      <w:pPr>
        <w:rPr>
          <w:lang w:val="en-US"/>
        </w:rPr>
      </w:pPr>
      <w:r w:rsidRPr="0014636D">
        <w:rPr>
          <w:lang w:val="en-US"/>
        </w:rPr>
        <w:t xml:space="preserve">The Republic of Korea and the Republic of Indonesia have a view that the pfd limit referred to in the first paragraph of Section 1 of Annex 1 to RR Appendix </w:t>
      </w:r>
      <w:r w:rsidRPr="0014636D">
        <w:rPr>
          <w:b/>
          <w:lang w:val="en-US"/>
        </w:rPr>
        <w:t>30</w:t>
      </w:r>
      <w:r w:rsidRPr="0014636D">
        <w:rPr>
          <w:lang w:val="en-US"/>
        </w:rPr>
        <w:t xml:space="preserve"> is a hard limit that shall not be exceeded on the border areas and other territory under jurisdiction of any other administration in order to protect BSS assignments from interference that may be caused by BSS networks located outside an arc of </w:t>
      </w:r>
      <w:r w:rsidRPr="0014636D">
        <w:rPr>
          <w:rFonts w:ascii="Symbol" w:hAnsi="Symbol" w:cs="Symbol"/>
          <w:szCs w:val="24"/>
          <w:lang w:val="en-US" w:eastAsia="zh-CN"/>
        </w:rPr>
        <w:t></w:t>
      </w:r>
      <w:r w:rsidRPr="0014636D">
        <w:rPr>
          <w:lang w:val="en-US"/>
        </w:rPr>
        <w:t>9</w:t>
      </w:r>
      <w:r w:rsidRPr="0014636D">
        <w:rPr>
          <w:rFonts w:ascii="Symbol" w:hAnsi="Symbol" w:cs="Symbol"/>
          <w:szCs w:val="24"/>
          <w:lang w:val="en-US" w:eastAsia="zh-CN"/>
        </w:rPr>
        <w:t></w:t>
      </w:r>
      <w:r w:rsidRPr="0014636D">
        <w:rPr>
          <w:rFonts w:ascii="Symbol" w:hAnsi="Symbol" w:cs="Symbol"/>
          <w:szCs w:val="24"/>
          <w:lang w:val="en-US" w:eastAsia="zh-CN"/>
        </w:rPr>
        <w:t></w:t>
      </w:r>
      <w:r w:rsidRPr="0014636D">
        <w:rPr>
          <w:lang w:val="en-US"/>
        </w:rPr>
        <w:t>around a wanted BSS network.</w:t>
      </w:r>
    </w:p>
    <w:p w14:paraId="0AEAE85D" w14:textId="77777777" w:rsidR="00B37EFD" w:rsidRPr="0014636D" w:rsidRDefault="00B37EFD" w:rsidP="00B37EFD">
      <w:pPr>
        <w:rPr>
          <w:lang w:val="en-US"/>
        </w:rPr>
      </w:pPr>
      <w:r w:rsidRPr="0014636D">
        <w:t xml:space="preserve">In addition, because it would be very hard, technically in practice, to comply with the pfd limit referred to in the first paragraph of Section 1 of Annex 1 to RR Appendix </w:t>
      </w:r>
      <w:r w:rsidRPr="0014636D">
        <w:rPr>
          <w:b/>
        </w:rPr>
        <w:t xml:space="preserve">30 </w:t>
      </w:r>
      <w:r w:rsidRPr="0014636D">
        <w:t xml:space="preserve">on the territory of other administrations that is geographically close to that of the notifying administration </w:t>
      </w:r>
      <w:r w:rsidRPr="0014636D">
        <w:rPr>
          <w:lang w:eastAsia="ko-KR"/>
        </w:rPr>
        <w:t>when</w:t>
      </w:r>
      <w:r w:rsidRPr="0014636D">
        <w:rPr>
          <w:b/>
          <w:lang w:eastAsia="ko-KR"/>
        </w:rPr>
        <w:t xml:space="preserve"> </w:t>
      </w:r>
      <w:r w:rsidRPr="0014636D">
        <w:rPr>
          <w:lang w:eastAsia="ko-KR"/>
        </w:rPr>
        <w:t xml:space="preserve">exceedance of the limit is allowed within the </w:t>
      </w:r>
      <w:r w:rsidRPr="0014636D">
        <w:rPr>
          <w:lang w:eastAsia="ja-JP"/>
        </w:rPr>
        <w:t>national territory of the notifying administration, current regulatory provisions for the hard limit should not be changed.</w:t>
      </w:r>
    </w:p>
    <w:p w14:paraId="70E0E304" w14:textId="77777777" w:rsidR="00B37EFD" w:rsidRDefault="00B37EFD">
      <w:pPr>
        <w:rPr>
          <w:lang w:val="en-US"/>
        </w:rPr>
      </w:pPr>
      <w:r w:rsidRPr="0014636D">
        <w:rPr>
          <w:lang w:val="en-US"/>
        </w:rPr>
        <w:t xml:space="preserve">Therefore, the Republic of Korea and the Republic of Indonesia support </w:t>
      </w:r>
      <w:r w:rsidR="00C17DCF" w:rsidRPr="0014636D">
        <w:rPr>
          <w:lang w:val="en-US"/>
          <w:rPrChange w:id="8" w:author="Arnould, Carine" w:date="2019-10-14T13:59:00Z">
            <w:rPr>
              <w:highlight w:val="cyan"/>
              <w:lang w:val="en-US"/>
            </w:rPr>
          </w:rPrChange>
        </w:rPr>
        <w:t>n</w:t>
      </w:r>
      <w:r w:rsidRPr="0014636D">
        <w:rPr>
          <w:lang w:val="en-US"/>
        </w:rPr>
        <w:t xml:space="preserve">o </w:t>
      </w:r>
      <w:r w:rsidR="00C17DCF" w:rsidRPr="0014636D">
        <w:rPr>
          <w:lang w:val="en-US"/>
          <w:rPrChange w:id="9" w:author="Arnould, Carine" w:date="2019-10-14T13:59:00Z">
            <w:rPr>
              <w:highlight w:val="cyan"/>
              <w:lang w:val="en-US"/>
            </w:rPr>
          </w:rPrChange>
        </w:rPr>
        <w:t>c</w:t>
      </w:r>
      <w:r w:rsidRPr="0014636D">
        <w:rPr>
          <w:lang w:val="en-US"/>
        </w:rPr>
        <w:t xml:space="preserve">hanges to Annex 1 of RR Appendix </w:t>
      </w:r>
      <w:r w:rsidRPr="0014636D">
        <w:rPr>
          <w:b/>
          <w:lang w:val="en-US"/>
        </w:rPr>
        <w:t>30</w:t>
      </w:r>
      <w:r w:rsidRPr="0014636D">
        <w:rPr>
          <w:lang w:val="en-US"/>
        </w:rPr>
        <w:t>.</w:t>
      </w:r>
    </w:p>
    <w:p w14:paraId="799277B0" w14:textId="77777777" w:rsidR="00187BD9" w:rsidRPr="00F84281" w:rsidRDefault="00187BD9" w:rsidP="00187BD9">
      <w:pPr>
        <w:tabs>
          <w:tab w:val="clear" w:pos="1134"/>
          <w:tab w:val="clear" w:pos="1871"/>
          <w:tab w:val="clear" w:pos="2268"/>
        </w:tabs>
        <w:overflowPunct/>
        <w:autoSpaceDE/>
        <w:autoSpaceDN/>
        <w:adjustRightInd/>
        <w:spacing w:before="0"/>
        <w:textAlignment w:val="auto"/>
      </w:pPr>
      <w:r w:rsidRPr="00F84281">
        <w:br w:type="page"/>
      </w:r>
    </w:p>
    <w:p w14:paraId="6F9688F6" w14:textId="7D114784" w:rsidR="007349BA" w:rsidRDefault="007349BA" w:rsidP="007349BA">
      <w:pPr>
        <w:pStyle w:val="Headingb"/>
      </w:pPr>
      <w:bookmarkStart w:id="10" w:name="_Toc454787466"/>
      <w:r>
        <w:lastRenderedPageBreak/>
        <w:t>Proposal</w:t>
      </w:r>
    </w:p>
    <w:p w14:paraId="1AF1806D" w14:textId="77777777" w:rsidR="007349BA" w:rsidRPr="007349BA" w:rsidRDefault="007349BA" w:rsidP="007349BA">
      <w:pPr>
        <w:rPr>
          <w:lang w:val="fr-CH"/>
        </w:rPr>
      </w:pPr>
    </w:p>
    <w:p w14:paraId="0306A3D6" w14:textId="226AD202" w:rsidR="006C04ED" w:rsidRPr="00B06821" w:rsidRDefault="00B37EFD" w:rsidP="00AE79D0">
      <w:pPr>
        <w:pStyle w:val="AppendixNo"/>
        <w:spacing w:before="0"/>
        <w:rPr>
          <w:vertAlign w:val="superscript"/>
          <w:lang w:val="en-US"/>
        </w:rPr>
      </w:pPr>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10"/>
    </w:p>
    <w:p w14:paraId="30C7F6D3" w14:textId="0AF16EE4" w:rsidR="006C04ED" w:rsidRDefault="00B37EFD" w:rsidP="001F0862">
      <w:pPr>
        <w:pStyle w:val="Appendixtitle"/>
        <w:rPr>
          <w:rFonts w:ascii="Times New Roman"/>
          <w:b w:val="0"/>
          <w:bCs/>
          <w:color w:val="000000"/>
          <w:sz w:val="16"/>
        </w:rPr>
      </w:pPr>
      <w:bookmarkStart w:id="11" w:name="_Toc330560547"/>
      <w:bookmarkStart w:id="12"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r>
      <w:r w:rsidR="007349BA">
        <w:t xml:space="preserve"> </w:t>
      </w:r>
      <w:r w:rsidRPr="00821BE4">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1"/>
      <w:bookmarkEnd w:id="12"/>
    </w:p>
    <w:p w14:paraId="0254CB55" w14:textId="77777777" w:rsidR="006C04ED" w:rsidRPr="00A5034F" w:rsidRDefault="00B37EFD" w:rsidP="004A0B33">
      <w:pPr>
        <w:pStyle w:val="AnnexNo"/>
        <w:rPr>
          <w:lang w:val="en-US"/>
        </w:rPr>
      </w:pPr>
      <w:bookmarkStart w:id="13" w:name="_Toc330560548"/>
      <w:bookmarkStart w:id="14" w:name="_Toc454787468"/>
      <w:r w:rsidRPr="00A5034F">
        <w:rPr>
          <w:lang w:val="en-US"/>
        </w:rPr>
        <w:t>ANNEX  1</w:t>
      </w:r>
      <w:r w:rsidRPr="007D43DA">
        <w:rPr>
          <w:sz w:val="16"/>
          <w:szCs w:val="16"/>
          <w:lang w:val="en-US"/>
        </w:rPr>
        <w:t>     (</w:t>
      </w:r>
      <w:r w:rsidRPr="007D43DA">
        <w:rPr>
          <w:caps w:val="0"/>
          <w:sz w:val="16"/>
          <w:szCs w:val="16"/>
          <w:lang w:val="en-US"/>
        </w:rPr>
        <w:t>REV</w:t>
      </w:r>
      <w:r w:rsidRPr="007D43DA">
        <w:rPr>
          <w:sz w:val="16"/>
          <w:szCs w:val="16"/>
          <w:lang w:val="en-US"/>
        </w:rPr>
        <w:t>.WRC</w:t>
      </w:r>
      <w:r w:rsidRPr="007D43DA">
        <w:rPr>
          <w:sz w:val="16"/>
          <w:szCs w:val="16"/>
          <w:lang w:val="en-US"/>
        </w:rPr>
        <w:noBreakHyphen/>
        <w:t>15)</w:t>
      </w:r>
      <w:bookmarkEnd w:id="13"/>
      <w:bookmarkEnd w:id="14"/>
    </w:p>
    <w:p w14:paraId="0A093BB9" w14:textId="77777777" w:rsidR="006C04ED" w:rsidRDefault="00B37EFD" w:rsidP="001F0862">
      <w:pPr>
        <w:pStyle w:val="Annextitle"/>
      </w:pPr>
      <w:bookmarkStart w:id="15" w:name="_Toc330560549"/>
      <w:bookmarkStart w:id="16" w:name="_Toc454787469"/>
      <w:r>
        <w:t>Limits for determining whether a service of an administration is affected</w:t>
      </w:r>
      <w:r>
        <w:br/>
        <w:t>by a proposed modification to the Region 2 Plan or by a proposed</w:t>
      </w:r>
      <w:r>
        <w:br/>
        <w:t>new or modified assignment in the Regions 1 and 3 List</w:t>
      </w:r>
      <w:r>
        <w:br/>
        <w:t>or when it is necessary under this Appendix to seek</w:t>
      </w:r>
      <w:r>
        <w:br/>
        <w:t>the agreement of any other administration</w:t>
      </w:r>
      <w:r w:rsidRPr="00205E38">
        <w:rPr>
          <w:rStyle w:val="FootnoteReference"/>
          <w:rFonts w:asciiTheme="majorBidi" w:hAnsiTheme="majorBidi" w:cstheme="majorBidi"/>
          <w:b w:val="0"/>
          <w:bCs/>
        </w:rPr>
        <w:footnoteReference w:customMarkFollows="1" w:id="3"/>
        <w:t>25</w:t>
      </w:r>
      <w:bookmarkEnd w:id="15"/>
      <w:bookmarkEnd w:id="16"/>
    </w:p>
    <w:p w14:paraId="1F44D265" w14:textId="77777777" w:rsidR="00431543" w:rsidRDefault="00B37EFD">
      <w:pPr>
        <w:pStyle w:val="Proposal"/>
      </w:pPr>
      <w:r>
        <w:rPr>
          <w:u w:val="single"/>
        </w:rPr>
        <w:t>NOC</w:t>
      </w:r>
      <w:r>
        <w:tab/>
        <w:t>KOR/INS/63/1</w:t>
      </w:r>
      <w:r>
        <w:rPr>
          <w:vanish/>
          <w:color w:val="7F7F7F" w:themeColor="text1" w:themeTint="80"/>
          <w:vertAlign w:val="superscript"/>
        </w:rPr>
        <w:t>#50132</w:t>
      </w:r>
    </w:p>
    <w:p w14:paraId="2E484147" w14:textId="77777777" w:rsidR="001962A2" w:rsidRPr="0042498F" w:rsidRDefault="00B37EFD" w:rsidP="00130FDA">
      <w:pPr>
        <w:pStyle w:val="Heading1"/>
        <w:jc w:val="both"/>
        <w:rPr>
          <w:b w:val="0"/>
        </w:rPr>
      </w:pPr>
      <w:bookmarkStart w:id="17" w:name="_Toc524522656"/>
      <w:bookmarkStart w:id="18" w:name="_Toc524535989"/>
      <w:bookmarkStart w:id="19" w:name="_Toc524536174"/>
      <w:bookmarkStart w:id="20" w:name="_Toc2877388"/>
      <w:bookmarkStart w:id="21" w:name="_Toc2953755"/>
      <w:r w:rsidRPr="0042498F">
        <w:t>1</w:t>
      </w:r>
      <w:r w:rsidRPr="0042498F">
        <w:tab/>
        <w:t>Limits for the interference into frequency assignments in conformity with the Regions 1 and 3 Plan or with the Regions 1 and 3 List or into new or modified assignments in the Regions 1 and 3 List</w:t>
      </w:r>
      <w:bookmarkEnd w:id="17"/>
      <w:bookmarkEnd w:id="18"/>
      <w:bookmarkEnd w:id="19"/>
      <w:bookmarkEnd w:id="20"/>
      <w:bookmarkEnd w:id="21"/>
    </w:p>
    <w:p w14:paraId="24FD0E29" w14:textId="77777777" w:rsidR="00B37EFD" w:rsidRDefault="00B37EFD" w:rsidP="00411C49">
      <w:pPr>
        <w:pStyle w:val="Reasons"/>
      </w:pPr>
      <w:r>
        <w:rPr>
          <w:b/>
        </w:rPr>
        <w:t>Reasons:</w:t>
      </w:r>
      <w:r>
        <w:tab/>
        <w:t xml:space="preserve">Because it would be very hard, technically in practice, to comply with </w:t>
      </w:r>
      <w:r w:rsidRPr="0042498F">
        <w:t xml:space="preserve">the pfd limit referred to in the first paragraph of Section 1 of Annex 1 to RR Appendix </w:t>
      </w:r>
      <w:r w:rsidRPr="0042498F">
        <w:rPr>
          <w:b/>
        </w:rPr>
        <w:t>30</w:t>
      </w:r>
      <w:r>
        <w:rPr>
          <w:b/>
        </w:rPr>
        <w:t xml:space="preserve"> </w:t>
      </w:r>
      <w:r w:rsidRPr="00ED3BB0">
        <w:t xml:space="preserve">on the territory of other administrations </w:t>
      </w:r>
      <w:r>
        <w:t xml:space="preserve">that is geographically close to that of the notifying administration </w:t>
      </w:r>
      <w:r>
        <w:rPr>
          <w:lang w:eastAsia="ko-KR"/>
        </w:rPr>
        <w:t>when</w:t>
      </w:r>
      <w:r>
        <w:rPr>
          <w:b/>
          <w:lang w:eastAsia="ko-KR"/>
        </w:rPr>
        <w:t xml:space="preserve"> </w:t>
      </w:r>
      <w:r>
        <w:rPr>
          <w:lang w:eastAsia="ko-KR"/>
        </w:rPr>
        <w:t xml:space="preserve">exceedance of the limit is allowed within the </w:t>
      </w:r>
      <w:r w:rsidRPr="0042498F">
        <w:rPr>
          <w:lang w:eastAsia="ja-JP"/>
        </w:rPr>
        <w:t>national territory of the notifying administration</w:t>
      </w:r>
      <w:r>
        <w:rPr>
          <w:lang w:eastAsia="ja-JP"/>
        </w:rPr>
        <w:t>, current regulatory provisions for the hard limit should not be changed.</w:t>
      </w:r>
    </w:p>
    <w:p w14:paraId="0D4A3147" w14:textId="64DA9CE4" w:rsidR="00431543" w:rsidRDefault="00B37EFD" w:rsidP="00F84281">
      <w:pPr>
        <w:jc w:val="center"/>
      </w:pPr>
      <w:r>
        <w:t>______________</w:t>
      </w:r>
    </w:p>
    <w:sectPr w:rsidR="0043154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4BAD" w14:textId="77777777" w:rsidR="0052400E" w:rsidRDefault="0052400E">
      <w:r>
        <w:separator/>
      </w:r>
    </w:p>
  </w:endnote>
  <w:endnote w:type="continuationSeparator" w:id="0">
    <w:p w14:paraId="7287AFAB" w14:textId="77777777" w:rsidR="0052400E" w:rsidRDefault="0052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C6D5" w14:textId="77777777" w:rsidR="00E45D05" w:rsidRDefault="00E45D05">
    <w:pPr>
      <w:framePr w:wrap="around" w:vAnchor="text" w:hAnchor="margin" w:xAlign="right" w:y="1"/>
    </w:pPr>
    <w:r>
      <w:fldChar w:fldCharType="begin"/>
    </w:r>
    <w:r>
      <w:instrText xml:space="preserve">PAGE  </w:instrText>
    </w:r>
    <w:r>
      <w:fldChar w:fldCharType="end"/>
    </w:r>
  </w:p>
  <w:p w14:paraId="488DBB9C" w14:textId="5D57316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8042D">
      <w:rPr>
        <w:noProof/>
        <w:lang w:val="en-US"/>
      </w:rPr>
      <w:t>P:\ENG\ITU-R\CONF-R\CMR19\000\063E.docx</w:t>
    </w:r>
    <w:r>
      <w:fldChar w:fldCharType="end"/>
    </w:r>
    <w:r w:rsidRPr="0041348E">
      <w:rPr>
        <w:lang w:val="en-US"/>
      </w:rPr>
      <w:tab/>
    </w:r>
    <w:r>
      <w:fldChar w:fldCharType="begin"/>
    </w:r>
    <w:r>
      <w:instrText xml:space="preserve"> SAVEDATE \@ DD.MM.YY </w:instrText>
    </w:r>
    <w:r>
      <w:fldChar w:fldCharType="separate"/>
    </w:r>
    <w:r w:rsidR="0068042D">
      <w:rPr>
        <w:noProof/>
      </w:rPr>
      <w:t>17.10.19</w:t>
    </w:r>
    <w:r>
      <w:fldChar w:fldCharType="end"/>
    </w:r>
    <w:r w:rsidRPr="0041348E">
      <w:rPr>
        <w:lang w:val="en-US"/>
      </w:rPr>
      <w:tab/>
    </w:r>
    <w:r>
      <w:fldChar w:fldCharType="begin"/>
    </w:r>
    <w:r>
      <w:instrText xml:space="preserve"> PRINTDATE \@ DD.MM.YY </w:instrText>
    </w:r>
    <w:r>
      <w:fldChar w:fldCharType="separate"/>
    </w:r>
    <w:r w:rsidR="0068042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EF98" w14:textId="078C9EB7" w:rsidR="00E45D05" w:rsidRDefault="00E45D05" w:rsidP="009B1EA1">
    <w:pPr>
      <w:pStyle w:val="Footer"/>
    </w:pPr>
    <w:r>
      <w:fldChar w:fldCharType="begin"/>
    </w:r>
    <w:r w:rsidRPr="0041348E">
      <w:rPr>
        <w:lang w:val="en-US"/>
      </w:rPr>
      <w:instrText xml:space="preserve"> FILENAME \p  \* MERGEFORMAT </w:instrText>
    </w:r>
    <w:r>
      <w:fldChar w:fldCharType="separate"/>
    </w:r>
    <w:r w:rsidR="0068042D">
      <w:rPr>
        <w:lang w:val="en-US"/>
      </w:rPr>
      <w:t>P:\ENG\ITU-R\CONF-R\CMR19\000\063E.docx</w:t>
    </w:r>
    <w:r>
      <w:fldChar w:fldCharType="end"/>
    </w:r>
    <w:r w:rsidR="00F84281">
      <w:t xml:space="preserve"> (462090)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6F22" w14:textId="102A3A2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8042D">
      <w:rPr>
        <w:lang w:val="en-US"/>
      </w:rPr>
      <w:t>P:\ENG\ITU-R\CONF-R\CMR19\000\063E.docx</w:t>
    </w:r>
    <w:r>
      <w:fldChar w:fldCharType="end"/>
    </w:r>
    <w:r w:rsidR="00F84281">
      <w:t xml:space="preserve"> (462090)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112C" w14:textId="77777777" w:rsidR="0052400E" w:rsidRDefault="0052400E">
      <w:r>
        <w:rPr>
          <w:b/>
        </w:rPr>
        <w:t>_______________</w:t>
      </w:r>
    </w:p>
  </w:footnote>
  <w:footnote w:type="continuationSeparator" w:id="0">
    <w:p w14:paraId="54A301D5" w14:textId="77777777" w:rsidR="0052400E" w:rsidRDefault="0052400E">
      <w:r>
        <w:continuationSeparator/>
      </w:r>
    </w:p>
  </w:footnote>
  <w:footnote w:id="1">
    <w:p w14:paraId="6BF5F751" w14:textId="77777777" w:rsidR="00915A96" w:rsidRPr="001B614A" w:rsidRDefault="00B37EFD"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561DCAD9" w14:textId="77777777" w:rsidR="00915A96" w:rsidRPr="001B614A" w:rsidRDefault="00B37EFD"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4FFBBA60" w14:textId="77777777" w:rsidR="00915A96" w:rsidRPr="005B42BE" w:rsidRDefault="00B37EFD"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0729E306" w14:textId="77777777" w:rsidR="00915A96" w:rsidRPr="00023556" w:rsidRDefault="00B37EFD"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6CF7111A" w14:textId="77777777" w:rsidR="00915A96" w:rsidRDefault="00B37EFD" w:rsidP="001F0862">
      <w:pPr>
        <w:pStyle w:val="FootnoteText"/>
        <w:rPr>
          <w:color w:val="000000"/>
        </w:rPr>
      </w:pPr>
      <w:r w:rsidRPr="00F63E23">
        <w:rPr>
          <w:rStyle w:val="FootnoteReference"/>
        </w:rPr>
        <w:t>25</w:t>
      </w:r>
      <w:r>
        <w:t xml:space="preserve"> </w:t>
      </w:r>
      <w:r>
        <w:tab/>
      </w:r>
      <w:r w:rsidRPr="00F63E23">
        <w:rPr>
          <w:rStyle w:val="FootnoteTextChar"/>
        </w:rPr>
        <w:t>With respect to this Annex, except for Section 2, the limits relate to the power flux</w:t>
      </w:r>
      <w:r w:rsidRPr="00F63E23">
        <w:rPr>
          <w:rStyle w:val="FootnoteTextChar"/>
        </w:rPr>
        <w:noBreakHyphen/>
        <w:t>density which would be obtained assuming free-space propagation conditions.</w:t>
      </w:r>
    </w:p>
    <w:p w14:paraId="5D580DED" w14:textId="77777777" w:rsidR="00915A96" w:rsidRDefault="00B37EFD" w:rsidP="001F0862">
      <w:pPr>
        <w:pStyle w:val="FootnoteText"/>
      </w:pPr>
      <w:r>
        <w:tab/>
        <w:t>With respect to Section 2 of this Annex, the limit specified relates to the overall equivalent protection margin calculated in accordance with § 2.2.4 of Annex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338F" w14:textId="77777777" w:rsidR="00E45D05" w:rsidRDefault="00A066F1" w:rsidP="00187BD9">
    <w:pPr>
      <w:pStyle w:val="Header"/>
    </w:pPr>
    <w:r>
      <w:fldChar w:fldCharType="begin"/>
    </w:r>
    <w:r>
      <w:instrText xml:space="preserve"> PAGE  \* MERGEFORMAT </w:instrText>
    </w:r>
    <w:r>
      <w:fldChar w:fldCharType="separate"/>
    </w:r>
    <w:r w:rsidR="0014636D">
      <w:rPr>
        <w:noProof/>
      </w:rPr>
      <w:t>2</w:t>
    </w:r>
    <w:r>
      <w:fldChar w:fldCharType="end"/>
    </w:r>
  </w:p>
  <w:p w14:paraId="21FCCB1E" w14:textId="77777777" w:rsidR="00A066F1" w:rsidRPr="00A066F1" w:rsidRDefault="00187BD9" w:rsidP="00241FA2">
    <w:pPr>
      <w:pStyle w:val="Header"/>
    </w:pPr>
    <w:r>
      <w:t>CMR1</w:t>
    </w:r>
    <w:r w:rsidR="00202756">
      <w:t>9</w:t>
    </w:r>
    <w:r w:rsidR="00A066F1">
      <w:t>/</w:t>
    </w:r>
    <w:bookmarkStart w:id="22" w:name="OLE_LINK1"/>
    <w:bookmarkStart w:id="23" w:name="OLE_LINK2"/>
    <w:bookmarkStart w:id="24" w:name="OLE_LINK3"/>
    <w:r w:rsidR="00EB55C6">
      <w:t>63</w:t>
    </w:r>
    <w:bookmarkEnd w:id="22"/>
    <w:bookmarkEnd w:id="23"/>
    <w:bookmarkEnd w:id="2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42D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00D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8E4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C74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180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06E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5E9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25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A4D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444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36D"/>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1543"/>
    <w:rsid w:val="00492075"/>
    <w:rsid w:val="004969AD"/>
    <w:rsid w:val="004A26C4"/>
    <w:rsid w:val="004B13CB"/>
    <w:rsid w:val="004D26EA"/>
    <w:rsid w:val="004D2BFB"/>
    <w:rsid w:val="004D5D5C"/>
    <w:rsid w:val="004F3DC0"/>
    <w:rsid w:val="0050139F"/>
    <w:rsid w:val="0052400E"/>
    <w:rsid w:val="0055140B"/>
    <w:rsid w:val="005964AB"/>
    <w:rsid w:val="005C099A"/>
    <w:rsid w:val="005C31A5"/>
    <w:rsid w:val="005E10C9"/>
    <w:rsid w:val="005E290B"/>
    <w:rsid w:val="005E61DD"/>
    <w:rsid w:val="005F04D8"/>
    <w:rsid w:val="006023DF"/>
    <w:rsid w:val="00615426"/>
    <w:rsid w:val="00616219"/>
    <w:rsid w:val="00645B7D"/>
    <w:rsid w:val="00657DE0"/>
    <w:rsid w:val="0068042D"/>
    <w:rsid w:val="00685313"/>
    <w:rsid w:val="00692833"/>
    <w:rsid w:val="006A6E9B"/>
    <w:rsid w:val="006B7C2A"/>
    <w:rsid w:val="006C23DA"/>
    <w:rsid w:val="006E3D45"/>
    <w:rsid w:val="0070607A"/>
    <w:rsid w:val="007149F9"/>
    <w:rsid w:val="00733A30"/>
    <w:rsid w:val="007349BA"/>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4AEB"/>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7EFD"/>
    <w:rsid w:val="00B40888"/>
    <w:rsid w:val="00B505A9"/>
    <w:rsid w:val="00B639E9"/>
    <w:rsid w:val="00B817CD"/>
    <w:rsid w:val="00B81A7D"/>
    <w:rsid w:val="00B94AD0"/>
    <w:rsid w:val="00BB3A95"/>
    <w:rsid w:val="00BD6CCE"/>
    <w:rsid w:val="00C0018F"/>
    <w:rsid w:val="00C16A5A"/>
    <w:rsid w:val="00C17DCF"/>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428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818C1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C646-FEBC-4A0F-8B69-8F161C3422AF}">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E4234FF-022E-4851-B297-82FE33251583}">
  <ds:schemaRefs>
    <ds:schemaRef ds:uri="996b2e75-67fd-4955-a3b0-5ab9934cb50b"/>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E5E087BF-3FC4-464F-B973-8C9E5B8F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494</Words>
  <Characters>2586</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R16-WRC19-C-0063!!MSW-E</vt:lpstr>
    </vt:vector>
  </TitlesOfParts>
  <Manager>General Secretariat - Pool</Manager>
  <Company>International Telecommunication Union (ITU)</Company>
  <LinksUpToDate>false</LinksUpToDate>
  <CharactersWithSpaces>3067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R16-WRC19-C-0063!!MSW-E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2019-10-18T06:47:00Z</cp:lastPrinted>
  <dcterms:created xsi:type="dcterms:W3CDTF">2019-10-14T11:58:00Z</dcterms:created>
  <dcterms:modified xsi:type="dcterms:W3CDTF">2019-10-18T06:47:00Z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