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F7D44" w14:paraId="4F2A1445" w14:textId="77777777" w:rsidTr="0050008E">
        <w:trPr>
          <w:cantSplit/>
        </w:trPr>
        <w:tc>
          <w:tcPr>
            <w:tcW w:w="6911" w:type="dxa"/>
          </w:tcPr>
          <w:p w14:paraId="52D4B995" w14:textId="77777777" w:rsidR="00BB1D82" w:rsidRPr="00DF7D44" w:rsidRDefault="00851625" w:rsidP="0093558C">
            <w:pPr>
              <w:spacing w:before="400" w:after="48"/>
              <w:rPr>
                <w:rFonts w:ascii="Verdana" w:hAnsi="Verdana"/>
                <w:b/>
                <w:bCs/>
                <w:noProof/>
                <w:sz w:val="20"/>
              </w:rPr>
            </w:pPr>
            <w:r w:rsidRPr="00DF7D44">
              <w:rPr>
                <w:rFonts w:ascii="Verdana" w:hAnsi="Verdana"/>
                <w:b/>
                <w:bCs/>
                <w:noProof/>
                <w:sz w:val="20"/>
              </w:rPr>
              <w:t>Conférence mondiale des radiocommunications (CMR-1</w:t>
            </w:r>
            <w:r w:rsidR="00FD7AA3" w:rsidRPr="00DF7D44">
              <w:rPr>
                <w:rFonts w:ascii="Verdana" w:hAnsi="Verdana"/>
                <w:b/>
                <w:bCs/>
                <w:noProof/>
                <w:sz w:val="20"/>
              </w:rPr>
              <w:t>9</w:t>
            </w:r>
            <w:r w:rsidRPr="00DF7D44">
              <w:rPr>
                <w:rFonts w:ascii="Verdana" w:hAnsi="Verdana"/>
                <w:b/>
                <w:bCs/>
                <w:noProof/>
                <w:sz w:val="20"/>
              </w:rPr>
              <w:t>)</w:t>
            </w:r>
            <w:r w:rsidRPr="00DF7D44">
              <w:rPr>
                <w:rFonts w:ascii="Verdana" w:hAnsi="Verdana"/>
                <w:b/>
                <w:bCs/>
                <w:noProof/>
                <w:sz w:val="20"/>
              </w:rPr>
              <w:br/>
            </w:r>
            <w:r w:rsidR="00063A1F" w:rsidRPr="00DF7D44">
              <w:rPr>
                <w:rFonts w:ascii="Verdana" w:hAnsi="Verdana"/>
                <w:b/>
                <w:bCs/>
                <w:noProof/>
                <w:sz w:val="18"/>
                <w:szCs w:val="18"/>
              </w:rPr>
              <w:t xml:space="preserve">Charm el-Cheikh, </w:t>
            </w:r>
            <w:r w:rsidR="00081366" w:rsidRPr="00DF7D44">
              <w:rPr>
                <w:rFonts w:ascii="Verdana" w:hAnsi="Verdana"/>
                <w:b/>
                <w:bCs/>
                <w:noProof/>
                <w:sz w:val="18"/>
                <w:szCs w:val="18"/>
              </w:rPr>
              <w:t>É</w:t>
            </w:r>
            <w:r w:rsidR="00063A1F" w:rsidRPr="00DF7D44">
              <w:rPr>
                <w:rFonts w:ascii="Verdana" w:hAnsi="Verdana"/>
                <w:b/>
                <w:bCs/>
                <w:noProof/>
                <w:sz w:val="18"/>
                <w:szCs w:val="18"/>
              </w:rPr>
              <w:t>gypte</w:t>
            </w:r>
            <w:r w:rsidRPr="00DF7D44">
              <w:rPr>
                <w:rFonts w:ascii="Verdana" w:hAnsi="Verdana"/>
                <w:b/>
                <w:bCs/>
                <w:noProof/>
                <w:sz w:val="18"/>
                <w:szCs w:val="18"/>
              </w:rPr>
              <w:t>,</w:t>
            </w:r>
            <w:r w:rsidR="00E537FF" w:rsidRPr="00DF7D44">
              <w:rPr>
                <w:rFonts w:ascii="Verdana" w:hAnsi="Verdana"/>
                <w:b/>
                <w:bCs/>
                <w:noProof/>
                <w:sz w:val="18"/>
                <w:szCs w:val="18"/>
              </w:rPr>
              <w:t xml:space="preserve"> </w:t>
            </w:r>
            <w:r w:rsidRPr="00DF7D44">
              <w:rPr>
                <w:rFonts w:ascii="Verdana" w:hAnsi="Verdana"/>
                <w:b/>
                <w:bCs/>
                <w:noProof/>
                <w:sz w:val="18"/>
                <w:szCs w:val="18"/>
              </w:rPr>
              <w:t>2</w:t>
            </w:r>
            <w:r w:rsidR="00FD7AA3" w:rsidRPr="00DF7D44">
              <w:rPr>
                <w:rFonts w:ascii="Verdana" w:hAnsi="Verdana"/>
                <w:b/>
                <w:bCs/>
                <w:noProof/>
                <w:sz w:val="18"/>
                <w:szCs w:val="18"/>
              </w:rPr>
              <w:t xml:space="preserve">8 octobre </w:t>
            </w:r>
            <w:r w:rsidR="00F10064" w:rsidRPr="00DF7D44">
              <w:rPr>
                <w:rFonts w:ascii="Verdana" w:hAnsi="Verdana"/>
                <w:b/>
                <w:bCs/>
                <w:noProof/>
                <w:sz w:val="18"/>
                <w:szCs w:val="18"/>
              </w:rPr>
              <w:t>–</w:t>
            </w:r>
            <w:r w:rsidR="00FD7AA3" w:rsidRPr="00DF7D44">
              <w:rPr>
                <w:rFonts w:ascii="Verdana" w:hAnsi="Verdana"/>
                <w:b/>
                <w:bCs/>
                <w:noProof/>
                <w:sz w:val="18"/>
                <w:szCs w:val="18"/>
              </w:rPr>
              <w:t xml:space="preserve"> </w:t>
            </w:r>
            <w:r w:rsidRPr="00DF7D44">
              <w:rPr>
                <w:rFonts w:ascii="Verdana" w:hAnsi="Verdana"/>
                <w:b/>
                <w:bCs/>
                <w:noProof/>
                <w:sz w:val="18"/>
                <w:szCs w:val="18"/>
              </w:rPr>
              <w:t>2</w:t>
            </w:r>
            <w:r w:rsidR="00FD7AA3" w:rsidRPr="00DF7D44">
              <w:rPr>
                <w:rFonts w:ascii="Verdana" w:hAnsi="Verdana"/>
                <w:b/>
                <w:bCs/>
                <w:noProof/>
                <w:sz w:val="18"/>
                <w:szCs w:val="18"/>
              </w:rPr>
              <w:t>2</w:t>
            </w:r>
            <w:r w:rsidRPr="00DF7D44">
              <w:rPr>
                <w:rFonts w:ascii="Verdana" w:hAnsi="Verdana"/>
                <w:b/>
                <w:bCs/>
                <w:noProof/>
                <w:sz w:val="18"/>
                <w:szCs w:val="18"/>
              </w:rPr>
              <w:t xml:space="preserve"> novembre 201</w:t>
            </w:r>
            <w:r w:rsidR="00FD7AA3" w:rsidRPr="00DF7D44">
              <w:rPr>
                <w:rFonts w:ascii="Verdana" w:hAnsi="Verdana"/>
                <w:b/>
                <w:bCs/>
                <w:noProof/>
                <w:sz w:val="18"/>
                <w:szCs w:val="18"/>
              </w:rPr>
              <w:t>9</w:t>
            </w:r>
          </w:p>
        </w:tc>
        <w:tc>
          <w:tcPr>
            <w:tcW w:w="3120" w:type="dxa"/>
          </w:tcPr>
          <w:p w14:paraId="45E07660" w14:textId="77777777" w:rsidR="00BB1D82" w:rsidRPr="00DF7D44" w:rsidRDefault="000A55AE" w:rsidP="0093558C">
            <w:pPr>
              <w:spacing w:before="0"/>
              <w:jc w:val="right"/>
              <w:rPr>
                <w:noProof/>
              </w:rPr>
            </w:pPr>
            <w:r w:rsidRPr="00DF7D44">
              <w:rPr>
                <w:rFonts w:ascii="Verdana" w:hAnsi="Verdana"/>
                <w:b/>
                <w:bCs/>
                <w:noProof/>
                <w:lang w:eastAsia="zh-CN"/>
              </w:rPr>
              <w:drawing>
                <wp:inline distT="0" distB="0" distL="0" distR="0" wp14:anchorId="749875C5" wp14:editId="17EB0F5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F7D44" w14:paraId="4410C7BD" w14:textId="77777777" w:rsidTr="0050008E">
        <w:trPr>
          <w:cantSplit/>
        </w:trPr>
        <w:tc>
          <w:tcPr>
            <w:tcW w:w="6911" w:type="dxa"/>
            <w:tcBorders>
              <w:bottom w:val="single" w:sz="12" w:space="0" w:color="auto"/>
            </w:tcBorders>
          </w:tcPr>
          <w:p w14:paraId="1C587B47" w14:textId="77777777" w:rsidR="00BB1D82" w:rsidRPr="00DF7D44" w:rsidRDefault="00BB1D82" w:rsidP="0093558C">
            <w:pPr>
              <w:spacing w:before="0" w:after="48"/>
              <w:rPr>
                <w:b/>
                <w:smallCaps/>
                <w:noProof/>
                <w:szCs w:val="24"/>
              </w:rPr>
            </w:pPr>
            <w:bookmarkStart w:id="0" w:name="dhead"/>
          </w:p>
        </w:tc>
        <w:tc>
          <w:tcPr>
            <w:tcW w:w="3120" w:type="dxa"/>
            <w:tcBorders>
              <w:bottom w:val="single" w:sz="12" w:space="0" w:color="auto"/>
            </w:tcBorders>
          </w:tcPr>
          <w:p w14:paraId="097E0EF7" w14:textId="77777777" w:rsidR="00BB1D82" w:rsidRPr="00DF7D44" w:rsidRDefault="00BB1D82" w:rsidP="0093558C">
            <w:pPr>
              <w:spacing w:before="0"/>
              <w:rPr>
                <w:rFonts w:ascii="Verdana" w:hAnsi="Verdana"/>
                <w:noProof/>
                <w:szCs w:val="24"/>
              </w:rPr>
            </w:pPr>
          </w:p>
        </w:tc>
      </w:tr>
      <w:tr w:rsidR="00BB1D82" w:rsidRPr="00DF7D44" w14:paraId="78BEC6D5" w14:textId="77777777" w:rsidTr="00BB1D82">
        <w:trPr>
          <w:cantSplit/>
        </w:trPr>
        <w:tc>
          <w:tcPr>
            <w:tcW w:w="6911" w:type="dxa"/>
            <w:tcBorders>
              <w:top w:val="single" w:sz="12" w:space="0" w:color="auto"/>
            </w:tcBorders>
          </w:tcPr>
          <w:p w14:paraId="52CB655E" w14:textId="77777777" w:rsidR="00BB1D82" w:rsidRPr="00DF7D44" w:rsidRDefault="00BB1D82" w:rsidP="0093558C">
            <w:pPr>
              <w:spacing w:before="0" w:after="48"/>
              <w:rPr>
                <w:rFonts w:ascii="Verdana" w:hAnsi="Verdana"/>
                <w:b/>
                <w:smallCaps/>
                <w:noProof/>
                <w:sz w:val="20"/>
              </w:rPr>
            </w:pPr>
          </w:p>
        </w:tc>
        <w:tc>
          <w:tcPr>
            <w:tcW w:w="3120" w:type="dxa"/>
            <w:tcBorders>
              <w:top w:val="single" w:sz="12" w:space="0" w:color="auto"/>
            </w:tcBorders>
          </w:tcPr>
          <w:p w14:paraId="5FFC9A78" w14:textId="77777777" w:rsidR="00BB1D82" w:rsidRPr="00DF7D44" w:rsidRDefault="00BB1D82" w:rsidP="0093558C">
            <w:pPr>
              <w:spacing w:before="0"/>
              <w:rPr>
                <w:rFonts w:ascii="Verdana" w:hAnsi="Verdana"/>
                <w:noProof/>
                <w:sz w:val="20"/>
              </w:rPr>
            </w:pPr>
          </w:p>
        </w:tc>
      </w:tr>
      <w:tr w:rsidR="00BB1D82" w:rsidRPr="00DF7D44" w14:paraId="37D616E3" w14:textId="77777777" w:rsidTr="00BB1D82">
        <w:trPr>
          <w:cantSplit/>
        </w:trPr>
        <w:tc>
          <w:tcPr>
            <w:tcW w:w="6911" w:type="dxa"/>
          </w:tcPr>
          <w:p w14:paraId="49DEC008" w14:textId="77777777" w:rsidR="00BB1D82" w:rsidRPr="00DF7D44" w:rsidRDefault="006D4724" w:rsidP="0093558C">
            <w:pPr>
              <w:spacing w:before="0"/>
              <w:rPr>
                <w:rFonts w:ascii="Verdana" w:hAnsi="Verdana"/>
                <w:b/>
                <w:noProof/>
                <w:sz w:val="20"/>
              </w:rPr>
            </w:pPr>
            <w:r w:rsidRPr="00DF7D44">
              <w:rPr>
                <w:rFonts w:ascii="Verdana" w:hAnsi="Verdana"/>
                <w:b/>
                <w:noProof/>
                <w:sz w:val="20"/>
              </w:rPr>
              <w:t>SÉANCE PLÉNIÈRE</w:t>
            </w:r>
          </w:p>
        </w:tc>
        <w:tc>
          <w:tcPr>
            <w:tcW w:w="3120" w:type="dxa"/>
          </w:tcPr>
          <w:p w14:paraId="0179C70E" w14:textId="77777777" w:rsidR="00BB1D82" w:rsidRPr="00DF7D44" w:rsidRDefault="006D4724" w:rsidP="0093558C">
            <w:pPr>
              <w:spacing w:before="0"/>
              <w:rPr>
                <w:rFonts w:ascii="Verdana" w:hAnsi="Verdana"/>
                <w:noProof/>
                <w:sz w:val="20"/>
              </w:rPr>
            </w:pPr>
            <w:r w:rsidRPr="00DF7D44">
              <w:rPr>
                <w:rFonts w:ascii="Verdana" w:hAnsi="Verdana"/>
                <w:b/>
                <w:noProof/>
                <w:sz w:val="20"/>
              </w:rPr>
              <w:t>Addendum 22 au</w:t>
            </w:r>
            <w:r w:rsidRPr="00DF7D44">
              <w:rPr>
                <w:rFonts w:ascii="Verdana" w:hAnsi="Verdana"/>
                <w:b/>
                <w:noProof/>
                <w:sz w:val="20"/>
              </w:rPr>
              <w:br/>
              <w:t>Document 57</w:t>
            </w:r>
            <w:r w:rsidR="00BB1D82" w:rsidRPr="00DF7D44">
              <w:rPr>
                <w:rFonts w:ascii="Verdana" w:hAnsi="Verdana"/>
                <w:b/>
                <w:noProof/>
                <w:sz w:val="20"/>
              </w:rPr>
              <w:t>-</w:t>
            </w:r>
            <w:r w:rsidRPr="00DF7D44">
              <w:rPr>
                <w:rFonts w:ascii="Verdana" w:hAnsi="Verdana"/>
                <w:b/>
                <w:noProof/>
                <w:sz w:val="20"/>
              </w:rPr>
              <w:t>F</w:t>
            </w:r>
          </w:p>
        </w:tc>
      </w:tr>
      <w:bookmarkEnd w:id="0"/>
      <w:tr w:rsidR="00690C7B" w:rsidRPr="00DF7D44" w14:paraId="3F7D2BCD" w14:textId="77777777" w:rsidTr="00BB1D82">
        <w:trPr>
          <w:cantSplit/>
        </w:trPr>
        <w:tc>
          <w:tcPr>
            <w:tcW w:w="6911" w:type="dxa"/>
          </w:tcPr>
          <w:p w14:paraId="2B38E227" w14:textId="77777777" w:rsidR="00690C7B" w:rsidRPr="00DF7D44" w:rsidRDefault="00690C7B" w:rsidP="0093558C">
            <w:pPr>
              <w:spacing w:before="0"/>
              <w:rPr>
                <w:rFonts w:ascii="Verdana" w:hAnsi="Verdana"/>
                <w:b/>
                <w:noProof/>
                <w:sz w:val="20"/>
              </w:rPr>
            </w:pPr>
          </w:p>
        </w:tc>
        <w:tc>
          <w:tcPr>
            <w:tcW w:w="3120" w:type="dxa"/>
          </w:tcPr>
          <w:p w14:paraId="4048AF62" w14:textId="77777777" w:rsidR="00690C7B" w:rsidRPr="00DF7D44" w:rsidRDefault="00690C7B" w:rsidP="0093558C">
            <w:pPr>
              <w:spacing w:before="0"/>
              <w:rPr>
                <w:rFonts w:ascii="Verdana" w:hAnsi="Verdana"/>
                <w:b/>
                <w:noProof/>
                <w:sz w:val="20"/>
              </w:rPr>
            </w:pPr>
            <w:r w:rsidRPr="00DF7D44">
              <w:rPr>
                <w:rFonts w:ascii="Verdana" w:hAnsi="Verdana"/>
                <w:b/>
                <w:noProof/>
                <w:sz w:val="20"/>
              </w:rPr>
              <w:t>4 octobre 2019</w:t>
            </w:r>
          </w:p>
        </w:tc>
      </w:tr>
      <w:tr w:rsidR="00690C7B" w:rsidRPr="00DF7D44" w14:paraId="33164B60" w14:textId="77777777" w:rsidTr="00BB1D82">
        <w:trPr>
          <w:cantSplit/>
        </w:trPr>
        <w:tc>
          <w:tcPr>
            <w:tcW w:w="6911" w:type="dxa"/>
          </w:tcPr>
          <w:p w14:paraId="40063236" w14:textId="77777777" w:rsidR="00690C7B" w:rsidRPr="00DF7D44" w:rsidRDefault="00690C7B" w:rsidP="0093558C">
            <w:pPr>
              <w:spacing w:before="0" w:after="48"/>
              <w:rPr>
                <w:rFonts w:ascii="Verdana" w:hAnsi="Verdana"/>
                <w:b/>
                <w:smallCaps/>
                <w:noProof/>
                <w:sz w:val="20"/>
              </w:rPr>
            </w:pPr>
          </w:p>
        </w:tc>
        <w:tc>
          <w:tcPr>
            <w:tcW w:w="3120" w:type="dxa"/>
          </w:tcPr>
          <w:p w14:paraId="48C11A2F" w14:textId="77777777" w:rsidR="00690C7B" w:rsidRPr="00DF7D44" w:rsidRDefault="00690C7B" w:rsidP="0093558C">
            <w:pPr>
              <w:spacing w:before="0"/>
              <w:rPr>
                <w:rFonts w:ascii="Verdana" w:hAnsi="Verdana"/>
                <w:b/>
                <w:noProof/>
                <w:sz w:val="20"/>
              </w:rPr>
            </w:pPr>
            <w:r w:rsidRPr="00DF7D44">
              <w:rPr>
                <w:rFonts w:ascii="Verdana" w:hAnsi="Verdana"/>
                <w:b/>
                <w:noProof/>
                <w:sz w:val="20"/>
              </w:rPr>
              <w:t>Original: anglais</w:t>
            </w:r>
          </w:p>
        </w:tc>
      </w:tr>
      <w:tr w:rsidR="00690C7B" w:rsidRPr="00DF7D44" w14:paraId="04C3D971" w14:textId="77777777" w:rsidTr="00C11970">
        <w:trPr>
          <w:cantSplit/>
        </w:trPr>
        <w:tc>
          <w:tcPr>
            <w:tcW w:w="10031" w:type="dxa"/>
            <w:gridSpan w:val="2"/>
          </w:tcPr>
          <w:p w14:paraId="79567498" w14:textId="77777777" w:rsidR="00690C7B" w:rsidRPr="00DF7D44" w:rsidRDefault="00690C7B" w:rsidP="0093558C">
            <w:pPr>
              <w:spacing w:before="0"/>
              <w:rPr>
                <w:rFonts w:ascii="Verdana" w:hAnsi="Verdana"/>
                <w:b/>
                <w:noProof/>
                <w:sz w:val="20"/>
              </w:rPr>
            </w:pPr>
          </w:p>
        </w:tc>
      </w:tr>
      <w:tr w:rsidR="00690C7B" w:rsidRPr="00DF7D44" w14:paraId="180ABAC9" w14:textId="77777777" w:rsidTr="0050008E">
        <w:trPr>
          <w:cantSplit/>
        </w:trPr>
        <w:tc>
          <w:tcPr>
            <w:tcW w:w="10031" w:type="dxa"/>
            <w:gridSpan w:val="2"/>
          </w:tcPr>
          <w:p w14:paraId="68797F04" w14:textId="77777777" w:rsidR="00690C7B" w:rsidRPr="00DF7D44" w:rsidRDefault="00690C7B" w:rsidP="0093558C">
            <w:pPr>
              <w:pStyle w:val="Source"/>
              <w:rPr>
                <w:noProof/>
              </w:rPr>
            </w:pPr>
            <w:bookmarkStart w:id="1" w:name="dsource" w:colFirst="0" w:colLast="0"/>
            <w:r w:rsidRPr="00DF7D44">
              <w:rPr>
                <w:noProof/>
              </w:rPr>
              <w:t>Brésil (République fédérative du)</w:t>
            </w:r>
          </w:p>
        </w:tc>
      </w:tr>
      <w:tr w:rsidR="00690C7B" w:rsidRPr="00DF7D44" w14:paraId="68025D83" w14:textId="77777777" w:rsidTr="0050008E">
        <w:trPr>
          <w:cantSplit/>
        </w:trPr>
        <w:tc>
          <w:tcPr>
            <w:tcW w:w="10031" w:type="dxa"/>
            <w:gridSpan w:val="2"/>
          </w:tcPr>
          <w:p w14:paraId="6EAC6DEF" w14:textId="77777777" w:rsidR="00690C7B" w:rsidRPr="00DF7D44" w:rsidRDefault="00690C7B" w:rsidP="0093558C">
            <w:pPr>
              <w:pStyle w:val="Title1"/>
              <w:rPr>
                <w:noProof/>
              </w:rPr>
            </w:pPr>
            <w:bookmarkStart w:id="2" w:name="dtitle1" w:colFirst="0" w:colLast="0"/>
            <w:bookmarkEnd w:id="1"/>
            <w:r w:rsidRPr="00DF7D44">
              <w:rPr>
                <w:noProof/>
              </w:rPr>
              <w:t>Propositions pour les travaux de la conférence</w:t>
            </w:r>
          </w:p>
        </w:tc>
      </w:tr>
      <w:tr w:rsidR="00690C7B" w:rsidRPr="00DF7D44" w14:paraId="164AE3A2" w14:textId="77777777" w:rsidTr="0050008E">
        <w:trPr>
          <w:cantSplit/>
        </w:trPr>
        <w:tc>
          <w:tcPr>
            <w:tcW w:w="10031" w:type="dxa"/>
            <w:gridSpan w:val="2"/>
          </w:tcPr>
          <w:p w14:paraId="3DCA55D0" w14:textId="77777777" w:rsidR="00690C7B" w:rsidRPr="00DF7D44" w:rsidRDefault="00690C7B" w:rsidP="0093558C">
            <w:pPr>
              <w:pStyle w:val="Title2"/>
              <w:rPr>
                <w:noProof/>
              </w:rPr>
            </w:pPr>
            <w:bookmarkStart w:id="3" w:name="dtitle2" w:colFirst="0" w:colLast="0"/>
            <w:bookmarkEnd w:id="2"/>
          </w:p>
        </w:tc>
      </w:tr>
      <w:tr w:rsidR="00690C7B" w:rsidRPr="00DF7D44" w14:paraId="1C6930CB" w14:textId="77777777" w:rsidTr="0050008E">
        <w:trPr>
          <w:cantSplit/>
        </w:trPr>
        <w:tc>
          <w:tcPr>
            <w:tcW w:w="10031" w:type="dxa"/>
            <w:gridSpan w:val="2"/>
          </w:tcPr>
          <w:p w14:paraId="520B73E0" w14:textId="77777777" w:rsidR="00690C7B" w:rsidRPr="00DF7D44" w:rsidRDefault="00690C7B" w:rsidP="0093558C">
            <w:pPr>
              <w:pStyle w:val="Agendaitem"/>
              <w:rPr>
                <w:noProof/>
                <w:lang w:val="fr-FR"/>
              </w:rPr>
            </w:pPr>
            <w:bookmarkStart w:id="4" w:name="dtitle3" w:colFirst="0" w:colLast="0"/>
            <w:bookmarkEnd w:id="3"/>
            <w:r w:rsidRPr="00DF7D44">
              <w:rPr>
                <w:noProof/>
                <w:lang w:val="fr-FR"/>
              </w:rPr>
              <w:t>Point 9.1 de l'ordre du jour</w:t>
            </w:r>
          </w:p>
        </w:tc>
      </w:tr>
    </w:tbl>
    <w:bookmarkEnd w:id="4"/>
    <w:p w14:paraId="0A819C1D" w14:textId="77777777" w:rsidR="001C0E40" w:rsidRPr="00DF7D44" w:rsidRDefault="007A7FA2" w:rsidP="005C2F4A">
      <w:pPr>
        <w:pStyle w:val="Normalaftertitle"/>
        <w:rPr>
          <w:noProof/>
        </w:rPr>
      </w:pPr>
      <w:r w:rsidRPr="00DF7D44">
        <w:rPr>
          <w:noProof/>
        </w:rPr>
        <w:t>9</w:t>
      </w:r>
      <w:r w:rsidRPr="00DF7D44">
        <w:rPr>
          <w:noProof/>
        </w:rPr>
        <w:tab/>
        <w:t>examiner et approuver le rapport du Directeur du Bureau des radiocommunications, conformément à l'article 7 de la Convention:</w:t>
      </w:r>
    </w:p>
    <w:p w14:paraId="294EB923" w14:textId="77777777" w:rsidR="001C0E40" w:rsidRPr="00DF7D44" w:rsidRDefault="007A7FA2" w:rsidP="0093558C">
      <w:pPr>
        <w:rPr>
          <w:noProof/>
        </w:rPr>
      </w:pPr>
      <w:r w:rsidRPr="00DF7D44">
        <w:rPr>
          <w:noProof/>
        </w:rPr>
        <w:t>9.1</w:t>
      </w:r>
      <w:r w:rsidRPr="00DF7D44">
        <w:rPr>
          <w:noProof/>
        </w:rPr>
        <w:tab/>
        <w:t>sur les activités du Secteur des radiocommunications depuis la CMR</w:t>
      </w:r>
      <w:r w:rsidRPr="00DF7D44">
        <w:rPr>
          <w:noProof/>
        </w:rPr>
        <w:noBreakHyphen/>
        <w:t>15;</w:t>
      </w:r>
    </w:p>
    <w:p w14:paraId="3D1816B4" w14:textId="6EE6FF85" w:rsidR="00EF7990" w:rsidRPr="00DF7D44" w:rsidRDefault="00EF7990" w:rsidP="0093558C">
      <w:pPr>
        <w:rPr>
          <w:noProof/>
        </w:rPr>
      </w:pPr>
      <w:r w:rsidRPr="005C2F4A">
        <w:rPr>
          <w:b/>
          <w:bCs/>
          <w:noProof/>
        </w:rPr>
        <w:t>5.441B</w:t>
      </w:r>
      <w:r w:rsidRPr="00DF7D44">
        <w:rPr>
          <w:noProof/>
        </w:rPr>
        <w:tab/>
      </w:r>
      <w:r w:rsidR="00E7743C">
        <w:rPr>
          <w:noProof/>
        </w:rPr>
        <w:t>examiner le numéro</w:t>
      </w:r>
      <w:r w:rsidRPr="00DF7D44">
        <w:rPr>
          <w:noProof/>
        </w:rPr>
        <w:t xml:space="preserve"> </w:t>
      </w:r>
      <w:r w:rsidRPr="00DF7D44">
        <w:rPr>
          <w:b/>
          <w:bCs/>
          <w:noProof/>
        </w:rPr>
        <w:t>5.441B</w:t>
      </w:r>
      <w:r w:rsidRPr="00DF7D44">
        <w:rPr>
          <w:noProof/>
        </w:rPr>
        <w:t xml:space="preserve"> </w:t>
      </w:r>
      <w:r w:rsidR="00E7743C">
        <w:rPr>
          <w:noProof/>
        </w:rPr>
        <w:t xml:space="preserve">du Règlement des radiocommunications </w:t>
      </w:r>
      <w:r w:rsidR="00F048EA">
        <w:rPr>
          <w:noProof/>
        </w:rPr>
        <w:t>compte tenu</w:t>
      </w:r>
      <w:r w:rsidR="00E7743C">
        <w:rPr>
          <w:noProof/>
        </w:rPr>
        <w:t xml:space="preserve"> des études menées par l'UIT-R </w:t>
      </w:r>
      <w:r w:rsidR="00F048EA">
        <w:rPr>
          <w:noProof/>
        </w:rPr>
        <w:t>sur</w:t>
      </w:r>
      <w:r w:rsidR="00E7743C">
        <w:rPr>
          <w:noProof/>
        </w:rPr>
        <w:t xml:space="preserve"> l'utilisation des IMT dans la bande de fréquences </w:t>
      </w:r>
      <w:r w:rsidRPr="00DF7D44">
        <w:rPr>
          <w:noProof/>
        </w:rPr>
        <w:t xml:space="preserve">4 800-4 990 MHz </w:t>
      </w:r>
      <w:r w:rsidR="00F048EA">
        <w:rPr>
          <w:noProof/>
        </w:rPr>
        <w:t>pour garantir la protection du</w:t>
      </w:r>
      <w:r w:rsidRPr="00DF7D44">
        <w:rPr>
          <w:noProof/>
        </w:rPr>
        <w:t xml:space="preserve"> service</w:t>
      </w:r>
      <w:r w:rsidR="00F048EA">
        <w:rPr>
          <w:noProof/>
        </w:rPr>
        <w:t xml:space="preserve"> mobile aéronautique</w:t>
      </w:r>
      <w:r w:rsidRPr="00DF7D44">
        <w:rPr>
          <w:noProof/>
        </w:rPr>
        <w:t>.</w:t>
      </w:r>
    </w:p>
    <w:p w14:paraId="602BDD84" w14:textId="77777777" w:rsidR="00EF7990" w:rsidRPr="00DF7D44" w:rsidRDefault="00EF7990" w:rsidP="0093558C">
      <w:pPr>
        <w:pStyle w:val="Headingb"/>
        <w:rPr>
          <w:noProof/>
        </w:rPr>
      </w:pPr>
      <w:r w:rsidRPr="00DF7D44">
        <w:rPr>
          <w:noProof/>
        </w:rPr>
        <w:t>Introduction</w:t>
      </w:r>
    </w:p>
    <w:p w14:paraId="1396EB83" w14:textId="5D35AAD1" w:rsidR="00EF6FE5" w:rsidRPr="00DF7D44" w:rsidRDefault="00EF6FE5" w:rsidP="0093558C">
      <w:pPr>
        <w:rPr>
          <w:noProof/>
          <w:shd w:val="clear" w:color="auto" w:fill="FFFFFF"/>
        </w:rPr>
      </w:pPr>
      <w:r w:rsidRPr="00DF7D44">
        <w:rPr>
          <w:noProof/>
          <w:shd w:val="clear" w:color="auto" w:fill="FFFFFF"/>
        </w:rPr>
        <w:t xml:space="preserve">Conformément à la Résolution </w:t>
      </w:r>
      <w:r w:rsidRPr="00DF7D44">
        <w:rPr>
          <w:b/>
          <w:noProof/>
          <w:shd w:val="clear" w:color="auto" w:fill="FFFFFF"/>
        </w:rPr>
        <w:t>223 (Rév. CMR-15)</w:t>
      </w:r>
      <w:r w:rsidRPr="00DF7D44">
        <w:rPr>
          <w:noProof/>
          <w:shd w:val="clear" w:color="auto" w:fill="FFFFFF"/>
        </w:rPr>
        <w:t xml:space="preserve"> et au numéro </w:t>
      </w:r>
      <w:r w:rsidRPr="00DF7D44">
        <w:rPr>
          <w:b/>
          <w:noProof/>
          <w:shd w:val="clear" w:color="auto" w:fill="FFFFFF"/>
        </w:rPr>
        <w:t>5.441B</w:t>
      </w:r>
      <w:r w:rsidRPr="00DF7D44">
        <w:rPr>
          <w:noProof/>
          <w:shd w:val="clear" w:color="auto" w:fill="FFFFFF"/>
        </w:rPr>
        <w:t xml:space="preserve"> du Règlement des radiocommunications (RR), la CMR-19 devrait examiner les résultats des études menées par l'UIT</w:t>
      </w:r>
      <w:r w:rsidR="006E32F9">
        <w:rPr>
          <w:noProof/>
          <w:shd w:val="clear" w:color="auto" w:fill="FFFFFF"/>
        </w:rPr>
        <w:noBreakHyphen/>
      </w:r>
      <w:r w:rsidRPr="00DF7D44">
        <w:rPr>
          <w:noProof/>
          <w:shd w:val="clear" w:color="auto" w:fill="FFFFFF"/>
        </w:rPr>
        <w:t>R au sujet des conditions techniques et réglementaires régissant l'utilisation</w:t>
      </w:r>
      <w:r w:rsidR="00E22932">
        <w:rPr>
          <w:noProof/>
          <w:shd w:val="clear" w:color="auto" w:fill="FFFFFF"/>
        </w:rPr>
        <w:t xml:space="preserve"> des IMT dans</w:t>
      </w:r>
      <w:r w:rsidRPr="00DF7D44">
        <w:rPr>
          <w:noProof/>
          <w:shd w:val="clear" w:color="auto" w:fill="FFFFFF"/>
        </w:rPr>
        <w:t xml:space="preserve"> la bande de fréquences 4 800</w:t>
      </w:r>
      <w:r w:rsidR="005C2F4A">
        <w:rPr>
          <w:noProof/>
          <w:shd w:val="clear" w:color="auto" w:fill="FFFFFF"/>
        </w:rPr>
        <w:t>-</w:t>
      </w:r>
      <w:r w:rsidRPr="00DF7D44">
        <w:rPr>
          <w:noProof/>
          <w:shd w:val="clear" w:color="auto" w:fill="FFFFFF"/>
        </w:rPr>
        <w:t>4 990 MHz, afin de protéger le service mobile aéronautique</w:t>
      </w:r>
      <w:r w:rsidR="002036EB" w:rsidRPr="00DF7D44">
        <w:rPr>
          <w:noProof/>
          <w:shd w:val="clear" w:color="auto" w:fill="FFFFFF"/>
        </w:rPr>
        <w:t xml:space="preserve"> et de </w:t>
      </w:r>
      <w:r w:rsidR="00A41076" w:rsidRPr="00DF7D44">
        <w:rPr>
          <w:noProof/>
          <w:shd w:val="clear" w:color="auto" w:fill="FFFFFF"/>
        </w:rPr>
        <w:t xml:space="preserve">réexaminer le critère indiqué au numéro </w:t>
      </w:r>
      <w:r w:rsidR="00A41076" w:rsidRPr="00DF7D44">
        <w:rPr>
          <w:b/>
          <w:noProof/>
          <w:shd w:val="clear" w:color="auto" w:fill="FFFFFF"/>
        </w:rPr>
        <w:t>5.441B</w:t>
      </w:r>
      <w:r w:rsidR="00A41076" w:rsidRPr="00DF7D44">
        <w:rPr>
          <w:noProof/>
          <w:shd w:val="clear" w:color="auto" w:fill="FFFFFF"/>
        </w:rPr>
        <w:t xml:space="preserve"> du RR.</w:t>
      </w:r>
    </w:p>
    <w:p w14:paraId="2630D949" w14:textId="45FF3BCA" w:rsidR="00EF7990" w:rsidRPr="00DF7D44" w:rsidRDefault="00201939" w:rsidP="0093558C">
      <w:pPr>
        <w:rPr>
          <w:noProof/>
        </w:rPr>
      </w:pPr>
      <w:r w:rsidRPr="00DF7D44">
        <w:rPr>
          <w:noProof/>
        </w:rPr>
        <w:t>À la suite de l'examen de cette question à</w:t>
      </w:r>
      <w:r w:rsidR="00EF7990" w:rsidRPr="00DF7D44">
        <w:rPr>
          <w:noProof/>
        </w:rPr>
        <w:t xml:space="preserve"> la RPC19-2</w:t>
      </w:r>
      <w:r w:rsidRPr="00DF7D44">
        <w:rPr>
          <w:noProof/>
        </w:rPr>
        <w:t>, il a été</w:t>
      </w:r>
      <w:r w:rsidR="00EF7990" w:rsidRPr="00DF7D44">
        <w:rPr>
          <w:noProof/>
        </w:rPr>
        <w:t xml:space="preserve"> affirmé que «ce critère sera</w:t>
      </w:r>
      <w:r w:rsidRPr="00DF7D44">
        <w:rPr>
          <w:noProof/>
        </w:rPr>
        <w:t>[it]</w:t>
      </w:r>
      <w:r w:rsidR="00EF7990" w:rsidRPr="00DF7D44">
        <w:rPr>
          <w:noProof/>
        </w:rPr>
        <w:t xml:space="preserve"> réexaminé à la CMR-19», conformément aux dispositions du numéro </w:t>
      </w:r>
      <w:r w:rsidR="00EF7990" w:rsidRPr="00DF7D44">
        <w:rPr>
          <w:b/>
          <w:bCs/>
          <w:noProof/>
        </w:rPr>
        <w:t>5.441B</w:t>
      </w:r>
      <w:r w:rsidR="00EF7990" w:rsidRPr="00DF7D44">
        <w:rPr>
          <w:noProof/>
        </w:rPr>
        <w:t xml:space="preserve"> du RR. </w:t>
      </w:r>
      <w:r w:rsidRPr="00DF7D44">
        <w:rPr>
          <w:noProof/>
        </w:rPr>
        <w:t>De plus, l</w:t>
      </w:r>
      <w:r w:rsidR="00EF7990" w:rsidRPr="00DF7D44">
        <w:rPr>
          <w:noProof/>
        </w:rPr>
        <w:t xml:space="preserve">es Administrations </w:t>
      </w:r>
      <w:r w:rsidRPr="00DF7D44">
        <w:rPr>
          <w:noProof/>
        </w:rPr>
        <w:t>ont été</w:t>
      </w:r>
      <w:r w:rsidR="00EF7990" w:rsidRPr="00DF7D44">
        <w:rPr>
          <w:noProof/>
        </w:rPr>
        <w:t xml:space="preserve"> </w:t>
      </w:r>
      <w:r w:rsidRPr="00DF7D44">
        <w:rPr>
          <w:noProof/>
        </w:rPr>
        <w:t>priées instamment d'</w:t>
      </w:r>
      <w:r w:rsidR="00EF7990" w:rsidRPr="00DF7D44">
        <w:rPr>
          <w:noProof/>
        </w:rPr>
        <w:t xml:space="preserve">examiner </w:t>
      </w:r>
      <w:r w:rsidRPr="00DF7D44">
        <w:rPr>
          <w:noProof/>
        </w:rPr>
        <w:t xml:space="preserve">cette </w:t>
      </w:r>
      <w:r w:rsidR="00EF7990" w:rsidRPr="00DF7D44">
        <w:rPr>
          <w:noProof/>
        </w:rPr>
        <w:t xml:space="preserve">question, si </w:t>
      </w:r>
      <w:r w:rsidRPr="00DF7D44">
        <w:rPr>
          <w:noProof/>
        </w:rPr>
        <w:t>elles l'estimaient nécessaire</w:t>
      </w:r>
      <w:r w:rsidR="00EF7990" w:rsidRPr="00DF7D44">
        <w:rPr>
          <w:noProof/>
        </w:rPr>
        <w:t>, lors de la préparation de la CMR-19.</w:t>
      </w:r>
    </w:p>
    <w:p w14:paraId="1C7BE3AC" w14:textId="3EE48B2B" w:rsidR="00EF7990" w:rsidRDefault="00201939" w:rsidP="0093558C">
      <w:pPr>
        <w:rPr>
          <w:noProof/>
        </w:rPr>
      </w:pPr>
      <w:r w:rsidRPr="00DF7D44">
        <w:rPr>
          <w:noProof/>
        </w:rPr>
        <w:t xml:space="preserve">L'Administration du Brésil a examiné cette question et considère qu'il faut </w:t>
      </w:r>
      <w:r w:rsidR="00C14322" w:rsidRPr="00DF7D44">
        <w:rPr>
          <w:noProof/>
        </w:rPr>
        <w:t xml:space="preserve">maintenir l'application des dispositions du numéro </w:t>
      </w:r>
      <w:r w:rsidR="00C14322" w:rsidRPr="00DF7D44">
        <w:rPr>
          <w:b/>
          <w:noProof/>
        </w:rPr>
        <w:t>9.21</w:t>
      </w:r>
      <w:r w:rsidR="00C14322" w:rsidRPr="00DF7D44">
        <w:rPr>
          <w:noProof/>
        </w:rPr>
        <w:t xml:space="preserve"> du RR dans le numéro </w:t>
      </w:r>
      <w:r w:rsidR="00C14322" w:rsidRPr="00DF7D44">
        <w:rPr>
          <w:b/>
          <w:noProof/>
        </w:rPr>
        <w:t>5.441B</w:t>
      </w:r>
      <w:r w:rsidR="00C14322" w:rsidRPr="00DF7D44">
        <w:rPr>
          <w:noProof/>
        </w:rPr>
        <w:t xml:space="preserve"> du RR pour les stations IMT, afin de protéger les stations du service mobile aéronautique</w:t>
      </w:r>
      <w:r w:rsidR="00582498">
        <w:rPr>
          <w:noProof/>
        </w:rPr>
        <w:t xml:space="preserve"> (SMA)</w:t>
      </w:r>
      <w:r w:rsidR="00C14322" w:rsidRPr="00DF7D44">
        <w:rPr>
          <w:noProof/>
        </w:rPr>
        <w:t xml:space="preserve"> et du service fixe</w:t>
      </w:r>
      <w:r w:rsidR="00582498">
        <w:rPr>
          <w:noProof/>
        </w:rPr>
        <w:t xml:space="preserve"> (SF)</w:t>
      </w:r>
      <w:r w:rsidR="00C14322" w:rsidRPr="00DF7D44">
        <w:rPr>
          <w:noProof/>
        </w:rPr>
        <w:t xml:space="preserve">. Pour ce faire, il est proposé de supprimer le niveau de puissance surfacique au numéro </w:t>
      </w:r>
      <w:r w:rsidR="00C14322" w:rsidRPr="00DF7D44">
        <w:rPr>
          <w:b/>
          <w:noProof/>
        </w:rPr>
        <w:t xml:space="preserve">5.441B </w:t>
      </w:r>
      <w:r w:rsidR="00C14322" w:rsidRPr="00DF7D44">
        <w:rPr>
          <w:noProof/>
        </w:rPr>
        <w:t>du RR</w:t>
      </w:r>
      <w:r w:rsidR="00DF7D44" w:rsidRPr="00DF7D44">
        <w:rPr>
          <w:noProof/>
        </w:rPr>
        <w:t xml:space="preserve">, ce niveau n'étant pas nécessaire pour protéger </w:t>
      </w:r>
      <w:r w:rsidR="00B97B74">
        <w:rPr>
          <w:noProof/>
        </w:rPr>
        <w:t>le SMA</w:t>
      </w:r>
      <w:r w:rsidR="00DF7D44" w:rsidRPr="00DF7D44">
        <w:rPr>
          <w:noProof/>
        </w:rPr>
        <w:t xml:space="preserve"> et ayant pour effet de limiter indûment l'utilisation des</w:t>
      </w:r>
      <w:r w:rsidR="005C2F4A">
        <w:rPr>
          <w:noProof/>
        </w:rPr>
        <w:t> </w:t>
      </w:r>
      <w:r w:rsidR="00DF7D44" w:rsidRPr="00DF7D44">
        <w:rPr>
          <w:noProof/>
        </w:rPr>
        <w:t xml:space="preserve">IMT dans la bande de fréquences 4 800-4 990 MHz. </w:t>
      </w:r>
    </w:p>
    <w:p w14:paraId="5425E197" w14:textId="77777777" w:rsidR="005C2F4A" w:rsidRDefault="005C2F4A" w:rsidP="0093558C">
      <w:pPr>
        <w:rPr>
          <w:noProof/>
        </w:rPr>
      </w:pPr>
      <w:r>
        <w:rPr>
          <w:noProof/>
        </w:rPr>
        <w:br w:type="page"/>
      </w:r>
    </w:p>
    <w:p w14:paraId="57D9FE99" w14:textId="1C3C661B" w:rsidR="00EF7990" w:rsidRPr="00DF7D44" w:rsidRDefault="001B7694" w:rsidP="0093558C">
      <w:pPr>
        <w:rPr>
          <w:noProof/>
        </w:rPr>
      </w:pPr>
      <w:r>
        <w:rPr>
          <w:noProof/>
        </w:rPr>
        <w:lastRenderedPageBreak/>
        <w:t xml:space="preserve">En outre, le Brésil </w:t>
      </w:r>
      <w:r w:rsidR="00142F48">
        <w:rPr>
          <w:noProof/>
        </w:rPr>
        <w:t>estime qu'il est nécessaire de préciser les conditions requise</w:t>
      </w:r>
      <w:r w:rsidR="00B97B74">
        <w:rPr>
          <w:noProof/>
        </w:rPr>
        <w:t>s</w:t>
      </w:r>
      <w:r w:rsidR="00142F48">
        <w:rPr>
          <w:noProof/>
        </w:rPr>
        <w:t xml:space="preserve"> pour bénéficier d'une protection contre </w:t>
      </w:r>
      <w:r w:rsidR="00E22932">
        <w:rPr>
          <w:noProof/>
        </w:rPr>
        <w:t>l</w:t>
      </w:r>
      <w:r w:rsidR="00142F48">
        <w:rPr>
          <w:noProof/>
        </w:rPr>
        <w:t xml:space="preserve">es brouillages </w:t>
      </w:r>
      <w:r w:rsidR="00B777B1">
        <w:rPr>
          <w:noProof/>
        </w:rPr>
        <w:t xml:space="preserve">qui pourraient être causés par des stations du </w:t>
      </w:r>
      <w:r w:rsidR="00B97B74">
        <w:rPr>
          <w:noProof/>
        </w:rPr>
        <w:t>SMA</w:t>
      </w:r>
      <w:r w:rsidR="00B777B1">
        <w:rPr>
          <w:noProof/>
        </w:rPr>
        <w:t xml:space="preserve"> lorsqu'elles se trouvent en dehors de l'espace aérien national dans la bande de fréquences 4</w:t>
      </w:r>
      <w:r w:rsidR="006E32F9">
        <w:rPr>
          <w:noProof/>
        </w:rPr>
        <w:t> </w:t>
      </w:r>
      <w:r w:rsidR="00B777B1">
        <w:rPr>
          <w:noProof/>
        </w:rPr>
        <w:t>800</w:t>
      </w:r>
      <w:r w:rsidR="006E32F9">
        <w:rPr>
          <w:noProof/>
        </w:rPr>
        <w:noBreakHyphen/>
      </w:r>
      <w:r w:rsidR="00B777B1">
        <w:rPr>
          <w:noProof/>
        </w:rPr>
        <w:t>4</w:t>
      </w:r>
      <w:r w:rsidR="006E32F9">
        <w:rPr>
          <w:noProof/>
        </w:rPr>
        <w:t> </w:t>
      </w:r>
      <w:r w:rsidR="00B777B1">
        <w:rPr>
          <w:noProof/>
        </w:rPr>
        <w:t>990 MHz, en ajoutant un nouveau renvoi à l'</w:t>
      </w:r>
      <w:r w:rsidR="0093558C">
        <w:rPr>
          <w:noProof/>
        </w:rPr>
        <w:t>A</w:t>
      </w:r>
      <w:r w:rsidR="00B777B1">
        <w:rPr>
          <w:noProof/>
        </w:rPr>
        <w:t xml:space="preserve">rticle </w:t>
      </w:r>
      <w:r w:rsidR="00B777B1">
        <w:rPr>
          <w:b/>
          <w:noProof/>
        </w:rPr>
        <w:t>5</w:t>
      </w:r>
      <w:r w:rsidR="00B777B1">
        <w:rPr>
          <w:noProof/>
        </w:rPr>
        <w:t xml:space="preserve"> du RR. Ce nouveau renvoi indique que le </w:t>
      </w:r>
      <w:r w:rsidR="00B97B74">
        <w:rPr>
          <w:noProof/>
        </w:rPr>
        <w:t>SMA</w:t>
      </w:r>
      <w:r w:rsidR="00B777B1">
        <w:rPr>
          <w:noProof/>
        </w:rPr>
        <w:t xml:space="preserve"> peut utiliser des parties de la bande de fréquences 4 800</w:t>
      </w:r>
      <w:r w:rsidR="005C2F4A">
        <w:rPr>
          <w:noProof/>
        </w:rPr>
        <w:t>-</w:t>
      </w:r>
      <w:r w:rsidR="00B777B1">
        <w:rPr>
          <w:noProof/>
        </w:rPr>
        <w:t xml:space="preserve">4 990 MHz sans l'accord préalable d'une administration, uniquement si la distance </w:t>
      </w:r>
      <w:r w:rsidR="00B97B74">
        <w:rPr>
          <w:noProof/>
        </w:rPr>
        <w:t>entre</w:t>
      </w:r>
      <w:r w:rsidR="00B777B1">
        <w:rPr>
          <w:noProof/>
        </w:rPr>
        <w:t xml:space="preserve"> la station du service mobile aéronautique </w:t>
      </w:r>
      <w:r w:rsidR="00B97B74">
        <w:rPr>
          <w:noProof/>
        </w:rPr>
        <w:t>et la laisse de basse mer</w:t>
      </w:r>
      <w:r w:rsidR="00C96700">
        <w:rPr>
          <w:noProof/>
        </w:rPr>
        <w:t xml:space="preserve"> ne dépasse pas une valeur minimale prédéterminée</w:t>
      </w:r>
      <w:r w:rsidR="00EF7990" w:rsidRPr="00DF7D44">
        <w:rPr>
          <w:noProof/>
        </w:rPr>
        <w:t>.</w:t>
      </w:r>
    </w:p>
    <w:p w14:paraId="0E51CBAB" w14:textId="6BD5B8E8" w:rsidR="00EF7990" w:rsidRPr="00DF7D44" w:rsidRDefault="00EF7990" w:rsidP="0093558C">
      <w:pPr>
        <w:pStyle w:val="Headingb"/>
        <w:rPr>
          <w:noProof/>
        </w:rPr>
      </w:pPr>
      <w:r w:rsidRPr="00DF7D44">
        <w:rPr>
          <w:noProof/>
        </w:rPr>
        <w:t>Propos</w:t>
      </w:r>
      <w:r w:rsidR="00C96700">
        <w:rPr>
          <w:noProof/>
        </w:rPr>
        <w:t>ition</w:t>
      </w:r>
    </w:p>
    <w:p w14:paraId="5A55C9EA" w14:textId="6182E930" w:rsidR="00EF7990" w:rsidRPr="00DF7D44" w:rsidRDefault="00C96700" w:rsidP="0093558C">
      <w:pPr>
        <w:rPr>
          <w:noProof/>
        </w:rPr>
      </w:pPr>
      <w:r>
        <w:rPr>
          <w:noProof/>
          <w:shd w:val="clear" w:color="auto" w:fill="FFFFFF"/>
        </w:rPr>
        <w:t xml:space="preserve">Il est proposé de modifier le renvoi </w:t>
      </w:r>
      <w:r w:rsidR="008F76B1">
        <w:rPr>
          <w:b/>
          <w:noProof/>
          <w:shd w:val="clear" w:color="auto" w:fill="FFFFFF"/>
        </w:rPr>
        <w:t>5.441B</w:t>
      </w:r>
      <w:r w:rsidR="008F76B1">
        <w:rPr>
          <w:noProof/>
          <w:shd w:val="clear" w:color="auto" w:fill="FFFFFF"/>
        </w:rPr>
        <w:t xml:space="preserve"> du RR et d'ajouter un nouveau renvoi, comme indiqué dans l'Annexe. En outre, il est proposé d'apporter des modifications au </w:t>
      </w:r>
      <w:r w:rsidR="0093558C">
        <w:rPr>
          <w:noProof/>
          <w:shd w:val="clear" w:color="auto" w:fill="FFFFFF"/>
        </w:rPr>
        <w:t>T</w:t>
      </w:r>
      <w:r w:rsidR="008F76B1">
        <w:rPr>
          <w:noProof/>
          <w:shd w:val="clear" w:color="auto" w:fill="FFFFFF"/>
        </w:rPr>
        <w:t>ableau d'attribution des bandes de fréquences et à la Résolution</w:t>
      </w:r>
      <w:r w:rsidR="00EF7990" w:rsidRPr="00DF7D44">
        <w:rPr>
          <w:noProof/>
          <w:shd w:val="clear" w:color="auto" w:fill="FFFFFF"/>
        </w:rPr>
        <w:t xml:space="preserve"> </w:t>
      </w:r>
      <w:r w:rsidR="00EF7990" w:rsidRPr="00DF7D44">
        <w:rPr>
          <w:b/>
          <w:bCs/>
          <w:noProof/>
          <w:shd w:val="clear" w:color="auto" w:fill="FFFFFF"/>
        </w:rPr>
        <w:t>223 (R</w:t>
      </w:r>
      <w:r w:rsidR="008F76B1">
        <w:rPr>
          <w:b/>
          <w:bCs/>
          <w:noProof/>
          <w:shd w:val="clear" w:color="auto" w:fill="FFFFFF"/>
        </w:rPr>
        <w:t>é</w:t>
      </w:r>
      <w:r w:rsidR="00EF7990" w:rsidRPr="00DF7D44">
        <w:rPr>
          <w:b/>
          <w:bCs/>
          <w:noProof/>
          <w:shd w:val="clear" w:color="auto" w:fill="FFFFFF"/>
        </w:rPr>
        <w:t>v.</w:t>
      </w:r>
      <w:r w:rsidR="005C2F4A">
        <w:rPr>
          <w:b/>
          <w:bCs/>
          <w:noProof/>
          <w:shd w:val="clear" w:color="auto" w:fill="FFFFFF"/>
        </w:rPr>
        <w:t>CMR</w:t>
      </w:r>
      <w:r w:rsidR="00EF7990" w:rsidRPr="00DF7D44">
        <w:rPr>
          <w:b/>
          <w:bCs/>
          <w:noProof/>
          <w:shd w:val="clear" w:color="auto" w:fill="FFFFFF"/>
        </w:rPr>
        <w:t>-15)</w:t>
      </w:r>
      <w:r w:rsidR="00EF7990" w:rsidRPr="00DF7D44">
        <w:rPr>
          <w:noProof/>
          <w:shd w:val="clear" w:color="auto" w:fill="FFFFFF"/>
        </w:rPr>
        <w:t>.</w:t>
      </w:r>
    </w:p>
    <w:p w14:paraId="31DA7297" w14:textId="77777777" w:rsidR="0015203F" w:rsidRPr="00DF7D44" w:rsidRDefault="0015203F" w:rsidP="0093558C">
      <w:pPr>
        <w:tabs>
          <w:tab w:val="clear" w:pos="1134"/>
          <w:tab w:val="clear" w:pos="1871"/>
          <w:tab w:val="clear" w:pos="2268"/>
        </w:tabs>
        <w:overflowPunct/>
        <w:autoSpaceDE/>
        <w:autoSpaceDN/>
        <w:adjustRightInd/>
        <w:spacing w:before="0"/>
        <w:textAlignment w:val="auto"/>
        <w:rPr>
          <w:noProof/>
        </w:rPr>
      </w:pPr>
      <w:r w:rsidRPr="00DF7D44">
        <w:rPr>
          <w:noProof/>
        </w:rPr>
        <w:br w:type="page"/>
      </w:r>
    </w:p>
    <w:p w14:paraId="246ADEB4" w14:textId="77777777" w:rsidR="007F3F42" w:rsidRPr="00DF7D44" w:rsidRDefault="007A7FA2" w:rsidP="0093558C">
      <w:pPr>
        <w:pStyle w:val="ArtNo"/>
        <w:spacing w:before="0"/>
        <w:rPr>
          <w:noProof/>
        </w:rPr>
      </w:pPr>
      <w:bookmarkStart w:id="5" w:name="_Toc455752914"/>
      <w:bookmarkStart w:id="6" w:name="_Toc455756153"/>
      <w:r w:rsidRPr="00DF7D44">
        <w:rPr>
          <w:noProof/>
        </w:rPr>
        <w:lastRenderedPageBreak/>
        <w:t xml:space="preserve">ARTICLE </w:t>
      </w:r>
      <w:r w:rsidRPr="00DF7D44">
        <w:rPr>
          <w:rStyle w:val="href"/>
          <w:noProof/>
          <w:color w:val="000000"/>
        </w:rPr>
        <w:t>5</w:t>
      </w:r>
      <w:bookmarkEnd w:id="5"/>
      <w:bookmarkEnd w:id="6"/>
    </w:p>
    <w:p w14:paraId="32EE5CAF" w14:textId="77777777" w:rsidR="007F3F42" w:rsidRPr="00DF7D44" w:rsidRDefault="007A7FA2" w:rsidP="0093558C">
      <w:pPr>
        <w:pStyle w:val="Arttitle"/>
        <w:rPr>
          <w:noProof/>
        </w:rPr>
      </w:pPr>
      <w:bookmarkStart w:id="7" w:name="_Toc455752915"/>
      <w:bookmarkStart w:id="8" w:name="_Toc455756154"/>
      <w:r w:rsidRPr="00DF7D44">
        <w:rPr>
          <w:noProof/>
        </w:rPr>
        <w:t>Attribution des bandes de fréquences</w:t>
      </w:r>
      <w:bookmarkEnd w:id="7"/>
      <w:bookmarkEnd w:id="8"/>
    </w:p>
    <w:p w14:paraId="7D666F60" w14:textId="4C4C3825" w:rsidR="00D73104" w:rsidRPr="00DF7D44" w:rsidRDefault="007A7FA2" w:rsidP="0093558C">
      <w:pPr>
        <w:pStyle w:val="Section1"/>
        <w:keepNext/>
        <w:rPr>
          <w:b w:val="0"/>
          <w:noProof/>
          <w:color w:val="000000"/>
        </w:rPr>
      </w:pPr>
      <w:r w:rsidRPr="00DF7D44">
        <w:rPr>
          <w:noProof/>
        </w:rPr>
        <w:t>Section IV – Tableau d'attribution des bandes de fréquences</w:t>
      </w:r>
      <w:r w:rsidRPr="00DF7D44">
        <w:rPr>
          <w:noProof/>
        </w:rPr>
        <w:br/>
      </w:r>
      <w:r w:rsidRPr="00DF7D44">
        <w:rPr>
          <w:b w:val="0"/>
          <w:bCs/>
          <w:noProof/>
        </w:rPr>
        <w:t xml:space="preserve">(Voir le numéro </w:t>
      </w:r>
      <w:r w:rsidRPr="00DF7D44">
        <w:rPr>
          <w:noProof/>
        </w:rPr>
        <w:t>2.1</w:t>
      </w:r>
      <w:r w:rsidRPr="00DF7D44">
        <w:rPr>
          <w:b w:val="0"/>
          <w:bCs/>
          <w:noProof/>
        </w:rPr>
        <w:t>)</w:t>
      </w:r>
    </w:p>
    <w:p w14:paraId="5DCBB2DB" w14:textId="4A3513DF" w:rsidR="006F6741" w:rsidRPr="00DF7D44" w:rsidRDefault="007A7FA2" w:rsidP="0093558C">
      <w:pPr>
        <w:pStyle w:val="Proposal"/>
        <w:rPr>
          <w:noProof/>
        </w:rPr>
      </w:pPr>
      <w:r w:rsidRPr="00DF7D44">
        <w:rPr>
          <w:noProof/>
        </w:rPr>
        <w:t>MOD</w:t>
      </w:r>
      <w:r w:rsidRPr="00DF7D44">
        <w:rPr>
          <w:noProof/>
        </w:rPr>
        <w:tab/>
        <w:t>B/57A22/1</w:t>
      </w:r>
    </w:p>
    <w:p w14:paraId="6A99547F" w14:textId="77777777" w:rsidR="00EB19FF" w:rsidRPr="00DF7D44" w:rsidRDefault="007A7FA2" w:rsidP="0093558C">
      <w:pPr>
        <w:pStyle w:val="Tabletitle"/>
        <w:spacing w:before="120"/>
        <w:rPr>
          <w:noProof/>
          <w:color w:val="000000"/>
        </w:rPr>
      </w:pPr>
      <w:r w:rsidRPr="00DF7D44">
        <w:rPr>
          <w:noProof/>
          <w:color w:val="000000"/>
        </w:rPr>
        <w:t>4 800-5 250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DF7D44" w14:paraId="4611F146"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174B7D48" w14:textId="77777777" w:rsidR="007F3F42" w:rsidRPr="00DF7D44" w:rsidRDefault="007A7FA2" w:rsidP="0093558C">
            <w:pPr>
              <w:pStyle w:val="Tablehead"/>
              <w:keepLines/>
              <w:spacing w:before="60" w:after="60"/>
              <w:rPr>
                <w:noProof/>
                <w:color w:val="000000"/>
              </w:rPr>
            </w:pPr>
            <w:r w:rsidRPr="00DF7D44">
              <w:rPr>
                <w:noProof/>
                <w:color w:val="000000"/>
              </w:rPr>
              <w:t>Attribution aux services</w:t>
            </w:r>
          </w:p>
        </w:tc>
      </w:tr>
      <w:tr w:rsidR="007F3F42" w:rsidRPr="00DF7D44" w14:paraId="0B343D82" w14:textId="77777777"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14:paraId="3961D429" w14:textId="77777777" w:rsidR="007F3F42" w:rsidRPr="00DF7D44" w:rsidRDefault="007A7FA2" w:rsidP="0093558C">
            <w:pPr>
              <w:pStyle w:val="Tablehead"/>
              <w:keepLines/>
              <w:spacing w:before="60" w:after="60"/>
              <w:rPr>
                <w:noProof/>
                <w:color w:val="000000"/>
              </w:rPr>
            </w:pPr>
            <w:r w:rsidRPr="00DF7D44">
              <w:rPr>
                <w:noProof/>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914F88A" w14:textId="77777777" w:rsidR="007F3F42" w:rsidRPr="00DF7D44" w:rsidRDefault="007A7FA2" w:rsidP="0093558C">
            <w:pPr>
              <w:pStyle w:val="Tablehead"/>
              <w:keepLines/>
              <w:spacing w:before="60" w:after="60"/>
              <w:rPr>
                <w:noProof/>
                <w:color w:val="000000"/>
              </w:rPr>
            </w:pPr>
            <w:r w:rsidRPr="00DF7D44">
              <w:rPr>
                <w:noProof/>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348FC98F" w14:textId="77777777" w:rsidR="007F3F42" w:rsidRPr="00DF7D44" w:rsidRDefault="007A7FA2" w:rsidP="0093558C">
            <w:pPr>
              <w:pStyle w:val="Tablehead"/>
              <w:keepLines/>
              <w:spacing w:before="60" w:after="60"/>
              <w:rPr>
                <w:noProof/>
                <w:color w:val="000000"/>
              </w:rPr>
            </w:pPr>
            <w:r w:rsidRPr="00DF7D44">
              <w:rPr>
                <w:noProof/>
                <w:color w:val="000000"/>
              </w:rPr>
              <w:t>Région 3</w:t>
            </w:r>
          </w:p>
        </w:tc>
      </w:tr>
      <w:tr w:rsidR="007F3F42" w:rsidRPr="00DF7D44" w14:paraId="5D407CFD" w14:textId="77777777" w:rsidTr="00186DF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E284D6F" w14:textId="77777777" w:rsidR="007F3F42" w:rsidRPr="00DF7D44" w:rsidRDefault="007A7FA2" w:rsidP="0093558C">
            <w:pPr>
              <w:pStyle w:val="TableTextS5"/>
              <w:tabs>
                <w:tab w:val="clear" w:pos="2977"/>
                <w:tab w:val="left" w:pos="2986"/>
              </w:tabs>
              <w:spacing w:before="10" w:after="10"/>
              <w:rPr>
                <w:noProof/>
                <w:color w:val="000000"/>
              </w:rPr>
            </w:pPr>
            <w:r w:rsidRPr="00DF7D44">
              <w:rPr>
                <w:rStyle w:val="Tablefreq"/>
                <w:noProof/>
              </w:rPr>
              <w:t>4 800-4 990</w:t>
            </w:r>
            <w:r w:rsidRPr="00DF7D44">
              <w:rPr>
                <w:noProof/>
                <w:color w:val="000000"/>
              </w:rPr>
              <w:tab/>
              <w:t>FIXE</w:t>
            </w:r>
          </w:p>
          <w:p w14:paraId="1B2F97C8" w14:textId="2312B890" w:rsidR="007F3F42" w:rsidRPr="00DF7D44" w:rsidRDefault="007A7FA2" w:rsidP="0093558C">
            <w:pPr>
              <w:pStyle w:val="TableTextS5"/>
              <w:tabs>
                <w:tab w:val="clear" w:pos="2977"/>
                <w:tab w:val="left" w:pos="2986"/>
              </w:tabs>
              <w:spacing w:before="10" w:after="10"/>
              <w:rPr>
                <w:noProof/>
                <w:color w:val="000000"/>
              </w:rPr>
            </w:pPr>
            <w:r w:rsidRPr="00DF7D44">
              <w:rPr>
                <w:noProof/>
                <w:color w:val="000000"/>
              </w:rPr>
              <w:tab/>
            </w:r>
            <w:r w:rsidRPr="00DF7D44">
              <w:rPr>
                <w:noProof/>
                <w:color w:val="000000"/>
              </w:rPr>
              <w:tab/>
            </w:r>
            <w:r w:rsidRPr="00DF7D44">
              <w:rPr>
                <w:noProof/>
                <w:color w:val="000000"/>
              </w:rPr>
              <w:tab/>
            </w:r>
            <w:r w:rsidRPr="00DF7D44">
              <w:rPr>
                <w:noProof/>
                <w:color w:val="000000"/>
              </w:rPr>
              <w:tab/>
              <w:t xml:space="preserve">MOBILE  </w:t>
            </w:r>
            <w:r w:rsidRPr="00DF7D44">
              <w:rPr>
                <w:rStyle w:val="Artref"/>
                <w:noProof/>
                <w:color w:val="000000"/>
              </w:rPr>
              <w:t xml:space="preserve">5.440A  5.441A  </w:t>
            </w:r>
            <w:ins w:id="9" w:author="French" w:date="2019-10-15T14:35:00Z">
              <w:r w:rsidR="00021789">
                <w:rPr>
                  <w:rStyle w:val="Artref"/>
                  <w:noProof/>
                  <w:color w:val="000000"/>
                </w:rPr>
                <w:t>MOD</w:t>
              </w:r>
            </w:ins>
            <w:ins w:id="10" w:author="Royer, Veronique" w:date="2019-10-18T15:54:00Z">
              <w:r w:rsidR="005C2F4A">
                <w:rPr>
                  <w:rStyle w:val="Artref"/>
                  <w:noProof/>
                  <w:color w:val="000000"/>
                </w:rPr>
                <w:t xml:space="preserve"> </w:t>
              </w:r>
            </w:ins>
            <w:r w:rsidRPr="00DF7D44">
              <w:rPr>
                <w:rStyle w:val="Artref"/>
                <w:noProof/>
                <w:color w:val="000000"/>
              </w:rPr>
              <w:t>5.441B  5.442</w:t>
            </w:r>
          </w:p>
          <w:p w14:paraId="0BDEA242" w14:textId="77777777" w:rsidR="007F3F42" w:rsidRPr="00DF7D44" w:rsidRDefault="007A7FA2" w:rsidP="0093558C">
            <w:pPr>
              <w:pStyle w:val="TableTextS5"/>
              <w:tabs>
                <w:tab w:val="clear" w:pos="2977"/>
                <w:tab w:val="left" w:pos="2986"/>
              </w:tabs>
              <w:spacing w:before="10" w:after="10"/>
              <w:rPr>
                <w:noProof/>
                <w:color w:val="000000"/>
              </w:rPr>
            </w:pPr>
            <w:r w:rsidRPr="00DF7D44">
              <w:rPr>
                <w:noProof/>
                <w:color w:val="000000"/>
              </w:rPr>
              <w:tab/>
            </w:r>
            <w:r w:rsidRPr="00DF7D44">
              <w:rPr>
                <w:noProof/>
                <w:color w:val="000000"/>
              </w:rPr>
              <w:tab/>
            </w:r>
            <w:r w:rsidRPr="00DF7D44">
              <w:rPr>
                <w:noProof/>
                <w:color w:val="000000"/>
              </w:rPr>
              <w:tab/>
            </w:r>
            <w:r w:rsidRPr="00DF7D44">
              <w:rPr>
                <w:noProof/>
                <w:color w:val="000000"/>
              </w:rPr>
              <w:tab/>
              <w:t>Radioastronomie</w:t>
            </w:r>
          </w:p>
          <w:p w14:paraId="77038634" w14:textId="77777777" w:rsidR="007F3F42" w:rsidRPr="00DF7D44" w:rsidRDefault="007A7FA2" w:rsidP="0093558C">
            <w:pPr>
              <w:pStyle w:val="TableTextS5"/>
              <w:tabs>
                <w:tab w:val="clear" w:pos="2977"/>
                <w:tab w:val="left" w:pos="2986"/>
              </w:tabs>
              <w:spacing w:before="10" w:after="10"/>
              <w:rPr>
                <w:noProof/>
                <w:color w:val="000000"/>
              </w:rPr>
            </w:pPr>
            <w:r w:rsidRPr="00DF7D44">
              <w:rPr>
                <w:noProof/>
                <w:color w:val="000000"/>
              </w:rPr>
              <w:tab/>
            </w:r>
            <w:r w:rsidRPr="00DF7D44">
              <w:rPr>
                <w:noProof/>
                <w:color w:val="000000"/>
              </w:rPr>
              <w:tab/>
            </w:r>
            <w:r w:rsidRPr="00DF7D44">
              <w:rPr>
                <w:noProof/>
                <w:color w:val="000000"/>
              </w:rPr>
              <w:tab/>
            </w:r>
            <w:r w:rsidRPr="00DF7D44">
              <w:rPr>
                <w:noProof/>
                <w:color w:val="000000"/>
              </w:rPr>
              <w:tab/>
            </w:r>
            <w:r w:rsidRPr="00DF7D44">
              <w:rPr>
                <w:rStyle w:val="Artref"/>
                <w:noProof/>
                <w:color w:val="000000"/>
              </w:rPr>
              <w:t>5.149</w:t>
            </w:r>
            <w:r w:rsidRPr="00DF7D44">
              <w:rPr>
                <w:noProof/>
                <w:color w:val="000000"/>
              </w:rPr>
              <w:t xml:space="preserve">  </w:t>
            </w:r>
            <w:r w:rsidRPr="00DF7D44">
              <w:rPr>
                <w:rStyle w:val="Artref"/>
                <w:noProof/>
                <w:color w:val="000000"/>
              </w:rPr>
              <w:t>5.339</w:t>
            </w:r>
            <w:r w:rsidRPr="00DF7D44">
              <w:rPr>
                <w:noProof/>
                <w:color w:val="000000"/>
              </w:rPr>
              <w:t xml:space="preserve">  </w:t>
            </w:r>
            <w:r w:rsidRPr="00DF7D44">
              <w:rPr>
                <w:rStyle w:val="Artref"/>
                <w:noProof/>
                <w:color w:val="000000"/>
              </w:rPr>
              <w:t>5.443</w:t>
            </w:r>
          </w:p>
        </w:tc>
      </w:tr>
      <w:tr w:rsidR="00186DFE" w:rsidRPr="00DF7D44" w14:paraId="3B44197B" w14:textId="77777777" w:rsidTr="00100CC0">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14:paraId="3591F3D6" w14:textId="21F8AC96" w:rsidR="00186DFE" w:rsidRPr="00DF7D44" w:rsidRDefault="00186DFE" w:rsidP="0093558C">
            <w:pPr>
              <w:pStyle w:val="TableTextS5"/>
              <w:rPr>
                <w:rStyle w:val="Tablefreq"/>
                <w:b w:val="0"/>
                <w:bCs/>
                <w:noProof/>
              </w:rPr>
            </w:pPr>
            <w:r w:rsidRPr="00DF7D44">
              <w:rPr>
                <w:rStyle w:val="Tablefreq"/>
                <w:b w:val="0"/>
                <w:bCs/>
                <w:noProof/>
              </w:rPr>
              <w:t>...</w:t>
            </w:r>
          </w:p>
        </w:tc>
      </w:tr>
    </w:tbl>
    <w:p w14:paraId="5B556016" w14:textId="47C5B3E2" w:rsidR="006F6741" w:rsidRPr="00DF7D44" w:rsidRDefault="006F6741" w:rsidP="0093558C">
      <w:pPr>
        <w:pStyle w:val="Reasons"/>
        <w:rPr>
          <w:noProof/>
        </w:rPr>
      </w:pPr>
    </w:p>
    <w:p w14:paraId="75541F61" w14:textId="30210564" w:rsidR="006F6741" w:rsidRPr="00DF7D44" w:rsidRDefault="007A7FA2" w:rsidP="0093558C">
      <w:pPr>
        <w:pStyle w:val="Proposal"/>
        <w:rPr>
          <w:noProof/>
        </w:rPr>
      </w:pPr>
      <w:r w:rsidRPr="00DF7D44">
        <w:rPr>
          <w:noProof/>
        </w:rPr>
        <w:t>MOD</w:t>
      </w:r>
      <w:r w:rsidRPr="00DF7D44">
        <w:rPr>
          <w:noProof/>
        </w:rPr>
        <w:tab/>
        <w:t>B/57A22/2</w:t>
      </w:r>
    </w:p>
    <w:p w14:paraId="3744C1F4" w14:textId="16815D0F" w:rsidR="007F3F42" w:rsidRPr="00DF7D44" w:rsidRDefault="007A7FA2" w:rsidP="0093558C">
      <w:pPr>
        <w:pStyle w:val="Note"/>
        <w:rPr>
          <w:noProof/>
          <w:sz w:val="16"/>
          <w:szCs w:val="16"/>
        </w:rPr>
      </w:pPr>
      <w:r w:rsidRPr="00DF7D44">
        <w:rPr>
          <w:rStyle w:val="Artdef"/>
          <w:bCs/>
          <w:noProof/>
        </w:rPr>
        <w:t>5.441B</w:t>
      </w:r>
      <w:r w:rsidRPr="00DF7D44">
        <w:rPr>
          <w:noProof/>
        </w:rPr>
        <w:tab/>
        <w:t>Dans les pays suivants: Cambodge, Lao (R.d.p.)</w:t>
      </w:r>
      <w:ins w:id="11" w:author="French" w:date="2019-10-15T11:39:00Z">
        <w:r w:rsidR="008F76B1">
          <w:rPr>
            <w:noProof/>
          </w:rPr>
          <w:t>, Brésil, [liste de pays]</w:t>
        </w:r>
      </w:ins>
      <w:r w:rsidRPr="00DF7D44">
        <w:rPr>
          <w:noProof/>
        </w:rPr>
        <w:t xml:space="preserve"> et Viet Nam, la bande de fréquences 4 800-4 990 MHz, ou des parties de cette bande de fréquences, est identifiée pour pouvoir être utilisée par les administrations souhaitant mettre en oeuvre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w:t>
      </w:r>
      <w:del w:id="12" w:author="French" w:date="2019-10-15T11:39:00Z">
        <w:r w:rsidRPr="00DF7D44" w:rsidDel="008F76B1">
          <w:rPr>
            <w:noProof/>
          </w:rPr>
          <w:delText>de cette bande de fréquences pour la mise en oeuvre des</w:delText>
        </w:r>
      </w:del>
      <w:ins w:id="13" w:author="French" w:date="2019-10-15T11:39:00Z">
        <w:r w:rsidR="008F76B1">
          <w:rPr>
            <w:noProof/>
          </w:rPr>
          <w:t>de stations</w:t>
        </w:r>
      </w:ins>
      <w:r w:rsidRPr="00DF7D44">
        <w:rPr>
          <w:noProof/>
        </w:rPr>
        <w:t xml:space="preserve"> IMT est assujettie à l'accord obtenu </w:t>
      </w:r>
      <w:del w:id="14" w:author="French" w:date="2019-10-15T11:40:00Z">
        <w:r w:rsidRPr="00DF7D44" w:rsidDel="008F76B1">
          <w:rPr>
            <w:noProof/>
          </w:rPr>
          <w:delText xml:space="preserve">auprès des administrations concernées </w:delText>
        </w:r>
      </w:del>
      <w:r w:rsidRPr="00DF7D44">
        <w:rPr>
          <w:noProof/>
        </w:rPr>
        <w:t>au titre du numéro </w:t>
      </w:r>
      <w:r w:rsidRPr="00DF7D44">
        <w:rPr>
          <w:b/>
          <w:bCs/>
          <w:noProof/>
        </w:rPr>
        <w:t>9.21</w:t>
      </w:r>
      <w:r w:rsidRPr="00DF7D44">
        <w:rPr>
          <w:noProof/>
        </w:rPr>
        <w:t xml:space="preserve"> </w:t>
      </w:r>
      <w:del w:id="15" w:author="French" w:date="2019-10-15T11:40:00Z">
        <w:r w:rsidRPr="00DF7D44" w:rsidDel="008F76B1">
          <w:rPr>
            <w:noProof/>
          </w:rPr>
          <w:delText>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l'Etat côtier, ne dépasse pas –155 dB(W/(m</w:delText>
        </w:r>
        <w:r w:rsidRPr="00DF7D44" w:rsidDel="008F76B1">
          <w:rPr>
            <w:noProof/>
            <w:vertAlign w:val="superscript"/>
          </w:rPr>
          <w:delText>2</w:delText>
        </w:r>
        <w:r w:rsidRPr="00DF7D44" w:rsidDel="008F76B1">
          <w:rPr>
            <w:noProof/>
          </w:rPr>
          <w:delText> </w:delText>
        </w:r>
        <w:r w:rsidRPr="00DF7D44" w:rsidDel="008F76B1">
          <w:rPr>
            <w:noProof/>
          </w:rPr>
          <w:sym w:font="Symbol" w:char="F0D7"/>
        </w:r>
        <w:r w:rsidRPr="00DF7D44" w:rsidDel="008F76B1">
          <w:rPr>
            <w:noProof/>
          </w:rPr>
          <w:delText> 1 MHz)). Ce critèr</w:delText>
        </w:r>
        <w:bookmarkStart w:id="16" w:name="_GoBack"/>
        <w:bookmarkEnd w:id="16"/>
        <w:r w:rsidRPr="00DF7D44" w:rsidDel="008F76B1">
          <w:rPr>
            <w:noProof/>
          </w:rPr>
          <w:delText xml:space="preserve">e sera réexaminé à la CMR-19. Voir la Résolution </w:delText>
        </w:r>
        <w:r w:rsidRPr="00DF7D44" w:rsidDel="008F76B1">
          <w:rPr>
            <w:b/>
            <w:bCs/>
            <w:noProof/>
          </w:rPr>
          <w:delText>223 (Rév.CMR</w:delText>
        </w:r>
        <w:r w:rsidRPr="00DF7D44" w:rsidDel="008F76B1">
          <w:rPr>
            <w:b/>
            <w:bCs/>
            <w:noProof/>
          </w:rPr>
          <w:noBreakHyphen/>
          <w:delText>15)</w:delText>
        </w:r>
        <w:r w:rsidRPr="00DF7D44" w:rsidDel="008F76B1">
          <w:rPr>
            <w:noProof/>
          </w:rPr>
          <w:delText>. Cette identification entrera en vigueur après la CMR-19.</w:delText>
        </w:r>
      </w:del>
      <w:ins w:id="17" w:author="French" w:date="2019-10-15T11:42:00Z">
        <w:r w:rsidR="008F76B1">
          <w:rPr>
            <w:noProof/>
          </w:rPr>
          <w:t>auprès des pays utilisant des stations de réception à bord d'aéronefs dans les bandes 4 800-4 825 MHz et 4</w:t>
        </w:r>
      </w:ins>
      <w:ins w:id="18" w:author="French" w:date="2019-10-16T10:46:00Z">
        <w:r w:rsidR="006E32F9">
          <w:rPr>
            <w:noProof/>
          </w:rPr>
          <w:t> </w:t>
        </w:r>
      </w:ins>
      <w:ins w:id="19" w:author="French" w:date="2019-10-15T11:42:00Z">
        <w:r w:rsidR="008F76B1">
          <w:rPr>
            <w:noProof/>
          </w:rPr>
          <w:t xml:space="preserve">835-4 950 MHz et/ou des stations du service fixe dans la bande de fréquences 4 800-4 990 MHz, conformément à la Résolution </w:t>
        </w:r>
        <w:r w:rsidR="008F76B1">
          <w:rPr>
            <w:b/>
            <w:noProof/>
          </w:rPr>
          <w:t>223 (Rév. CMR-19)</w:t>
        </w:r>
        <w:r w:rsidR="008F76B1">
          <w:rPr>
            <w:noProof/>
          </w:rPr>
          <w:t xml:space="preserve">. Voir également la Résolution </w:t>
        </w:r>
        <w:r w:rsidR="008F76B1">
          <w:rPr>
            <w:b/>
            <w:noProof/>
          </w:rPr>
          <w:t>416 (CMR</w:t>
        </w:r>
      </w:ins>
      <w:ins w:id="20" w:author="Royer, Veronique" w:date="2019-10-18T16:02:00Z">
        <w:r w:rsidR="00C12F35">
          <w:rPr>
            <w:b/>
            <w:noProof/>
          </w:rPr>
          <w:noBreakHyphen/>
        </w:r>
      </w:ins>
      <w:ins w:id="21" w:author="French" w:date="2019-10-15T11:42:00Z">
        <w:r w:rsidR="008F76B1">
          <w:rPr>
            <w:b/>
            <w:noProof/>
          </w:rPr>
          <w:t>07)</w:t>
        </w:r>
        <w:r w:rsidR="008F76B1">
          <w:rPr>
            <w:noProof/>
          </w:rPr>
          <w:t>.</w:t>
        </w:r>
      </w:ins>
      <w:r w:rsidR="00C12F35" w:rsidRPr="00C12F35">
        <w:rPr>
          <w:noProof/>
          <w:sz w:val="16"/>
          <w:szCs w:val="16"/>
        </w:rPr>
        <w:t>     </w:t>
      </w:r>
      <w:r w:rsidRPr="00DF7D44">
        <w:rPr>
          <w:noProof/>
          <w:sz w:val="16"/>
          <w:szCs w:val="16"/>
        </w:rPr>
        <w:t>(CMR</w:t>
      </w:r>
      <w:r w:rsidRPr="00DF7D44">
        <w:rPr>
          <w:noProof/>
          <w:sz w:val="16"/>
          <w:szCs w:val="16"/>
        </w:rPr>
        <w:noBreakHyphen/>
      </w:r>
      <w:del w:id="22" w:author="French" w:date="2019-10-14T13:46:00Z">
        <w:r w:rsidRPr="00DF7D44" w:rsidDel="00186DFE">
          <w:rPr>
            <w:noProof/>
            <w:sz w:val="16"/>
            <w:szCs w:val="16"/>
          </w:rPr>
          <w:delText>15</w:delText>
        </w:r>
      </w:del>
      <w:ins w:id="23" w:author="French" w:date="2019-10-14T13:46:00Z">
        <w:r w:rsidR="00186DFE" w:rsidRPr="00DF7D44">
          <w:rPr>
            <w:noProof/>
            <w:sz w:val="16"/>
            <w:szCs w:val="16"/>
          </w:rPr>
          <w:t>19</w:t>
        </w:r>
      </w:ins>
      <w:r w:rsidRPr="00DF7D44">
        <w:rPr>
          <w:noProof/>
          <w:sz w:val="16"/>
          <w:szCs w:val="16"/>
        </w:rPr>
        <w:t>)</w:t>
      </w:r>
    </w:p>
    <w:p w14:paraId="337A899E" w14:textId="77777777" w:rsidR="00C12F35" w:rsidRDefault="007A7FA2" w:rsidP="00247CD3">
      <w:pPr>
        <w:pStyle w:val="Reasons"/>
        <w:rPr>
          <w:noProof/>
        </w:rPr>
      </w:pPr>
      <w:r w:rsidRPr="00DF7D44">
        <w:rPr>
          <w:b/>
          <w:noProof/>
        </w:rPr>
        <w:t>Motifs:</w:t>
      </w:r>
      <w:r w:rsidRPr="00DF7D44">
        <w:rPr>
          <w:noProof/>
        </w:rPr>
        <w:tab/>
      </w:r>
      <w:r w:rsidR="00545E6F">
        <w:rPr>
          <w:noProof/>
        </w:rPr>
        <w:t>Les</w:t>
      </w:r>
      <w:r w:rsidR="00186DFE" w:rsidRPr="00DF7D44">
        <w:rPr>
          <w:noProof/>
        </w:rPr>
        <w:t xml:space="preserve"> documents de l'UIT-R </w:t>
      </w:r>
      <w:r w:rsidR="00545E6F">
        <w:rPr>
          <w:noProof/>
        </w:rPr>
        <w:t>indiquent que la bande de fréquences 4 800- 4 990 MHz peut être utilisée par les systèmes de télémesure mobile aéronautique décrits dans le Rapport UIT-R M.2286 et par les</w:t>
      </w:r>
      <w:r w:rsidR="00186DFE" w:rsidRPr="00DF7D44">
        <w:rPr>
          <w:noProof/>
        </w:rPr>
        <w:t xml:space="preserve"> liaisons de données </w:t>
      </w:r>
      <w:r w:rsidR="00545E6F">
        <w:rPr>
          <w:noProof/>
        </w:rPr>
        <w:t>aériennes</w:t>
      </w:r>
      <w:r w:rsidR="00186DFE" w:rsidRPr="00DF7D44">
        <w:rPr>
          <w:noProof/>
        </w:rPr>
        <w:t xml:space="preserve"> dont il est question dans la Recommandation UIT-R M.2116. </w:t>
      </w:r>
      <w:r w:rsidR="00545E6F">
        <w:rPr>
          <w:noProof/>
        </w:rPr>
        <w:t xml:space="preserve">S'agissant du </w:t>
      </w:r>
      <w:r w:rsidR="00186DFE" w:rsidRPr="00DF7D44">
        <w:rPr>
          <w:noProof/>
        </w:rPr>
        <w:t xml:space="preserve">renvoi </w:t>
      </w:r>
      <w:r w:rsidR="00186DFE" w:rsidRPr="00DF7D44">
        <w:rPr>
          <w:b/>
          <w:noProof/>
        </w:rPr>
        <w:t>5.44</w:t>
      </w:r>
      <w:r w:rsidR="0093558C">
        <w:rPr>
          <w:b/>
          <w:noProof/>
        </w:rPr>
        <w:t>2</w:t>
      </w:r>
      <w:r w:rsidR="00186DFE" w:rsidRPr="00DF7D44">
        <w:rPr>
          <w:noProof/>
        </w:rPr>
        <w:t xml:space="preserve"> du RR</w:t>
      </w:r>
      <w:r w:rsidR="00545E6F">
        <w:rPr>
          <w:noProof/>
        </w:rPr>
        <w:t>, la bande</w:t>
      </w:r>
      <w:r w:rsidR="0093558C">
        <w:rPr>
          <w:noProof/>
        </w:rPr>
        <w:t xml:space="preserve"> de fréquences</w:t>
      </w:r>
      <w:r w:rsidR="00545E6F">
        <w:rPr>
          <w:noProof/>
        </w:rPr>
        <w:t xml:space="preserve"> </w:t>
      </w:r>
      <w:r w:rsidR="00545E6F" w:rsidRPr="00DF7D44">
        <w:rPr>
          <w:noProof/>
        </w:rPr>
        <w:t>4 825</w:t>
      </w:r>
      <w:r w:rsidR="00545E6F" w:rsidRPr="00DF7D44">
        <w:rPr>
          <w:noProof/>
        </w:rPr>
        <w:noBreakHyphen/>
        <w:t>4 835 MHz</w:t>
      </w:r>
      <w:r w:rsidR="00545E6F">
        <w:rPr>
          <w:noProof/>
        </w:rPr>
        <w:t xml:space="preserve"> ne peut pas être utilisée par les stations du service mobile aéronautique, sauf dans certains pays de la Région 2 et en Australie, où la bande </w:t>
      </w:r>
      <w:r w:rsidR="00545E6F" w:rsidRPr="00DF7D44">
        <w:rPr>
          <w:noProof/>
        </w:rPr>
        <w:t>4 825</w:t>
      </w:r>
      <w:r w:rsidR="00545E6F" w:rsidRPr="00DF7D44">
        <w:rPr>
          <w:noProof/>
        </w:rPr>
        <w:noBreakHyphen/>
        <w:t>4 835 MHz</w:t>
      </w:r>
      <w:r w:rsidR="00545E6F">
        <w:rPr>
          <w:noProof/>
        </w:rPr>
        <w:t xml:space="preserve"> peut être utilisée uniquement pour la télémesure aéronautique </w:t>
      </w:r>
      <w:r w:rsidR="00F048EA">
        <w:rPr>
          <w:noProof/>
        </w:rPr>
        <w:t>pour</w:t>
      </w:r>
      <w:r w:rsidR="00545E6F">
        <w:rPr>
          <w:noProof/>
        </w:rPr>
        <w:t xml:space="preserve"> les essais en vol. De plus, la bande de fréquences </w:t>
      </w:r>
      <w:r w:rsidR="00186DFE" w:rsidRPr="00DF7D44">
        <w:rPr>
          <w:noProof/>
        </w:rPr>
        <w:t xml:space="preserve">4 950-4 990 MHz </w:t>
      </w:r>
      <w:r w:rsidR="00545E6F">
        <w:rPr>
          <w:noProof/>
        </w:rPr>
        <w:t>n'est aucunement attribuée au service mobile aéronautique</w:t>
      </w:r>
      <w:r w:rsidR="00186DFE" w:rsidRPr="00DF7D44">
        <w:rPr>
          <w:noProof/>
        </w:rPr>
        <w:t xml:space="preserve">. </w:t>
      </w:r>
    </w:p>
    <w:p w14:paraId="7300652D" w14:textId="77777777" w:rsidR="00C12F35" w:rsidRDefault="00110298" w:rsidP="0093558C">
      <w:pPr>
        <w:rPr>
          <w:noProof/>
        </w:rPr>
      </w:pPr>
      <w:r>
        <w:rPr>
          <w:noProof/>
        </w:rPr>
        <w:t xml:space="preserve">La Résolution </w:t>
      </w:r>
      <w:r w:rsidRPr="00FD2060">
        <w:rPr>
          <w:b/>
          <w:noProof/>
        </w:rPr>
        <w:t>416 (CMR-07)</w:t>
      </w:r>
      <w:r>
        <w:rPr>
          <w:noProof/>
        </w:rPr>
        <w:t xml:space="preserve"> restreint l'utilisation de la télémesure </w:t>
      </w:r>
      <w:r w:rsidR="00FD2060">
        <w:rPr>
          <w:noProof/>
        </w:rPr>
        <w:t xml:space="preserve">mobile aéronautique aux seules </w:t>
      </w:r>
      <w:r w:rsidR="0093558C">
        <w:rPr>
          <w:noProof/>
        </w:rPr>
        <w:t>é</w:t>
      </w:r>
      <w:r w:rsidR="00FD2060">
        <w:rPr>
          <w:noProof/>
        </w:rPr>
        <w:t>missions des stations d'aéronef</w:t>
      </w:r>
      <w:r w:rsidR="00F048EA">
        <w:rPr>
          <w:noProof/>
        </w:rPr>
        <w:t>. Par conséquent, l</w:t>
      </w:r>
      <w:r w:rsidR="00FD2060">
        <w:rPr>
          <w:noProof/>
        </w:rPr>
        <w:t xml:space="preserve">'utilisation de la limite de puissance surfacique n'est pas nécessaire, puisque cette limite est appliquée pour protéger les récepteurs des stations de </w:t>
      </w:r>
      <w:r w:rsidR="00FD2060">
        <w:rPr>
          <w:noProof/>
        </w:rPr>
        <w:lastRenderedPageBreak/>
        <w:t xml:space="preserve">télémesure mobile aéronautique situées au sol. Conformément à la Résolution </w:t>
      </w:r>
      <w:r w:rsidR="00FD2060">
        <w:rPr>
          <w:b/>
          <w:noProof/>
        </w:rPr>
        <w:t>416 (CMR-07)</w:t>
      </w:r>
      <w:r w:rsidR="00FD2060">
        <w:rPr>
          <w:noProof/>
        </w:rPr>
        <w:t>, d</w:t>
      </w:r>
      <w:r w:rsidR="00EF17ED" w:rsidRPr="00DF7D44">
        <w:rPr>
          <w:noProof/>
        </w:rPr>
        <w:t xml:space="preserve">ans </w:t>
      </w:r>
      <w:r w:rsidR="00FD2060">
        <w:rPr>
          <w:noProof/>
        </w:rPr>
        <w:t>la</w:t>
      </w:r>
      <w:r w:rsidR="00EF17ED" w:rsidRPr="00DF7D44">
        <w:rPr>
          <w:noProof/>
        </w:rPr>
        <w:t xml:space="preserve"> bande 4 400</w:t>
      </w:r>
      <w:r w:rsidR="00EF17ED" w:rsidRPr="00DF7D44">
        <w:rPr>
          <w:noProof/>
        </w:rPr>
        <w:noBreakHyphen/>
        <w:t xml:space="preserve">4 940 MHz, il faut procéder à une coordination bilatérale entre </w:t>
      </w:r>
      <w:r w:rsidR="0093558C">
        <w:rPr>
          <w:noProof/>
        </w:rPr>
        <w:t>une</w:t>
      </w:r>
      <w:r w:rsidR="00EF17ED" w:rsidRPr="00DF7D44">
        <w:rPr>
          <w:noProof/>
        </w:rPr>
        <w:t xml:space="preserve"> station d'aéronef d'émission </w:t>
      </w:r>
      <w:r w:rsidR="0093558C">
        <w:rPr>
          <w:noProof/>
        </w:rPr>
        <w:t>pour la</w:t>
      </w:r>
      <w:r w:rsidR="00EF17ED" w:rsidRPr="00DF7D44">
        <w:rPr>
          <w:noProof/>
        </w:rPr>
        <w:t xml:space="preserve"> télémesure mobile aéronautique et les stations de réception fixes ou mobiles, si la station d'aéronef de télémesure mobile aéronautique est appelée à fonctionner à moins de 450 km des stations de réception fixes ou mobiles d'une autre administration. </w:t>
      </w:r>
      <w:r w:rsidR="00FD2060">
        <w:rPr>
          <w:noProof/>
        </w:rPr>
        <w:t xml:space="preserve">De plus, conformément au renvoi </w:t>
      </w:r>
      <w:r w:rsidR="00A426DB" w:rsidRPr="00B97B74">
        <w:rPr>
          <w:b/>
          <w:noProof/>
        </w:rPr>
        <w:t>5.</w:t>
      </w:r>
      <w:r w:rsidR="00B97B74" w:rsidRPr="00B97B74">
        <w:rPr>
          <w:b/>
          <w:noProof/>
        </w:rPr>
        <w:t>440A</w:t>
      </w:r>
      <w:r w:rsidR="00A426DB" w:rsidRPr="00DF7D44">
        <w:rPr>
          <w:noProof/>
        </w:rPr>
        <w:t xml:space="preserve"> du RR</w:t>
      </w:r>
      <w:r w:rsidR="00FD2060">
        <w:rPr>
          <w:noProof/>
        </w:rPr>
        <w:t xml:space="preserve">, toute </w:t>
      </w:r>
      <w:r w:rsidR="00A426DB" w:rsidRPr="00DF7D44">
        <w:rPr>
          <w:noProof/>
        </w:rPr>
        <w:t>utilisation</w:t>
      </w:r>
      <w:r w:rsidR="00FD2060">
        <w:rPr>
          <w:noProof/>
        </w:rPr>
        <w:t xml:space="preserve"> de la télémesure mobile aéronautique</w:t>
      </w:r>
      <w:r w:rsidR="00A426DB" w:rsidRPr="00DF7D44">
        <w:rPr>
          <w:noProof/>
        </w:rPr>
        <w:t xml:space="preserve"> n’exclut pas l’utilisation de cette bande par d’autres applications du service mobile ou par d’autres services auxquels la bande en question est attribuée à titre primaire avec égalité des droits et n’établit pas de priorité dans le Règlement des radiocommunications</w:t>
      </w:r>
      <w:r w:rsidR="00FD2060">
        <w:rPr>
          <w:noProof/>
        </w:rPr>
        <w:t xml:space="preserve">. Par conséquent, il est incorrect d'appliquer le numéro </w:t>
      </w:r>
      <w:r w:rsidR="00FD2060" w:rsidRPr="00FD2060">
        <w:rPr>
          <w:b/>
          <w:noProof/>
        </w:rPr>
        <w:t>9.21</w:t>
      </w:r>
      <w:r w:rsidR="00FD2060">
        <w:rPr>
          <w:noProof/>
        </w:rPr>
        <w:t xml:space="preserve"> du RR aux stations de télémesure mobile aéronautique dans la bande </w:t>
      </w:r>
      <w:r w:rsidR="00A426DB" w:rsidRPr="00DF7D44">
        <w:rPr>
          <w:noProof/>
        </w:rPr>
        <w:t>4</w:t>
      </w:r>
      <w:r w:rsidR="008B73D6" w:rsidRPr="00DF7D44">
        <w:rPr>
          <w:noProof/>
        </w:rPr>
        <w:t> </w:t>
      </w:r>
      <w:r w:rsidR="00A426DB" w:rsidRPr="00DF7D44">
        <w:rPr>
          <w:noProof/>
        </w:rPr>
        <w:t>400</w:t>
      </w:r>
      <w:r w:rsidR="006E32F9">
        <w:rPr>
          <w:noProof/>
        </w:rPr>
        <w:noBreakHyphen/>
      </w:r>
      <w:r w:rsidR="00A426DB" w:rsidRPr="00DF7D44">
        <w:rPr>
          <w:noProof/>
        </w:rPr>
        <w:t>4</w:t>
      </w:r>
      <w:r w:rsidR="008B73D6" w:rsidRPr="00DF7D44">
        <w:rPr>
          <w:noProof/>
        </w:rPr>
        <w:t> </w:t>
      </w:r>
      <w:r w:rsidR="00A426DB" w:rsidRPr="00DF7D44">
        <w:rPr>
          <w:noProof/>
        </w:rPr>
        <w:t>940</w:t>
      </w:r>
      <w:r w:rsidR="006E32F9">
        <w:rPr>
          <w:noProof/>
        </w:rPr>
        <w:t> </w:t>
      </w:r>
      <w:r w:rsidR="00A426DB" w:rsidRPr="00DF7D44">
        <w:rPr>
          <w:noProof/>
        </w:rPr>
        <w:t>MHz.</w:t>
      </w:r>
    </w:p>
    <w:p w14:paraId="3A5FBAF1" w14:textId="77777777" w:rsidR="00C12F35" w:rsidRDefault="00FD2060" w:rsidP="0093558C">
      <w:pPr>
        <w:rPr>
          <w:noProof/>
        </w:rPr>
      </w:pPr>
      <w:r>
        <w:rPr>
          <w:noProof/>
        </w:rPr>
        <w:t xml:space="preserve">Conformément à la Recommandation UIT-R M.2116, l'utilisation des liaisons de données aériennes dans la bande </w:t>
      </w:r>
      <w:r w:rsidR="00A426DB" w:rsidRPr="00DF7D44">
        <w:rPr>
          <w:noProof/>
        </w:rPr>
        <w:t>4</w:t>
      </w:r>
      <w:r w:rsidR="008B73D6" w:rsidRPr="00DF7D44">
        <w:rPr>
          <w:noProof/>
        </w:rPr>
        <w:t> </w:t>
      </w:r>
      <w:r w:rsidR="00A426DB" w:rsidRPr="00DF7D44">
        <w:rPr>
          <w:noProof/>
        </w:rPr>
        <w:t>800-4</w:t>
      </w:r>
      <w:r w:rsidR="008B73D6" w:rsidRPr="00DF7D44">
        <w:rPr>
          <w:noProof/>
        </w:rPr>
        <w:t> </w:t>
      </w:r>
      <w:r w:rsidR="00A426DB" w:rsidRPr="00DF7D44">
        <w:rPr>
          <w:noProof/>
        </w:rPr>
        <w:t xml:space="preserve">990 MHz </w:t>
      </w:r>
      <w:r w:rsidR="00B108A6">
        <w:rPr>
          <w:noProof/>
        </w:rPr>
        <w:t>est limité</w:t>
      </w:r>
      <w:r w:rsidR="0038582A">
        <w:rPr>
          <w:noProof/>
        </w:rPr>
        <w:t xml:space="preserve">e </w:t>
      </w:r>
      <w:r w:rsidR="00B108A6">
        <w:rPr>
          <w:noProof/>
        </w:rPr>
        <w:t>aux territoires nationaux</w:t>
      </w:r>
      <w:r w:rsidR="0038582A">
        <w:rPr>
          <w:noProof/>
        </w:rPr>
        <w:t xml:space="preserve">. </w:t>
      </w:r>
      <w:r w:rsidR="00B97B74">
        <w:rPr>
          <w:noProof/>
        </w:rPr>
        <w:t>De ce fait</w:t>
      </w:r>
      <w:r w:rsidR="0038582A">
        <w:rPr>
          <w:noProof/>
        </w:rPr>
        <w:t xml:space="preserve">, la limite de puissance surfacique est redondante, et la protection </w:t>
      </w:r>
      <w:r w:rsidR="00B97B74">
        <w:rPr>
          <w:noProof/>
        </w:rPr>
        <w:t>des stations du SMA</w:t>
      </w:r>
      <w:r w:rsidR="0038582A">
        <w:rPr>
          <w:noProof/>
        </w:rPr>
        <w:t xml:space="preserve"> est pleinement garantie par l'application du numéro </w:t>
      </w:r>
      <w:r w:rsidR="0038582A">
        <w:rPr>
          <w:b/>
          <w:noProof/>
        </w:rPr>
        <w:t>9.21</w:t>
      </w:r>
      <w:r w:rsidR="0038582A">
        <w:rPr>
          <w:noProof/>
        </w:rPr>
        <w:t xml:space="preserve"> du RR. De plus, l'application du numéro </w:t>
      </w:r>
      <w:r w:rsidR="0038582A">
        <w:rPr>
          <w:b/>
          <w:noProof/>
        </w:rPr>
        <w:t>9.21</w:t>
      </w:r>
      <w:r w:rsidR="0038582A">
        <w:rPr>
          <w:noProof/>
        </w:rPr>
        <w:t xml:space="preserve"> du RR demeure pertinente uniquement pour les stations de réception à bord d'aéronefs, puisqu'il s'agit de stations du </w:t>
      </w:r>
      <w:r w:rsidR="00B97B74">
        <w:rPr>
          <w:noProof/>
        </w:rPr>
        <w:t>SMA</w:t>
      </w:r>
      <w:r w:rsidR="0038582A">
        <w:rPr>
          <w:noProof/>
        </w:rPr>
        <w:t xml:space="preserve"> et qu'une protection peut être nécessaire. Par analogie, il n'est pas nécessaire de protéger les récepteurs </w:t>
      </w:r>
      <w:r w:rsidR="00B97B74">
        <w:rPr>
          <w:noProof/>
        </w:rPr>
        <w:t xml:space="preserve">des stations fixes </w:t>
      </w:r>
      <w:r w:rsidR="0038582A">
        <w:rPr>
          <w:noProof/>
        </w:rPr>
        <w:t>des systèmes de liaison</w:t>
      </w:r>
      <w:r w:rsidR="0093558C">
        <w:rPr>
          <w:noProof/>
        </w:rPr>
        <w:t>s</w:t>
      </w:r>
      <w:r w:rsidR="0038582A">
        <w:rPr>
          <w:noProof/>
        </w:rPr>
        <w:t xml:space="preserve"> de données aériennes ayant des applications de télémesure mobile aéronautique.</w:t>
      </w:r>
      <w:r w:rsidR="0038582A" w:rsidRPr="00DF7D44">
        <w:rPr>
          <w:noProof/>
        </w:rPr>
        <w:t xml:space="preserve"> </w:t>
      </w:r>
    </w:p>
    <w:p w14:paraId="7C271A31" w14:textId="0A99690C" w:rsidR="00A426DB" w:rsidRPr="00DF7D44" w:rsidRDefault="00B97B74" w:rsidP="0093558C">
      <w:pPr>
        <w:rPr>
          <w:noProof/>
        </w:rPr>
      </w:pPr>
      <w:r>
        <w:rPr>
          <w:noProof/>
        </w:rPr>
        <w:t>Par ailleurs</w:t>
      </w:r>
      <w:r w:rsidR="0038582A">
        <w:rPr>
          <w:noProof/>
        </w:rPr>
        <w:t xml:space="preserve">, il est proposé d'obtenir le consentement, en vertu du numéro </w:t>
      </w:r>
      <w:r w:rsidR="0038582A" w:rsidRPr="00B97B74">
        <w:rPr>
          <w:b/>
          <w:noProof/>
        </w:rPr>
        <w:t>9.21</w:t>
      </w:r>
      <w:r w:rsidR="0038582A">
        <w:rPr>
          <w:noProof/>
        </w:rPr>
        <w:t xml:space="preserve"> du RR, des pays utilisant des stations du service fixe. Cette mesure vise à garantir la protection de ces stations, utilisées dans certains pays</w:t>
      </w:r>
      <w:r w:rsidR="00A426DB" w:rsidRPr="00DF7D44">
        <w:rPr>
          <w:noProof/>
        </w:rPr>
        <w:t>.</w:t>
      </w:r>
    </w:p>
    <w:p w14:paraId="09F8BC85" w14:textId="77777777" w:rsidR="00A426DB" w:rsidRPr="00DF7D44" w:rsidRDefault="00A426DB" w:rsidP="0093558C">
      <w:pPr>
        <w:rPr>
          <w:noProof/>
        </w:rPr>
      </w:pPr>
    </w:p>
    <w:p w14:paraId="63D16EE7" w14:textId="06BBD0AD" w:rsidR="006F6741" w:rsidRPr="00DF7D44" w:rsidRDefault="00A426DB" w:rsidP="0093558C">
      <w:pPr>
        <w:jc w:val="center"/>
        <w:rPr>
          <w:noProof/>
        </w:rPr>
      </w:pPr>
      <w:r w:rsidRPr="00DF7D44">
        <w:rPr>
          <w:noProof/>
        </w:rPr>
        <w:t>______________</w:t>
      </w:r>
    </w:p>
    <w:sectPr w:rsidR="006F6741" w:rsidRPr="00DF7D44">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8815" w14:textId="77777777" w:rsidR="0070076C" w:rsidRDefault="0070076C">
      <w:r>
        <w:separator/>
      </w:r>
    </w:p>
  </w:endnote>
  <w:endnote w:type="continuationSeparator" w:id="0">
    <w:p w14:paraId="2EDE47F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C2E1" w14:textId="5A4D597D" w:rsidR="00936D25" w:rsidRDefault="00936D25">
    <w:pPr>
      <w:rPr>
        <w:lang w:val="en-US"/>
      </w:rPr>
    </w:pPr>
    <w:r>
      <w:fldChar w:fldCharType="begin"/>
    </w:r>
    <w:r>
      <w:rPr>
        <w:lang w:val="en-US"/>
      </w:rPr>
      <w:instrText xml:space="preserve"> FILENAME \p  \* MERGEFORMAT </w:instrText>
    </w:r>
    <w:r>
      <w:fldChar w:fldCharType="separate"/>
    </w:r>
    <w:r w:rsidR="00B91101">
      <w:rPr>
        <w:noProof/>
        <w:lang w:val="en-US"/>
      </w:rPr>
      <w:t>P:\FRA\ITU-R\CONF-R\CMR19\000\057ADD22F.docx</w:t>
    </w:r>
    <w:r>
      <w:fldChar w:fldCharType="end"/>
    </w:r>
    <w:r>
      <w:rPr>
        <w:lang w:val="en-US"/>
      </w:rPr>
      <w:tab/>
    </w:r>
    <w:r>
      <w:fldChar w:fldCharType="begin"/>
    </w:r>
    <w:r>
      <w:instrText xml:space="preserve"> SAVEDATE \@ DD.MM.YY </w:instrText>
    </w:r>
    <w:r>
      <w:fldChar w:fldCharType="separate"/>
    </w:r>
    <w:r w:rsidR="00B91101">
      <w:rPr>
        <w:noProof/>
      </w:rPr>
      <w:t>18.10.19</w:t>
    </w:r>
    <w:r>
      <w:fldChar w:fldCharType="end"/>
    </w:r>
    <w:r>
      <w:rPr>
        <w:lang w:val="en-US"/>
      </w:rPr>
      <w:tab/>
    </w:r>
    <w:r>
      <w:fldChar w:fldCharType="begin"/>
    </w:r>
    <w:r>
      <w:instrText xml:space="preserve"> PRINTDATE \@ DD.MM.YY </w:instrText>
    </w:r>
    <w:r>
      <w:fldChar w:fldCharType="separate"/>
    </w:r>
    <w:r w:rsidR="00B91101">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8759" w14:textId="10B84CEC" w:rsidR="00936D25" w:rsidRDefault="00654DEE" w:rsidP="007A7FA2">
    <w:pPr>
      <w:pStyle w:val="Footer"/>
      <w:rPr>
        <w:lang w:val="en-US"/>
      </w:rPr>
    </w:pPr>
    <w:r>
      <w:fldChar w:fldCharType="begin"/>
    </w:r>
    <w:r w:rsidRPr="00DF7D44">
      <w:rPr>
        <w:lang w:val="en-US"/>
      </w:rPr>
      <w:instrText xml:space="preserve"> FILENAME \p  \* MERGEFORMAT </w:instrText>
    </w:r>
    <w:r>
      <w:fldChar w:fldCharType="separate"/>
    </w:r>
    <w:r w:rsidR="00B91101">
      <w:rPr>
        <w:lang w:val="en-US"/>
      </w:rPr>
      <w:t>P:\FRA\ITU-R\CONF-R\CMR19\000\057ADD22F.docx</w:t>
    </w:r>
    <w:r>
      <w:fldChar w:fldCharType="end"/>
    </w:r>
    <w:r w:rsidR="007A7FA2" w:rsidRPr="00DF7D44">
      <w:rPr>
        <w:lang w:val="en-US"/>
      </w:rPr>
      <w:t xml:space="preserve"> (462074)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8BDE" w14:textId="03427DE5" w:rsidR="00936D25" w:rsidRDefault="00654DEE" w:rsidP="007A7FA2">
    <w:pPr>
      <w:pStyle w:val="Footer"/>
      <w:rPr>
        <w:lang w:val="en-US"/>
      </w:rPr>
    </w:pPr>
    <w:r>
      <w:fldChar w:fldCharType="begin"/>
    </w:r>
    <w:r w:rsidRPr="00DF7D44">
      <w:rPr>
        <w:lang w:val="en-US"/>
      </w:rPr>
      <w:instrText xml:space="preserve"> FILENAME \p  \* MERGEFORMAT </w:instrText>
    </w:r>
    <w:r>
      <w:fldChar w:fldCharType="separate"/>
    </w:r>
    <w:r w:rsidR="00B91101">
      <w:rPr>
        <w:lang w:val="en-US"/>
      </w:rPr>
      <w:t>P:\FRA\ITU-R\CONF-R\CMR19\000\057ADD22F.docx</w:t>
    </w:r>
    <w:r>
      <w:fldChar w:fldCharType="end"/>
    </w:r>
    <w:r w:rsidR="007A7FA2" w:rsidRPr="00DF7D44">
      <w:rPr>
        <w:lang w:val="en-US"/>
      </w:rPr>
      <w:t xml:space="preserve"> (462074)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3692" w14:textId="77777777" w:rsidR="0070076C" w:rsidRDefault="0070076C">
      <w:r>
        <w:rPr>
          <w:b/>
        </w:rPr>
        <w:t>_______________</w:t>
      </w:r>
    </w:p>
  </w:footnote>
  <w:footnote w:type="continuationSeparator" w:id="0">
    <w:p w14:paraId="21AF6675"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A8ED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4277FD0" w14:textId="77777777" w:rsidR="004F1F8E" w:rsidRDefault="004F1F8E" w:rsidP="00FD7AA3">
    <w:pPr>
      <w:pStyle w:val="Header"/>
    </w:pPr>
    <w:r>
      <w:t>CMR1</w:t>
    </w:r>
    <w:r w:rsidR="00FD7AA3">
      <w:t>9</w:t>
    </w:r>
    <w:r>
      <w:t>/</w:t>
    </w:r>
    <w:r w:rsidR="006A4B45">
      <w:t>57(Add.22)-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1E17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0EB1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0256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0AA5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285D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567F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CAD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3E27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882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05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1789"/>
    <w:rsid w:val="0003522F"/>
    <w:rsid w:val="00063A1F"/>
    <w:rsid w:val="00080E2C"/>
    <w:rsid w:val="00081366"/>
    <w:rsid w:val="000863B3"/>
    <w:rsid w:val="000A4755"/>
    <w:rsid w:val="000A55AE"/>
    <w:rsid w:val="000B2E0C"/>
    <w:rsid w:val="000B3D0C"/>
    <w:rsid w:val="00110298"/>
    <w:rsid w:val="001167B9"/>
    <w:rsid w:val="001267A0"/>
    <w:rsid w:val="00142F48"/>
    <w:rsid w:val="0015203F"/>
    <w:rsid w:val="00160C64"/>
    <w:rsid w:val="0018169B"/>
    <w:rsid w:val="00186DFE"/>
    <w:rsid w:val="0019352B"/>
    <w:rsid w:val="001960D0"/>
    <w:rsid w:val="001A11F6"/>
    <w:rsid w:val="001B7694"/>
    <w:rsid w:val="001E3E76"/>
    <w:rsid w:val="001F17E8"/>
    <w:rsid w:val="00201939"/>
    <w:rsid w:val="002036EB"/>
    <w:rsid w:val="00204306"/>
    <w:rsid w:val="00232FD2"/>
    <w:rsid w:val="00247CD3"/>
    <w:rsid w:val="0026554E"/>
    <w:rsid w:val="002A4622"/>
    <w:rsid w:val="002A6F8F"/>
    <w:rsid w:val="002B17E5"/>
    <w:rsid w:val="002C0EBF"/>
    <w:rsid w:val="002C28A4"/>
    <w:rsid w:val="002D7E0A"/>
    <w:rsid w:val="00315AFE"/>
    <w:rsid w:val="00343731"/>
    <w:rsid w:val="003606A6"/>
    <w:rsid w:val="0036650C"/>
    <w:rsid w:val="0038582A"/>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45E6F"/>
    <w:rsid w:val="00560874"/>
    <w:rsid w:val="00582498"/>
    <w:rsid w:val="00586CF2"/>
    <w:rsid w:val="005A7C75"/>
    <w:rsid w:val="005B235A"/>
    <w:rsid w:val="005C2F4A"/>
    <w:rsid w:val="005C3768"/>
    <w:rsid w:val="005C6C3F"/>
    <w:rsid w:val="00613635"/>
    <w:rsid w:val="0062093D"/>
    <w:rsid w:val="00637ECF"/>
    <w:rsid w:val="00647B59"/>
    <w:rsid w:val="00654DEE"/>
    <w:rsid w:val="00690C7B"/>
    <w:rsid w:val="006A4B45"/>
    <w:rsid w:val="006D4724"/>
    <w:rsid w:val="006E32F9"/>
    <w:rsid w:val="006F5FA2"/>
    <w:rsid w:val="006F6741"/>
    <w:rsid w:val="0070076C"/>
    <w:rsid w:val="00701BAE"/>
    <w:rsid w:val="00721F04"/>
    <w:rsid w:val="00730E95"/>
    <w:rsid w:val="007426B9"/>
    <w:rsid w:val="00764342"/>
    <w:rsid w:val="00774362"/>
    <w:rsid w:val="00786598"/>
    <w:rsid w:val="00790C74"/>
    <w:rsid w:val="007A04E8"/>
    <w:rsid w:val="007A7FA2"/>
    <w:rsid w:val="007B2C34"/>
    <w:rsid w:val="00830086"/>
    <w:rsid w:val="00851625"/>
    <w:rsid w:val="00863C0A"/>
    <w:rsid w:val="008A3120"/>
    <w:rsid w:val="008A4B97"/>
    <w:rsid w:val="008B73D6"/>
    <w:rsid w:val="008C5B8E"/>
    <w:rsid w:val="008C5DD5"/>
    <w:rsid w:val="008D41BE"/>
    <w:rsid w:val="008D58D3"/>
    <w:rsid w:val="008E3BC9"/>
    <w:rsid w:val="008F76B1"/>
    <w:rsid w:val="00923064"/>
    <w:rsid w:val="00930FFD"/>
    <w:rsid w:val="0093558C"/>
    <w:rsid w:val="00936D25"/>
    <w:rsid w:val="00941EA5"/>
    <w:rsid w:val="00964700"/>
    <w:rsid w:val="00966C16"/>
    <w:rsid w:val="0098732F"/>
    <w:rsid w:val="009A045F"/>
    <w:rsid w:val="009A6A2B"/>
    <w:rsid w:val="009C7E7C"/>
    <w:rsid w:val="00A00473"/>
    <w:rsid w:val="00A03C9B"/>
    <w:rsid w:val="00A37105"/>
    <w:rsid w:val="00A41076"/>
    <w:rsid w:val="00A426DB"/>
    <w:rsid w:val="00A606C3"/>
    <w:rsid w:val="00A83B09"/>
    <w:rsid w:val="00A84541"/>
    <w:rsid w:val="00AE36A0"/>
    <w:rsid w:val="00B00294"/>
    <w:rsid w:val="00B108A6"/>
    <w:rsid w:val="00B3749C"/>
    <w:rsid w:val="00B64FD0"/>
    <w:rsid w:val="00B777B1"/>
    <w:rsid w:val="00B91101"/>
    <w:rsid w:val="00B97B74"/>
    <w:rsid w:val="00BA5BD0"/>
    <w:rsid w:val="00BB1D82"/>
    <w:rsid w:val="00BD51C5"/>
    <w:rsid w:val="00BF26E7"/>
    <w:rsid w:val="00C12F35"/>
    <w:rsid w:val="00C14322"/>
    <w:rsid w:val="00C53FCA"/>
    <w:rsid w:val="00C76BAF"/>
    <w:rsid w:val="00C814B9"/>
    <w:rsid w:val="00C96700"/>
    <w:rsid w:val="00CD516F"/>
    <w:rsid w:val="00D119A7"/>
    <w:rsid w:val="00D25FBA"/>
    <w:rsid w:val="00D32B28"/>
    <w:rsid w:val="00D42954"/>
    <w:rsid w:val="00D66EAC"/>
    <w:rsid w:val="00D730DF"/>
    <w:rsid w:val="00D772F0"/>
    <w:rsid w:val="00D77BDC"/>
    <w:rsid w:val="00DC402B"/>
    <w:rsid w:val="00DE0932"/>
    <w:rsid w:val="00DF7D44"/>
    <w:rsid w:val="00E03A27"/>
    <w:rsid w:val="00E049F1"/>
    <w:rsid w:val="00E22932"/>
    <w:rsid w:val="00E37A25"/>
    <w:rsid w:val="00E537FF"/>
    <w:rsid w:val="00E6539B"/>
    <w:rsid w:val="00E70A31"/>
    <w:rsid w:val="00E723A7"/>
    <w:rsid w:val="00E7743C"/>
    <w:rsid w:val="00E922BE"/>
    <w:rsid w:val="00EA3F38"/>
    <w:rsid w:val="00EA5AB6"/>
    <w:rsid w:val="00EC7615"/>
    <w:rsid w:val="00ED16AA"/>
    <w:rsid w:val="00ED6B8D"/>
    <w:rsid w:val="00EE3D7B"/>
    <w:rsid w:val="00EF17ED"/>
    <w:rsid w:val="00EF662E"/>
    <w:rsid w:val="00EF6FE5"/>
    <w:rsid w:val="00EF7990"/>
    <w:rsid w:val="00F048EA"/>
    <w:rsid w:val="00F10064"/>
    <w:rsid w:val="00F148F1"/>
    <w:rsid w:val="00F711A7"/>
    <w:rsid w:val="00FA3BBF"/>
    <w:rsid w:val="00FC41F8"/>
    <w:rsid w:val="00FD2060"/>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117CD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S5Black">
    <w:name w:val="Table_TextS5 + Black"/>
    <w:aliases w:val="Before:  3 pt,After:  3 pt,Line spacing:  Exactly 10...."/>
    <w:basedOn w:val="TableTextS5"/>
    <w:rsid w:val="00186DFE"/>
    <w:pPr>
      <w:tabs>
        <w:tab w:val="clear" w:pos="2977"/>
        <w:tab w:val="left" w:pos="2986"/>
      </w:tabs>
      <w:spacing w:before="10" w:after="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95EC3D1E-8B08-4EB3-90C1-CC71CA77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05BEB-BAFD-4543-908B-A46CFAE26718}">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106C6EE-4734-498C-B2D8-784707852DBF}">
  <ds:schemaRefs>
    <ds:schemaRef ds:uri="http://schemas.microsoft.com/office/2006/documentManagement/types"/>
    <ds:schemaRef ds:uri="http://schemas.microsoft.com/office/2006/metadata/properties"/>
    <ds:schemaRef ds:uri="996b2e75-67fd-4955-a3b0-5ab9934cb50b"/>
    <ds:schemaRef ds:uri="http://www.w3.org/XML/1998/namespace"/>
    <ds:schemaRef ds:uri="http://purl.org/dc/elements/1.1/"/>
    <ds:schemaRef ds:uri="http://purl.org/dc/dcmitype/"/>
    <ds:schemaRef ds:uri="http://purl.org/dc/terms/"/>
    <ds:schemaRef ds:uri="32a1a8c5-2265-4ebc-b7a0-2071e2c5c9b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1121</Words>
  <Characters>6036</Characters>
  <Application>Microsoft Office Word</Application>
  <DocSecurity>0</DocSecurity>
  <Lines>116</Lines>
  <Paragraphs>39</Paragraphs>
  <ScaleCrop>false</ScaleCrop>
  <HeadingPairs>
    <vt:vector size="2" baseType="variant">
      <vt:variant>
        <vt:lpstr>Title</vt:lpstr>
      </vt:variant>
      <vt:variant>
        <vt:i4>1</vt:i4>
      </vt:variant>
    </vt:vector>
  </HeadingPairs>
  <TitlesOfParts>
    <vt:vector size="1" baseType="lpstr">
      <vt:lpstr>R16-WRC19-C-0057!A22!MSW-F</vt:lpstr>
    </vt:vector>
  </TitlesOfParts>
  <Manager>Secrétariat général - Pool</Manager>
  <Company>Union internationale des télécommunications (UIT)</Company>
  <LinksUpToDate>false</LinksUpToDate>
  <CharactersWithSpaces>7145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R16-WRC19-C-0057!A22!MSW-F</dc:title>
  <dc:subject>Conférence mondiale des radiocommunications - 2019</dc:subject>
  <dc:creator>Documents Proposals Manager (DPM)</dc:creator>
  <cp:keywords>DPM_v2019.10.11.1_prod</cp:keywords>
  <dc:description/>
  <cp:lastModifiedBy>Royer, Veronique</cp:lastModifiedBy>
  <cp:revision>7</cp:revision>
  <cp:lastPrinted>2019-10-18T14:07:00Z</cp:lastPrinted>
  <dcterms:created xsi:type="dcterms:W3CDTF">2019-10-16T08:39:00Z</dcterms:created>
  <dcterms:modified xsi:type="dcterms:W3CDTF">2019-10-18T14:07:00Z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