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C4410" w14:paraId="09664BB1" w14:textId="77777777" w:rsidTr="0050008E">
        <w:trPr>
          <w:cantSplit/>
        </w:trPr>
        <w:tc>
          <w:tcPr>
            <w:tcW w:w="6911" w:type="dxa"/>
          </w:tcPr>
          <w:p w14:paraId="53F8CD32" w14:textId="77777777" w:rsidR="0090121B" w:rsidRPr="003C4410" w:rsidRDefault="005D46FB" w:rsidP="00CB43BA">
            <w:pPr>
              <w:spacing w:before="400" w:after="48"/>
              <w:rPr>
                <w:rFonts w:ascii="Verdana" w:hAnsi="Verdana"/>
                <w:position w:val="6"/>
              </w:rPr>
            </w:pPr>
            <w:r w:rsidRPr="003C441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C441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C441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C441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C441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AE4DFB1" w14:textId="77777777" w:rsidR="0090121B" w:rsidRPr="003C4410" w:rsidRDefault="00DA71A3" w:rsidP="00CB43BA">
            <w:pPr>
              <w:spacing w:before="0"/>
              <w:jc w:val="right"/>
            </w:pPr>
            <w:bookmarkStart w:id="0" w:name="ditulogo"/>
            <w:bookmarkEnd w:id="0"/>
            <w:r w:rsidRPr="003C4410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644E014F" wp14:editId="1F95109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C4410" w14:paraId="60FF3BD6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472763B" w14:textId="77777777" w:rsidR="0090121B" w:rsidRPr="003C4410" w:rsidRDefault="0090121B" w:rsidP="00CB43B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62E805D" w14:textId="77777777" w:rsidR="0090121B" w:rsidRPr="003C4410" w:rsidRDefault="0090121B" w:rsidP="00CB43B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C4410" w14:paraId="7CB5066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A76898" w14:textId="77777777" w:rsidR="0090121B" w:rsidRPr="003C4410" w:rsidRDefault="0090121B" w:rsidP="00CB43B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3645F9E" w14:textId="77777777" w:rsidR="0090121B" w:rsidRPr="003C4410" w:rsidRDefault="0090121B" w:rsidP="00CB43B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C4410" w14:paraId="59CBFC52" w14:textId="77777777" w:rsidTr="0090121B">
        <w:trPr>
          <w:cantSplit/>
        </w:trPr>
        <w:tc>
          <w:tcPr>
            <w:tcW w:w="6911" w:type="dxa"/>
          </w:tcPr>
          <w:p w14:paraId="47C3FE6D" w14:textId="77777777" w:rsidR="0090121B" w:rsidRPr="003C4410" w:rsidRDefault="001E7D42" w:rsidP="00CB43B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3C4410">
              <w:rPr>
                <w:sz w:val="18"/>
                <w:szCs w:val="18"/>
                <w:lang w:val="es-ES_tradnl"/>
              </w:rPr>
              <w:t>SESIÓN PLENARIA</w:t>
            </w:r>
            <w:bookmarkStart w:id="2" w:name="_GoBack"/>
            <w:bookmarkEnd w:id="2"/>
          </w:p>
        </w:tc>
        <w:tc>
          <w:tcPr>
            <w:tcW w:w="3120" w:type="dxa"/>
          </w:tcPr>
          <w:p w14:paraId="4504876B" w14:textId="77777777" w:rsidR="0090121B" w:rsidRPr="003C4410" w:rsidRDefault="00AE658F" w:rsidP="00CB43B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C4410">
              <w:rPr>
                <w:rFonts w:ascii="Verdana" w:hAnsi="Verdana"/>
                <w:b/>
                <w:sz w:val="18"/>
                <w:szCs w:val="18"/>
              </w:rPr>
              <w:t>Addéndum 24 al</w:t>
            </w:r>
            <w:r w:rsidRPr="003C4410">
              <w:rPr>
                <w:rFonts w:ascii="Verdana" w:hAnsi="Verdana"/>
                <w:b/>
                <w:sz w:val="18"/>
                <w:szCs w:val="18"/>
              </w:rPr>
              <w:br/>
              <w:t>Documento 50</w:t>
            </w:r>
            <w:r w:rsidR="0090121B" w:rsidRPr="003C441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C441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3C4410" w14:paraId="610227B2" w14:textId="77777777" w:rsidTr="0090121B">
        <w:trPr>
          <w:cantSplit/>
        </w:trPr>
        <w:tc>
          <w:tcPr>
            <w:tcW w:w="6911" w:type="dxa"/>
          </w:tcPr>
          <w:p w14:paraId="019BB793" w14:textId="77777777" w:rsidR="000A5B9A" w:rsidRPr="003C4410" w:rsidRDefault="000A5B9A" w:rsidP="00CB43B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DDE3773" w14:textId="77777777" w:rsidR="000A5B9A" w:rsidRPr="003C4410" w:rsidRDefault="000A5B9A" w:rsidP="00CB43B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4410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3C4410" w14:paraId="5252C669" w14:textId="77777777" w:rsidTr="0090121B">
        <w:trPr>
          <w:cantSplit/>
        </w:trPr>
        <w:tc>
          <w:tcPr>
            <w:tcW w:w="6911" w:type="dxa"/>
          </w:tcPr>
          <w:p w14:paraId="2AB9B2B4" w14:textId="77777777" w:rsidR="000A5B9A" w:rsidRPr="003C4410" w:rsidRDefault="000A5B9A" w:rsidP="00CB43B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1097178" w14:textId="77777777" w:rsidR="000A5B9A" w:rsidRPr="003C4410" w:rsidRDefault="000A5B9A" w:rsidP="00CB43B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4410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C4410" w14:paraId="2B0695EB" w14:textId="77777777" w:rsidTr="006744FC">
        <w:trPr>
          <w:cantSplit/>
        </w:trPr>
        <w:tc>
          <w:tcPr>
            <w:tcW w:w="10031" w:type="dxa"/>
            <w:gridSpan w:val="2"/>
          </w:tcPr>
          <w:p w14:paraId="4C927E5D" w14:textId="77777777" w:rsidR="000A5B9A" w:rsidRPr="003C4410" w:rsidRDefault="000A5B9A" w:rsidP="00CB43B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C4410" w14:paraId="6D7F3050" w14:textId="77777777" w:rsidTr="0050008E">
        <w:trPr>
          <w:cantSplit/>
        </w:trPr>
        <w:tc>
          <w:tcPr>
            <w:tcW w:w="10031" w:type="dxa"/>
            <w:gridSpan w:val="2"/>
          </w:tcPr>
          <w:p w14:paraId="36B233EF" w14:textId="77777777" w:rsidR="000A5B9A" w:rsidRPr="003C4410" w:rsidRDefault="000A5B9A" w:rsidP="00CB43BA">
            <w:pPr>
              <w:pStyle w:val="Source"/>
            </w:pPr>
            <w:bookmarkStart w:id="3" w:name="dsource" w:colFirst="0" w:colLast="0"/>
            <w:r w:rsidRPr="003C4410">
              <w:t>Singapur (República de)</w:t>
            </w:r>
          </w:p>
        </w:tc>
      </w:tr>
      <w:tr w:rsidR="000A5B9A" w:rsidRPr="003C4410" w14:paraId="553F9B51" w14:textId="77777777" w:rsidTr="0050008E">
        <w:trPr>
          <w:cantSplit/>
        </w:trPr>
        <w:tc>
          <w:tcPr>
            <w:tcW w:w="10031" w:type="dxa"/>
            <w:gridSpan w:val="2"/>
          </w:tcPr>
          <w:p w14:paraId="436D5AC2" w14:textId="77777777" w:rsidR="000A5B9A" w:rsidRPr="003C4410" w:rsidRDefault="000A5B9A" w:rsidP="00CB43BA">
            <w:pPr>
              <w:pStyle w:val="Title1"/>
            </w:pPr>
            <w:bookmarkStart w:id="4" w:name="dtitle1" w:colFirst="0" w:colLast="0"/>
            <w:bookmarkEnd w:id="3"/>
            <w:r w:rsidRPr="003C4410">
              <w:t>Propuestas para los trabajos de la Conferencia</w:t>
            </w:r>
          </w:p>
        </w:tc>
      </w:tr>
      <w:tr w:rsidR="000A5B9A" w:rsidRPr="003C4410" w14:paraId="35181BD9" w14:textId="77777777" w:rsidTr="0050008E">
        <w:trPr>
          <w:cantSplit/>
        </w:trPr>
        <w:tc>
          <w:tcPr>
            <w:tcW w:w="10031" w:type="dxa"/>
            <w:gridSpan w:val="2"/>
          </w:tcPr>
          <w:p w14:paraId="04366046" w14:textId="77777777" w:rsidR="000A5B9A" w:rsidRPr="003C4410" w:rsidRDefault="000A5B9A" w:rsidP="00CB43B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3C4410" w14:paraId="53757F11" w14:textId="77777777" w:rsidTr="0050008E">
        <w:trPr>
          <w:cantSplit/>
        </w:trPr>
        <w:tc>
          <w:tcPr>
            <w:tcW w:w="10031" w:type="dxa"/>
            <w:gridSpan w:val="2"/>
          </w:tcPr>
          <w:p w14:paraId="78F11312" w14:textId="77777777" w:rsidR="000A5B9A" w:rsidRPr="003C4410" w:rsidRDefault="000A5B9A" w:rsidP="00CB43BA">
            <w:pPr>
              <w:pStyle w:val="Agendaitem"/>
            </w:pPr>
            <w:bookmarkStart w:id="6" w:name="dtitle3" w:colFirst="0" w:colLast="0"/>
            <w:bookmarkEnd w:id="5"/>
            <w:r w:rsidRPr="003C4410">
              <w:t>Punto 10 del orden del día</w:t>
            </w:r>
          </w:p>
        </w:tc>
      </w:tr>
    </w:tbl>
    <w:bookmarkEnd w:id="6"/>
    <w:p w14:paraId="5D988DCF" w14:textId="6223E89D" w:rsidR="001C0E40" w:rsidRPr="003C4410" w:rsidRDefault="00D3476E" w:rsidP="00CB43BA">
      <w:r w:rsidRPr="003C4410">
        <w:t>10</w:t>
      </w:r>
      <w:r w:rsidRPr="003C4410">
        <w:tab/>
        <w:t>recomendar al Consejo los puntos que han de incluirse en el orden del día de la próxima CMR, y formular opiniones sobre el orden del día preliminar de la conferencia subsiguiente y sobre los posibles órdenes del día de futuras conferencias,</w:t>
      </w:r>
      <w:r w:rsidR="0045714E" w:rsidRPr="003C4410">
        <w:t xml:space="preserve"> de conformidad con el Artículo 7 del Convenio.</w:t>
      </w:r>
    </w:p>
    <w:p w14:paraId="7B180644" w14:textId="6BC97DBD" w:rsidR="000E17CC" w:rsidRPr="003C4410" w:rsidRDefault="000E17CC" w:rsidP="00CB43BA">
      <w:pPr>
        <w:pStyle w:val="Title4"/>
        <w:rPr>
          <w:sz w:val="24"/>
          <w:szCs w:val="24"/>
        </w:rPr>
      </w:pPr>
      <w:r w:rsidRPr="003C4410">
        <w:rPr>
          <w:sz w:val="24"/>
          <w:szCs w:val="24"/>
        </w:rPr>
        <w:t>Prop</w:t>
      </w:r>
      <w:r w:rsidR="004B5989" w:rsidRPr="003C4410">
        <w:rPr>
          <w:sz w:val="24"/>
          <w:szCs w:val="24"/>
        </w:rPr>
        <w:t>uesta de considerar una atribución al servicio móvil por satélite (espacio</w:t>
      </w:r>
      <w:r w:rsidR="00CB43BA" w:rsidRPr="003C4410">
        <w:rPr>
          <w:sz w:val="24"/>
          <w:szCs w:val="24"/>
        </w:rPr>
        <w:noBreakHyphen/>
      </w:r>
      <w:r w:rsidR="004B5989" w:rsidRPr="003C4410">
        <w:rPr>
          <w:sz w:val="24"/>
          <w:szCs w:val="24"/>
        </w:rPr>
        <w:t xml:space="preserve">espacio) en las bandas de frecuencias </w:t>
      </w:r>
      <w:r w:rsidRPr="003C4410">
        <w:rPr>
          <w:sz w:val="24"/>
          <w:szCs w:val="24"/>
        </w:rPr>
        <w:t>1</w:t>
      </w:r>
      <w:r w:rsidR="006554BF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>518</w:t>
      </w:r>
      <w:r w:rsidR="005B31F6" w:rsidRPr="003C4410">
        <w:rPr>
          <w:sz w:val="24"/>
          <w:szCs w:val="24"/>
        </w:rPr>
        <w:t>-</w:t>
      </w:r>
      <w:r w:rsidRPr="003C4410">
        <w:rPr>
          <w:sz w:val="24"/>
          <w:szCs w:val="24"/>
        </w:rPr>
        <w:t>1</w:t>
      </w:r>
      <w:r w:rsidR="006554BF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>559 MHz, 1</w:t>
      </w:r>
      <w:r w:rsidR="006554BF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>626</w:t>
      </w:r>
      <w:r w:rsidR="004B5989" w:rsidRPr="003C4410">
        <w:rPr>
          <w:sz w:val="24"/>
          <w:szCs w:val="24"/>
        </w:rPr>
        <w:t>,</w:t>
      </w:r>
      <w:r w:rsidRPr="003C4410">
        <w:rPr>
          <w:sz w:val="24"/>
          <w:szCs w:val="24"/>
        </w:rPr>
        <w:t>5</w:t>
      </w:r>
      <w:r w:rsidR="00CB43BA" w:rsidRPr="003C4410">
        <w:rPr>
          <w:sz w:val="24"/>
          <w:szCs w:val="24"/>
        </w:rPr>
        <w:noBreakHyphen/>
      </w:r>
      <w:r w:rsidRPr="003C4410">
        <w:rPr>
          <w:sz w:val="24"/>
          <w:szCs w:val="24"/>
        </w:rPr>
        <w:t>1</w:t>
      </w:r>
      <w:r w:rsidR="006554BF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>660</w:t>
      </w:r>
      <w:r w:rsidR="004B5989" w:rsidRPr="003C4410">
        <w:rPr>
          <w:sz w:val="24"/>
          <w:szCs w:val="24"/>
        </w:rPr>
        <w:t>,</w:t>
      </w:r>
      <w:r w:rsidRPr="003C4410">
        <w:rPr>
          <w:sz w:val="24"/>
          <w:szCs w:val="24"/>
        </w:rPr>
        <w:t>5</w:t>
      </w:r>
      <w:r w:rsidR="00CB43BA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 xml:space="preserve">MHz </w:t>
      </w:r>
      <w:r w:rsidR="004B5989" w:rsidRPr="003C4410">
        <w:rPr>
          <w:sz w:val="24"/>
          <w:szCs w:val="24"/>
        </w:rPr>
        <w:t>y</w:t>
      </w:r>
      <w:r w:rsidRPr="003C4410">
        <w:rPr>
          <w:sz w:val="24"/>
          <w:szCs w:val="24"/>
        </w:rPr>
        <w:t xml:space="preserve"> 1</w:t>
      </w:r>
      <w:r w:rsidR="006554BF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>668</w:t>
      </w:r>
      <w:r w:rsidR="005B31F6" w:rsidRPr="003C4410">
        <w:rPr>
          <w:sz w:val="24"/>
          <w:szCs w:val="24"/>
        </w:rPr>
        <w:t>-</w:t>
      </w:r>
      <w:r w:rsidRPr="003C4410">
        <w:rPr>
          <w:sz w:val="24"/>
          <w:szCs w:val="24"/>
        </w:rPr>
        <w:t>1</w:t>
      </w:r>
      <w:r w:rsidR="006554BF" w:rsidRPr="003C4410">
        <w:rPr>
          <w:sz w:val="24"/>
          <w:szCs w:val="24"/>
        </w:rPr>
        <w:t> </w:t>
      </w:r>
      <w:r w:rsidRPr="003C4410">
        <w:rPr>
          <w:sz w:val="24"/>
          <w:szCs w:val="24"/>
        </w:rPr>
        <w:t>675 MHz</w:t>
      </w:r>
    </w:p>
    <w:p w14:paraId="63B56559" w14:textId="7EE1B673" w:rsidR="000E17CC" w:rsidRPr="003C4410" w:rsidRDefault="004B5989" w:rsidP="00CB43BA">
      <w:pPr>
        <w:pStyle w:val="Headingb"/>
      </w:pPr>
      <w:r w:rsidRPr="003C4410">
        <w:t>Antecedentes</w:t>
      </w:r>
    </w:p>
    <w:p w14:paraId="40FDF0E8" w14:textId="5C990CED" w:rsidR="000E17CC" w:rsidRPr="003C4410" w:rsidRDefault="004B5989" w:rsidP="00CB43BA">
      <w:pPr>
        <w:rPr>
          <w:iCs/>
        </w:rPr>
      </w:pPr>
      <w:r w:rsidRPr="003C4410">
        <w:rPr>
          <w:iCs/>
        </w:rPr>
        <w:t>Hay muchos satélites en órbita terrestre baja (LEO) en funcionamiento actualmente y</w:t>
      </w:r>
      <w:r w:rsidR="0045714E" w:rsidRPr="003C4410">
        <w:rPr>
          <w:iCs/>
        </w:rPr>
        <w:t xml:space="preserve"> se proyecta entren en funcionamiento muchos más en un futuro próximo, para proporcionar</w:t>
      </w:r>
      <w:r w:rsidRPr="003C4410">
        <w:rPr>
          <w:iCs/>
        </w:rPr>
        <w:t xml:space="preserve"> una amplia gama de aplicaciones de observación terrestre y de comunicaciones a los gobiernos, la comunidad científica y los clientes comerciales. Los satélites LEO suelen funcionar con una conectividad limitada y en diferido a través de varias estaciones </w:t>
      </w:r>
      <w:r w:rsidR="008A672B" w:rsidRPr="003C4410">
        <w:rPr>
          <w:iCs/>
        </w:rPr>
        <w:t>terrenas</w:t>
      </w:r>
      <w:r w:rsidRPr="003C4410">
        <w:rPr>
          <w:iCs/>
        </w:rPr>
        <w:t xml:space="preserve"> repartidas por todo el mundo.</w:t>
      </w:r>
      <w:r w:rsidR="00947DDC" w:rsidRPr="003C4410">
        <w:rPr>
          <w:iCs/>
        </w:rPr>
        <w:t xml:space="preserve"> La órbita terrestre baja implica el que una estación terrena tenga la visibilidad del vehículo espacial LEO sólo durante un </w:t>
      </w:r>
      <w:r w:rsidR="0045714E" w:rsidRPr="003C4410">
        <w:rPr>
          <w:iCs/>
        </w:rPr>
        <w:t>corto</w:t>
      </w:r>
      <w:r w:rsidR="00947DDC" w:rsidRPr="003C4410">
        <w:rPr>
          <w:iCs/>
        </w:rPr>
        <w:t xml:space="preserve"> periodo de tiempo, y el que los satélites tengan que estar, en un gran tramo de su órbita, sin visibilidad con </w:t>
      </w:r>
      <w:r w:rsidR="0045714E" w:rsidRPr="003C4410">
        <w:rPr>
          <w:iCs/>
        </w:rPr>
        <w:t>ninguna</w:t>
      </w:r>
      <w:r w:rsidR="00947DDC" w:rsidRPr="003C4410">
        <w:rPr>
          <w:iCs/>
        </w:rPr>
        <w:t xml:space="preserve"> estación terrena y por lo tanto sin conectividad con el suelo. </w:t>
      </w:r>
      <w:r w:rsidR="0045714E" w:rsidRPr="003C4410">
        <w:rPr>
          <w:iCs/>
        </w:rPr>
        <w:t>Además</w:t>
      </w:r>
      <w:r w:rsidR="00947DDC" w:rsidRPr="003C4410">
        <w:rPr>
          <w:iCs/>
        </w:rPr>
        <w:t xml:space="preserve"> de </w:t>
      </w:r>
      <w:r w:rsidR="00B54BFA" w:rsidRPr="003C4410">
        <w:rPr>
          <w:iCs/>
        </w:rPr>
        <w:t xml:space="preserve">que </w:t>
      </w:r>
      <w:r w:rsidR="00947DDC" w:rsidRPr="003C4410">
        <w:rPr>
          <w:iCs/>
        </w:rPr>
        <w:t xml:space="preserve">el tiempo de disponibilidad de la </w:t>
      </w:r>
      <w:r w:rsidR="008A672B" w:rsidRPr="003C4410">
        <w:rPr>
          <w:iCs/>
        </w:rPr>
        <w:t>conectividad</w:t>
      </w:r>
      <w:r w:rsidR="00B54BFA" w:rsidRPr="003C4410">
        <w:rPr>
          <w:iCs/>
        </w:rPr>
        <w:t xml:space="preserve"> es limitado</w:t>
      </w:r>
      <w:r w:rsidR="00947DDC" w:rsidRPr="003C4410">
        <w:rPr>
          <w:iCs/>
        </w:rPr>
        <w:t xml:space="preserve">, el costo de la infraestructura en tierra para las nuevas aplicaciones espaciales de bajo costo tal como los </w:t>
      </w:r>
      <w:r w:rsidR="00CB43BA" w:rsidRPr="003C4410">
        <w:rPr>
          <w:iCs/>
        </w:rPr>
        <w:t>«</w:t>
      </w:r>
      <w:r w:rsidR="00947DDC" w:rsidRPr="003C4410">
        <w:rPr>
          <w:iCs/>
        </w:rPr>
        <w:t>cubesats</w:t>
      </w:r>
      <w:r w:rsidR="00CB43BA" w:rsidRPr="003C4410">
        <w:rPr>
          <w:iCs/>
        </w:rPr>
        <w:t>»</w:t>
      </w:r>
      <w:r w:rsidR="0045714E" w:rsidRPr="003C4410">
        <w:rPr>
          <w:iCs/>
        </w:rPr>
        <w:t xml:space="preserve"> puede resultar prohibitivo</w:t>
      </w:r>
      <w:r w:rsidR="00CB7F8E" w:rsidRPr="003C4410">
        <w:rPr>
          <w:iCs/>
        </w:rPr>
        <w:t xml:space="preserve">. Existe un medio de comunicación más eficaz y económico entre los </w:t>
      </w:r>
      <w:r w:rsidR="008A672B" w:rsidRPr="003C4410">
        <w:rPr>
          <w:iCs/>
        </w:rPr>
        <w:t>satélites</w:t>
      </w:r>
      <w:r w:rsidR="00CB7F8E" w:rsidRPr="003C4410">
        <w:rPr>
          <w:iCs/>
        </w:rPr>
        <w:t xml:space="preserve"> del SMS OSG existentes y los satélites LEO en las bandas de frecuencias </w:t>
      </w:r>
      <w:r w:rsidR="00CB7F8E" w:rsidRPr="003C4410">
        <w:t>1</w:t>
      </w:r>
      <w:r w:rsidR="00B92D19" w:rsidRPr="003C4410">
        <w:t> </w:t>
      </w:r>
      <w:r w:rsidR="00CB7F8E" w:rsidRPr="003C4410">
        <w:t>518-1</w:t>
      </w:r>
      <w:r w:rsidR="00B92D19" w:rsidRPr="003C4410">
        <w:t> </w:t>
      </w:r>
      <w:r w:rsidR="00CB7F8E" w:rsidRPr="003C4410">
        <w:t>559</w:t>
      </w:r>
      <w:r w:rsidR="00B92D19" w:rsidRPr="003C4410">
        <w:t> </w:t>
      </w:r>
      <w:r w:rsidR="00CB7F8E" w:rsidRPr="003C4410">
        <w:t>MHz, 1</w:t>
      </w:r>
      <w:r w:rsidR="00B92D19" w:rsidRPr="003C4410">
        <w:t> </w:t>
      </w:r>
      <w:r w:rsidR="00CB7F8E" w:rsidRPr="003C4410">
        <w:t>626,5</w:t>
      </w:r>
      <w:r w:rsidR="00CB43BA" w:rsidRPr="003C4410">
        <w:noBreakHyphen/>
      </w:r>
      <w:r w:rsidR="00CB7F8E" w:rsidRPr="003C4410">
        <w:t>1</w:t>
      </w:r>
      <w:r w:rsidR="00B92D19" w:rsidRPr="003C4410">
        <w:t> </w:t>
      </w:r>
      <w:r w:rsidR="00CB7F8E" w:rsidRPr="003C4410">
        <w:t>660,5</w:t>
      </w:r>
      <w:r w:rsidR="00CB43BA" w:rsidRPr="003C4410">
        <w:t> </w:t>
      </w:r>
      <w:r w:rsidR="00CB7F8E" w:rsidRPr="003C4410">
        <w:t xml:space="preserve">MHz </w:t>
      </w:r>
      <w:r w:rsidR="00B92D19" w:rsidRPr="003C4410">
        <w:t>y</w:t>
      </w:r>
      <w:r w:rsidR="00CB7F8E" w:rsidRPr="003C4410">
        <w:t xml:space="preserve"> 1</w:t>
      </w:r>
      <w:r w:rsidR="00B92D19" w:rsidRPr="003C4410">
        <w:t> </w:t>
      </w:r>
      <w:r w:rsidR="00CB7F8E" w:rsidRPr="003C4410">
        <w:t>668-1</w:t>
      </w:r>
      <w:r w:rsidR="00B92D19" w:rsidRPr="003C4410">
        <w:t> </w:t>
      </w:r>
      <w:r w:rsidR="00CB7F8E" w:rsidRPr="003C4410">
        <w:t>675</w:t>
      </w:r>
      <w:r w:rsidR="00B92D19" w:rsidRPr="003C4410">
        <w:t> </w:t>
      </w:r>
      <w:r w:rsidR="00CB7F8E" w:rsidRPr="003C4410">
        <w:t xml:space="preserve">MHz. Si </w:t>
      </w:r>
      <w:r w:rsidR="00B54BFA" w:rsidRPr="003C4410">
        <w:t xml:space="preserve">en los vehículos espaciales LEO </w:t>
      </w:r>
      <w:r w:rsidR="00CB7F8E" w:rsidRPr="003C4410">
        <w:t xml:space="preserve">se </w:t>
      </w:r>
      <w:r w:rsidR="00B54BFA" w:rsidRPr="003C4410">
        <w:t>instalan</w:t>
      </w:r>
      <w:r w:rsidR="00CB7F8E" w:rsidRPr="003C4410">
        <w:t xml:space="preserve"> equipos de estaciones terrenas móviles modificados, pueden </w:t>
      </w:r>
      <w:r w:rsidR="00B54BFA" w:rsidRPr="003C4410">
        <w:t>establecerse</w:t>
      </w:r>
      <w:r w:rsidR="00CB7F8E" w:rsidRPr="003C4410">
        <w:t xml:space="preserve"> y mantenerse comunicaciones entre los satélites LEO y los satélites del SMS OSG. Los satélites OSG tienen conectividad permanente con Tierra a través de sus enlaces de conexión y</w:t>
      </w:r>
      <w:r w:rsidR="00514C5D" w:rsidRPr="003C4410">
        <w:t xml:space="preserve"> las</w:t>
      </w:r>
      <w:r w:rsidR="00CB7F8E" w:rsidRPr="003C4410">
        <w:t xml:space="preserve"> estaciones terrena</w:t>
      </w:r>
      <w:r w:rsidR="00514C5D" w:rsidRPr="003C4410">
        <w:t>s</w:t>
      </w:r>
      <w:r w:rsidR="00CB7F8E" w:rsidRPr="003C4410">
        <w:t xml:space="preserve"> de cabecera, que retransmiten los datos al vehículo espacial LEO y desde éste.</w:t>
      </w:r>
      <w:r w:rsidR="00B54BFA" w:rsidRPr="003C4410">
        <w:t xml:space="preserve"> Con t</w:t>
      </w:r>
      <w:r w:rsidR="00514C5D" w:rsidRPr="003C4410">
        <w:t xml:space="preserve">res o más satélites OSG </w:t>
      </w:r>
      <w:r w:rsidR="00B54BFA" w:rsidRPr="003C4410">
        <w:t>se puede</w:t>
      </w:r>
      <w:r w:rsidR="00514C5D" w:rsidRPr="003C4410">
        <w:t xml:space="preserve"> proporcionar </w:t>
      </w:r>
      <w:r w:rsidR="00B54BFA" w:rsidRPr="003C4410">
        <w:t xml:space="preserve">a los satélites LEO </w:t>
      </w:r>
      <w:r w:rsidR="00514C5D" w:rsidRPr="003C4410">
        <w:t>conectividad durante prácticamente el 100% de una órbita LEO normal. Por lo tanto, estos enlaces de comunicación constituyen una manera eficaz de supervisar y controlar continuamente dichos satélites LEO</w:t>
      </w:r>
      <w:r w:rsidR="000E17CC" w:rsidRPr="003C4410">
        <w:t>.</w:t>
      </w:r>
    </w:p>
    <w:p w14:paraId="7D2AD5BF" w14:textId="0981D48F" w:rsidR="00B505A2" w:rsidRPr="003C4410" w:rsidRDefault="000E17CC" w:rsidP="00CB43BA">
      <w:r w:rsidRPr="003C4410">
        <w:lastRenderedPageBreak/>
        <w:t xml:space="preserve">Los operadores de satélites LEO consultados han indicado que </w:t>
      </w:r>
      <w:r w:rsidR="00B505A2" w:rsidRPr="003C4410">
        <w:t>introducir</w:t>
      </w:r>
      <w:r w:rsidRPr="003C4410">
        <w:t xml:space="preserve"> las comunicaciones espacio-espacio en el SMS </w:t>
      </w:r>
      <w:r w:rsidR="00514C5D" w:rsidRPr="003C4410">
        <w:t xml:space="preserve">sería una forma de supervisar y controlar los satélites LEO casi en tiempo real, </w:t>
      </w:r>
      <w:r w:rsidR="00B505A2" w:rsidRPr="003C4410">
        <w:t>cuando se desee</w:t>
      </w:r>
      <w:r w:rsidR="00514C5D" w:rsidRPr="003C4410">
        <w:t xml:space="preserve"> y de forma ininterrumpida</w:t>
      </w:r>
      <w:r w:rsidR="00B505A2" w:rsidRPr="003C4410">
        <w:t>. Esto no sólo</w:t>
      </w:r>
      <w:r w:rsidRPr="003C4410">
        <w:t xml:space="preserve"> redundaría en una mayor seguridad y eficiencia de las operaciones</w:t>
      </w:r>
      <w:r w:rsidR="00B505A2" w:rsidRPr="003C4410">
        <w:t xml:space="preserve"> de los satélites LEO sino que ampliaría los usos de </w:t>
      </w:r>
      <w:r w:rsidR="00100E7B" w:rsidRPr="003C4410">
        <w:t>sus</w:t>
      </w:r>
      <w:r w:rsidR="00B505A2" w:rsidRPr="003C4410">
        <w:t xml:space="preserve"> misiones, liberando de esta forma, en gran medida, </w:t>
      </w:r>
      <w:r w:rsidR="00100E7B" w:rsidRPr="003C4410">
        <w:t>su</w:t>
      </w:r>
      <w:r w:rsidR="00B505A2" w:rsidRPr="003C4410">
        <w:t xml:space="preserve"> utilización para muchas aplicaciones novedosas e importantes, en igualdad de condiciones para los nuevos actores de todos los países del mundo</w:t>
      </w:r>
      <w:r w:rsidR="004E04B5" w:rsidRPr="003C4410">
        <w:t>.</w:t>
      </w:r>
    </w:p>
    <w:p w14:paraId="1DFEB176" w14:textId="14EEAFDD" w:rsidR="000E17CC" w:rsidRPr="003C4410" w:rsidRDefault="00B505A2" w:rsidP="00CB43BA">
      <w:r w:rsidRPr="003C4410">
        <w:t xml:space="preserve">El tamaño y la potencia son importantes consideraciones de diseño de muchos de los vehículos </w:t>
      </w:r>
      <w:r w:rsidR="008A672B" w:rsidRPr="003C4410">
        <w:t>espaciales</w:t>
      </w:r>
      <w:r w:rsidRPr="003C4410">
        <w:t xml:space="preserve"> LEO y la utilización de las bandas en torno a 1,5/1,6 GHz permite utilizar terminales peque</w:t>
      </w:r>
      <w:r w:rsidR="000958C2" w:rsidRPr="003C4410">
        <w:t>ño</w:t>
      </w:r>
      <w:r w:rsidRPr="003C4410">
        <w:t xml:space="preserve">s en el vehículo espacial LEO, con </w:t>
      </w:r>
      <w:r w:rsidR="000958C2" w:rsidRPr="003C4410">
        <w:t xml:space="preserve">bajo consumo de potencia. </w:t>
      </w:r>
      <w:r w:rsidR="00100E7B" w:rsidRPr="003C4410">
        <w:t>Actualmente, e</w:t>
      </w:r>
      <w:r w:rsidR="000958C2" w:rsidRPr="003C4410">
        <w:t xml:space="preserve">stas operaciones entre los satélites del SMS OSG y los satélites LEO son técnicamente viables y </w:t>
      </w:r>
      <w:r w:rsidR="00100E7B" w:rsidRPr="003C4410">
        <w:t xml:space="preserve">ya </w:t>
      </w:r>
      <w:r w:rsidR="000958C2" w:rsidRPr="003C4410">
        <w:t xml:space="preserve">se han puesto en funcionamiento algunos sistemas de </w:t>
      </w:r>
      <w:r w:rsidR="008A672B" w:rsidRPr="003C4410">
        <w:t>prueba</w:t>
      </w:r>
      <w:r w:rsidR="000958C2" w:rsidRPr="003C4410">
        <w:t xml:space="preserve">. Sin embargo, las atribuciones actuales en estas bandas de frecuencias no soportan los enlaces espacio-espacio y, por lo tanto, este tipo de utilización sólo puede funcionar actualmente con arreglo a las </w:t>
      </w:r>
      <w:r w:rsidR="008A672B" w:rsidRPr="003C4410">
        <w:t>disposiciones</w:t>
      </w:r>
      <w:r w:rsidR="000958C2" w:rsidRPr="003C4410">
        <w:t xml:space="preserve"> del número </w:t>
      </w:r>
      <w:r w:rsidR="000958C2" w:rsidRPr="003C4410">
        <w:rPr>
          <w:b/>
          <w:bCs/>
        </w:rPr>
        <w:t xml:space="preserve">4.4 </w:t>
      </w:r>
      <w:r w:rsidR="000958C2" w:rsidRPr="003C4410">
        <w:t>del RR</w:t>
      </w:r>
      <w:r w:rsidR="000E17CC" w:rsidRPr="003C4410">
        <w:t xml:space="preserve">. </w:t>
      </w:r>
      <w:r w:rsidR="000958C2" w:rsidRPr="003C4410">
        <w:t>El Director de la BR, en el anteproyecto de Informe del Director a la CMR-19 sobre las Actividades del Sector de Radiocomunicaciones</w:t>
      </w:r>
      <w:r w:rsidR="00100E7B" w:rsidRPr="003C4410">
        <w:t>,</w:t>
      </w:r>
      <w:r w:rsidR="000958C2" w:rsidRPr="003C4410">
        <w:t xml:space="preserve"> ha aludido a la aplicación del número </w:t>
      </w:r>
      <w:r w:rsidR="000958C2" w:rsidRPr="003C4410">
        <w:rPr>
          <w:b/>
          <w:bCs/>
        </w:rPr>
        <w:t xml:space="preserve">4.4 </w:t>
      </w:r>
      <w:r w:rsidR="000958C2" w:rsidRPr="003C4410">
        <w:t xml:space="preserve">para incorporar esta utilización (véase </w:t>
      </w:r>
      <w:r w:rsidR="007C0495" w:rsidRPr="003C4410">
        <w:t>el § </w:t>
      </w:r>
      <w:r w:rsidR="000E17CC" w:rsidRPr="003C4410">
        <w:t xml:space="preserve">3.1.3.2 </w:t>
      </w:r>
      <w:r w:rsidR="000A42D4" w:rsidRPr="003C4410">
        <w:t xml:space="preserve">del </w:t>
      </w:r>
      <w:r w:rsidR="007C0495" w:rsidRPr="003C4410">
        <w:t xml:space="preserve">Documento </w:t>
      </w:r>
      <w:r w:rsidR="000E17CC" w:rsidRPr="003C4410">
        <w:t>CPM19-2/17</w:t>
      </w:r>
      <w:r w:rsidR="000E17CC" w:rsidRPr="003C4410">
        <w:rPr>
          <w:rStyle w:val="FootnoteReference"/>
        </w:rPr>
        <w:footnoteReference w:customMarkFollows="1" w:id="1"/>
        <w:t>*</w:t>
      </w:r>
      <w:r w:rsidR="000E17CC" w:rsidRPr="003C4410">
        <w:t>).</w:t>
      </w:r>
    </w:p>
    <w:p w14:paraId="4EEACC0A" w14:textId="3EC57A80" w:rsidR="000E17CC" w:rsidRPr="003C4410" w:rsidRDefault="000A42D4" w:rsidP="00CB43BA">
      <w:r w:rsidRPr="003C4410">
        <w:t xml:space="preserve">El Grupo de Trabajo 4C ha llevado a cabo estudios preliminares sobre esta cuestión y ha elaborado el anteproyecto de un nuevo Informe UIT-R sobre este tema (véase el Anexo 8 al </w:t>
      </w:r>
      <w:r w:rsidR="000A7ABF" w:rsidRPr="003C4410">
        <w:t>Documento </w:t>
      </w:r>
      <w:r w:rsidR="000E17CC" w:rsidRPr="003C4410">
        <w:t>4C/417</w:t>
      </w:r>
      <w:r w:rsidR="000E17CC" w:rsidRPr="003C4410">
        <w:rPr>
          <w:rStyle w:val="FootnoteReference"/>
        </w:rPr>
        <w:footnoteReference w:customMarkFollows="1" w:id="2"/>
        <w:t>**</w:t>
      </w:r>
      <w:r w:rsidR="000E17CC" w:rsidRPr="003C4410">
        <w:t>).</w:t>
      </w:r>
    </w:p>
    <w:p w14:paraId="20A2831C" w14:textId="4ED826A0" w:rsidR="000E17CC" w:rsidRPr="003C4410" w:rsidRDefault="000A42D4" w:rsidP="00CB43BA">
      <w:r w:rsidRPr="003C4410">
        <w:t>La utilización de enlaces</w:t>
      </w:r>
      <w:r w:rsidR="00B9554A" w:rsidRPr="003C4410">
        <w:t xml:space="preserve"> de radiocomunicaciones entre estaciones espaciales del SMS encaja en la definición del SMS </w:t>
      </w:r>
      <w:r w:rsidR="00957B04" w:rsidRPr="003C4410">
        <w:t>conforme al</w:t>
      </w:r>
      <w:r w:rsidR="00B9554A" w:rsidRPr="003C4410">
        <w:t xml:space="preserve"> número </w:t>
      </w:r>
      <w:r w:rsidR="00B9554A" w:rsidRPr="003C4410">
        <w:rPr>
          <w:b/>
          <w:bCs/>
        </w:rPr>
        <w:t xml:space="preserve">1.25 </w:t>
      </w:r>
      <w:r w:rsidR="00B9554A" w:rsidRPr="003C4410">
        <w:t xml:space="preserve">del Reglamento de Radiocomunicaciones y puede aplicarse a cualquier banda de frecuencias dada con una atribución al SMS (espacio-espacio). Sin embargo, las atribuciones actuales en las bandas </w:t>
      </w:r>
      <w:r w:rsidR="000E17CC" w:rsidRPr="003C4410">
        <w:t xml:space="preserve">1 518-1 559 MHz, </w:t>
      </w:r>
      <w:r w:rsidR="00B9554A" w:rsidRPr="003C4410">
        <w:t>1 626,5-1 660,5 MHz y</w:t>
      </w:r>
      <w:r w:rsidR="000A7ABF" w:rsidRPr="003C4410">
        <w:t> </w:t>
      </w:r>
      <w:r w:rsidR="000E17CC" w:rsidRPr="003C4410">
        <w:t>1</w:t>
      </w:r>
      <w:r w:rsidR="00B9554A" w:rsidRPr="003C4410">
        <w:t> </w:t>
      </w:r>
      <w:r w:rsidR="000E17CC" w:rsidRPr="003C4410">
        <w:t>668</w:t>
      </w:r>
      <w:r w:rsidR="00CB43BA" w:rsidRPr="003C4410">
        <w:noBreakHyphen/>
      </w:r>
      <w:r w:rsidR="000E17CC" w:rsidRPr="003C4410">
        <w:t>1</w:t>
      </w:r>
      <w:r w:rsidR="00CB43BA" w:rsidRPr="003C4410">
        <w:t> </w:t>
      </w:r>
      <w:r w:rsidR="000E17CC" w:rsidRPr="003C4410">
        <w:t xml:space="preserve">675 MHz </w:t>
      </w:r>
      <w:r w:rsidR="00B9554A" w:rsidRPr="003C4410">
        <w:t xml:space="preserve">son para el SMS (espacio-Tierra) o el SMS (Tierra-espacio) y no </w:t>
      </w:r>
      <w:r w:rsidR="005C1DAC" w:rsidRPr="003C4410">
        <w:t>admiten</w:t>
      </w:r>
      <w:r w:rsidR="00B9554A" w:rsidRPr="003C4410">
        <w:t xml:space="preserve"> aplicaciones del SMS (espacio-espacio)</w:t>
      </w:r>
      <w:r w:rsidR="000E17CC" w:rsidRPr="003C4410">
        <w:t>.</w:t>
      </w:r>
    </w:p>
    <w:p w14:paraId="158C9D18" w14:textId="55FA56FC" w:rsidR="000E17CC" w:rsidRPr="003C4410" w:rsidRDefault="000E17CC" w:rsidP="00CB43BA">
      <w:pPr>
        <w:pStyle w:val="Headingb"/>
      </w:pPr>
      <w:r w:rsidRPr="003C4410">
        <w:t>Prop</w:t>
      </w:r>
      <w:r w:rsidR="005C1DAC" w:rsidRPr="003C4410">
        <w:t>uesta</w:t>
      </w:r>
    </w:p>
    <w:p w14:paraId="13B29E95" w14:textId="7B53CAE4" w:rsidR="00363A65" w:rsidRPr="003C4410" w:rsidRDefault="005C1DAC" w:rsidP="00CB43BA">
      <w:r w:rsidRPr="003C4410">
        <w:t>Singapur propone la inclusión de un punto en el orden del día de la CMR-23 con un proyecto de Resolución CMR para la atribución de las bandas de frecuencias 1</w:t>
      </w:r>
      <w:r w:rsidR="007B4A62" w:rsidRPr="003C4410">
        <w:t> </w:t>
      </w:r>
      <w:r w:rsidRPr="003C4410">
        <w:t>518-1</w:t>
      </w:r>
      <w:r w:rsidR="007B4A62" w:rsidRPr="003C4410">
        <w:t> </w:t>
      </w:r>
      <w:r w:rsidRPr="003C4410">
        <w:t>559</w:t>
      </w:r>
      <w:r w:rsidR="007B4A62" w:rsidRPr="003C4410">
        <w:t> </w:t>
      </w:r>
      <w:r w:rsidRPr="003C4410">
        <w:t>MHz, 1</w:t>
      </w:r>
      <w:r w:rsidR="00CB43BA" w:rsidRPr="003C4410">
        <w:t> </w:t>
      </w:r>
      <w:r w:rsidRPr="003C4410">
        <w:t>626,5</w:t>
      </w:r>
      <w:r w:rsidR="00CB43BA" w:rsidRPr="003C4410">
        <w:noBreakHyphen/>
      </w:r>
      <w:r w:rsidRPr="003C4410">
        <w:t>1</w:t>
      </w:r>
      <w:r w:rsidR="00CB43BA" w:rsidRPr="003C4410">
        <w:t> </w:t>
      </w:r>
      <w:r w:rsidRPr="003C4410">
        <w:t>660,5</w:t>
      </w:r>
      <w:r w:rsidR="00CB43BA" w:rsidRPr="003C4410">
        <w:t> </w:t>
      </w:r>
      <w:r w:rsidRPr="003C4410">
        <w:t xml:space="preserve">MHz y 1 668-1 675 MHz. Utilizando la plantilla que figura en el Anexo 2 de la Resolución </w:t>
      </w:r>
      <w:r w:rsidRPr="003C4410">
        <w:rPr>
          <w:b/>
          <w:bCs/>
        </w:rPr>
        <w:t>804 (Rev.CMR-12)</w:t>
      </w:r>
      <w:r w:rsidRPr="003C4410">
        <w:t>, queda la propuesta como sigue.</w:t>
      </w:r>
    </w:p>
    <w:p w14:paraId="467A77B8" w14:textId="77777777" w:rsidR="008750A8" w:rsidRPr="003C4410" w:rsidRDefault="008750A8" w:rsidP="00CB43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4410">
        <w:br w:type="page"/>
      </w:r>
    </w:p>
    <w:p w14:paraId="634FB385" w14:textId="77777777" w:rsidR="00D30F31" w:rsidRPr="003C4410" w:rsidRDefault="00D3476E" w:rsidP="00CB43BA">
      <w:pPr>
        <w:pStyle w:val="Proposal"/>
      </w:pPr>
      <w:r w:rsidRPr="003C4410">
        <w:lastRenderedPageBreak/>
        <w:t>ADD</w:t>
      </w:r>
      <w:r w:rsidRPr="003C4410">
        <w:tab/>
        <w:t>SNG/50A24/1</w:t>
      </w:r>
    </w:p>
    <w:p w14:paraId="3431C301" w14:textId="32BEC443" w:rsidR="00D30F31" w:rsidRPr="003C4410" w:rsidRDefault="00D3476E" w:rsidP="00CB43BA">
      <w:pPr>
        <w:pStyle w:val="ResNo"/>
      </w:pPr>
      <w:r w:rsidRPr="003C4410">
        <w:t>Proyecto de nueva Resolución [SNG</w:t>
      </w:r>
      <w:r w:rsidR="000E17CC" w:rsidRPr="003C4410">
        <w:t>/</w:t>
      </w:r>
      <w:r w:rsidRPr="003C4410">
        <w:t>A10/MSS</w:t>
      </w:r>
      <w:r w:rsidR="000E17CC" w:rsidRPr="003C4410">
        <w:br/>
      </w:r>
      <w:r w:rsidRPr="003C4410">
        <w:t>SPACE-TO-SPACE L-BAND]</w:t>
      </w:r>
      <w:r w:rsidR="000E17CC" w:rsidRPr="003C4410">
        <w:t xml:space="preserve"> (CMR-19)</w:t>
      </w:r>
    </w:p>
    <w:p w14:paraId="22898B22" w14:textId="10BBDFD5" w:rsidR="000E17CC" w:rsidRPr="003C4410" w:rsidRDefault="00EA72E2" w:rsidP="00CB43BA">
      <w:pPr>
        <w:pStyle w:val="Restitle"/>
      </w:pPr>
      <w:r w:rsidRPr="003C4410">
        <w:t>Atribuciones</w:t>
      </w:r>
      <w:r w:rsidR="000E17CC" w:rsidRPr="003C4410">
        <w:t xml:space="preserve"> </w:t>
      </w:r>
      <w:r w:rsidRPr="003C4410">
        <w:t>al servicio móvil por satélite (espacio-espacio) en las bandas de frecuencias 1</w:t>
      </w:r>
      <w:r w:rsidR="008C67EE" w:rsidRPr="003C4410">
        <w:t> </w:t>
      </w:r>
      <w:r w:rsidRPr="003C4410">
        <w:t>518</w:t>
      </w:r>
      <w:r w:rsidR="005B31F6" w:rsidRPr="003C4410">
        <w:t>-</w:t>
      </w:r>
      <w:r w:rsidRPr="003C4410">
        <w:t>1</w:t>
      </w:r>
      <w:r w:rsidR="008C67EE" w:rsidRPr="003C4410">
        <w:t> </w:t>
      </w:r>
      <w:r w:rsidRPr="003C4410">
        <w:t>559 MHz, 1</w:t>
      </w:r>
      <w:r w:rsidR="008C67EE" w:rsidRPr="003C4410">
        <w:t> </w:t>
      </w:r>
      <w:r w:rsidRPr="003C4410">
        <w:t>626,5</w:t>
      </w:r>
      <w:r w:rsidR="005B31F6" w:rsidRPr="003C4410">
        <w:t>-</w:t>
      </w:r>
      <w:r w:rsidRPr="003C4410">
        <w:t>1</w:t>
      </w:r>
      <w:r w:rsidR="008C67EE" w:rsidRPr="003C4410">
        <w:t> </w:t>
      </w:r>
      <w:r w:rsidRPr="003C4410">
        <w:t>660,5 MHz y 1</w:t>
      </w:r>
      <w:r w:rsidR="008C67EE" w:rsidRPr="003C4410">
        <w:t> </w:t>
      </w:r>
      <w:r w:rsidRPr="003C4410">
        <w:t>668</w:t>
      </w:r>
      <w:r w:rsidR="005B31F6" w:rsidRPr="003C4410">
        <w:t>-</w:t>
      </w:r>
      <w:r w:rsidRPr="003C4410">
        <w:t>1</w:t>
      </w:r>
      <w:r w:rsidR="008C67EE" w:rsidRPr="003C4410">
        <w:t> </w:t>
      </w:r>
      <w:r w:rsidRPr="003C4410">
        <w:t>675 MHz</w:t>
      </w:r>
    </w:p>
    <w:p w14:paraId="11AB5445" w14:textId="61F903C0" w:rsidR="000E17CC" w:rsidRPr="003C4410" w:rsidRDefault="00EA72E2" w:rsidP="00CB43BA">
      <w:pPr>
        <w:pStyle w:val="Normalaftertitle"/>
      </w:pPr>
      <w:r w:rsidRPr="003C4410">
        <w:t>La Conferencia Mundial de Radiocomunicaciones</w:t>
      </w:r>
      <w:r w:rsidR="000E17CC" w:rsidRPr="003C4410">
        <w:t xml:space="preserve"> (</w:t>
      </w:r>
      <w:r w:rsidR="008C67EE" w:rsidRPr="003C4410">
        <w:t>Sharm el-Sheikh, 2019</w:t>
      </w:r>
      <w:r w:rsidR="000E17CC" w:rsidRPr="003C4410">
        <w:t>),</w:t>
      </w:r>
    </w:p>
    <w:p w14:paraId="74CCA864" w14:textId="254F0403" w:rsidR="000E17CC" w:rsidRPr="003C4410" w:rsidRDefault="00EA72E2" w:rsidP="00CB43BA">
      <w:pPr>
        <w:pStyle w:val="Call"/>
      </w:pPr>
      <w:r w:rsidRPr="003C4410">
        <w:t>considerando</w:t>
      </w:r>
    </w:p>
    <w:p w14:paraId="6A64EF8C" w14:textId="6058E3EB" w:rsidR="000E17CC" w:rsidRPr="003C4410" w:rsidRDefault="000E17CC" w:rsidP="00CB43BA">
      <w:pPr>
        <w:rPr>
          <w:i/>
        </w:rPr>
      </w:pPr>
      <w:r w:rsidRPr="003C4410">
        <w:rPr>
          <w:i/>
        </w:rPr>
        <w:t>a)</w:t>
      </w:r>
      <w:r w:rsidRPr="003C4410">
        <w:rPr>
          <w:i/>
        </w:rPr>
        <w:tab/>
      </w:r>
      <w:r w:rsidR="00EA72E2" w:rsidRPr="003C4410">
        <w:t xml:space="preserve">que la definición de servicio móvil por satélite (SMS) que figura en el número </w:t>
      </w:r>
      <w:r w:rsidR="00EA72E2" w:rsidRPr="003C4410">
        <w:rPr>
          <w:b/>
          <w:bCs/>
        </w:rPr>
        <w:t>1.25</w:t>
      </w:r>
      <w:r w:rsidR="00EA72E2" w:rsidRPr="003C4410">
        <w:t xml:space="preserve"> del Reglamento de Radiocomunicaciones incluye la comunicación entre estaciones espaciales</w:t>
      </w:r>
      <w:r w:rsidRPr="003C4410">
        <w:t>;</w:t>
      </w:r>
    </w:p>
    <w:p w14:paraId="3D46CB5D" w14:textId="72721684" w:rsidR="000E17CC" w:rsidRPr="003C4410" w:rsidRDefault="000E17CC" w:rsidP="00CB43BA">
      <w:r w:rsidRPr="003C4410">
        <w:rPr>
          <w:i/>
        </w:rPr>
        <w:t>b)</w:t>
      </w:r>
      <w:r w:rsidRPr="003C4410">
        <w:tab/>
      </w:r>
      <w:r w:rsidR="00EA72E2" w:rsidRPr="003C4410">
        <w:t>que muchos satélites no OSG funcionan con conectividad limitada en diferido con las estaciones terrenas;</w:t>
      </w:r>
    </w:p>
    <w:p w14:paraId="53126323" w14:textId="3D7916B3" w:rsidR="00EA72E2" w:rsidRPr="003C4410" w:rsidRDefault="000E17CC" w:rsidP="00CB43BA">
      <w:r w:rsidRPr="003C4410">
        <w:rPr>
          <w:i/>
        </w:rPr>
        <w:t>c)</w:t>
      </w:r>
      <w:r w:rsidRPr="003C4410">
        <w:rPr>
          <w:i/>
        </w:rPr>
        <w:tab/>
      </w:r>
      <w:r w:rsidR="00EA72E2" w:rsidRPr="003C4410">
        <w:t>que las comunicaciones espacio-espacio entre dichos satélites no OSG y los satélites del SMS OSG (geoestacionarios) mejorarían la seguridad y la eficiencia de las operaciones;</w:t>
      </w:r>
    </w:p>
    <w:p w14:paraId="469033A1" w14:textId="2D9B3BF0" w:rsidR="00EA72E2" w:rsidRPr="003C4410" w:rsidRDefault="000E17CC" w:rsidP="00CB43BA">
      <w:r w:rsidRPr="003C4410">
        <w:rPr>
          <w:i/>
          <w:iCs/>
        </w:rPr>
        <w:t>d)</w:t>
      </w:r>
      <w:r w:rsidRPr="003C4410">
        <w:tab/>
      </w:r>
      <w:r w:rsidR="00EA72E2" w:rsidRPr="003C4410">
        <w:t>que los satélites del SMS OSG que funcionan en las bandas de frecuencias</w:t>
      </w:r>
      <w:r w:rsidR="005B31F6" w:rsidRPr="003C4410">
        <w:t> </w:t>
      </w:r>
      <w:r w:rsidR="00EA72E2" w:rsidRPr="003C4410">
        <w:t>1</w:t>
      </w:r>
      <w:r w:rsidR="0014405F" w:rsidRPr="003C4410">
        <w:t> </w:t>
      </w:r>
      <w:r w:rsidR="00EA72E2" w:rsidRPr="003C4410">
        <w:t>518</w:t>
      </w:r>
      <w:r w:rsidR="005B31F6" w:rsidRPr="003C4410">
        <w:noBreakHyphen/>
      </w:r>
      <w:r w:rsidR="00EA72E2" w:rsidRPr="003C4410">
        <w:t>1</w:t>
      </w:r>
      <w:r w:rsidR="0014405F" w:rsidRPr="003C4410">
        <w:t> </w:t>
      </w:r>
      <w:r w:rsidR="00EA72E2" w:rsidRPr="003C4410">
        <w:t>559</w:t>
      </w:r>
      <w:r w:rsidR="005B31F6" w:rsidRPr="003C4410">
        <w:t> </w:t>
      </w:r>
      <w:r w:rsidR="00EA72E2" w:rsidRPr="003C4410">
        <w:t>MHz, 1</w:t>
      </w:r>
      <w:r w:rsidR="0014405F" w:rsidRPr="003C4410">
        <w:t> </w:t>
      </w:r>
      <w:r w:rsidR="00EA72E2" w:rsidRPr="003C4410">
        <w:t>626,5</w:t>
      </w:r>
      <w:r w:rsidR="005B31F6" w:rsidRPr="003C4410">
        <w:noBreakHyphen/>
      </w:r>
      <w:r w:rsidR="00EA72E2" w:rsidRPr="003C4410">
        <w:t>1</w:t>
      </w:r>
      <w:r w:rsidR="0014405F" w:rsidRPr="003C4410">
        <w:t> </w:t>
      </w:r>
      <w:r w:rsidR="00EA72E2" w:rsidRPr="003C4410">
        <w:t>660,5 MHz y 1</w:t>
      </w:r>
      <w:r w:rsidR="0014405F" w:rsidRPr="003C4410">
        <w:t> </w:t>
      </w:r>
      <w:r w:rsidR="00EA72E2" w:rsidRPr="003C4410">
        <w:t>668</w:t>
      </w:r>
      <w:r w:rsidR="005B31F6" w:rsidRPr="003C4410">
        <w:noBreakHyphen/>
      </w:r>
      <w:r w:rsidR="00EA72E2" w:rsidRPr="003C4410">
        <w:t>1</w:t>
      </w:r>
      <w:r w:rsidR="0014405F" w:rsidRPr="003C4410">
        <w:t> </w:t>
      </w:r>
      <w:r w:rsidR="00EA72E2" w:rsidRPr="003C4410">
        <w:t>675 MHz pueden soportar este tipo de operaciones;</w:t>
      </w:r>
    </w:p>
    <w:p w14:paraId="7A007A9C" w14:textId="3E3AB346" w:rsidR="000E17CC" w:rsidRPr="003C4410" w:rsidRDefault="000E17CC" w:rsidP="00CB43BA">
      <w:r w:rsidRPr="003C4410">
        <w:rPr>
          <w:i/>
          <w:iCs/>
        </w:rPr>
        <w:t>e)</w:t>
      </w:r>
      <w:r w:rsidRPr="003C4410">
        <w:tab/>
      </w:r>
      <w:r w:rsidR="00EA72E2" w:rsidRPr="003C4410">
        <w:t>que las antedichas bandas de frecuencias están atribuidas actualmente al SMS</w:t>
      </w:r>
      <w:r w:rsidR="005B31F6" w:rsidRPr="003C4410">
        <w:t> </w:t>
      </w:r>
      <w:r w:rsidR="00EA72E2" w:rsidRPr="003C4410">
        <w:t>(espacio</w:t>
      </w:r>
      <w:r w:rsidR="005B31F6" w:rsidRPr="003C4410">
        <w:noBreakHyphen/>
      </w:r>
      <w:r w:rsidR="00EA72E2" w:rsidRPr="003C4410">
        <w:t>Tierra) y al SMS (Tierra-espacio) pero no al SMS (espacio-espacio)</w:t>
      </w:r>
      <w:r w:rsidRPr="003C4410">
        <w:t>;</w:t>
      </w:r>
    </w:p>
    <w:p w14:paraId="7F6CB079" w14:textId="40921129" w:rsidR="000E17CC" w:rsidRPr="003C4410" w:rsidRDefault="000E17CC" w:rsidP="00CB43BA">
      <w:r w:rsidRPr="003C4410">
        <w:rPr>
          <w:i/>
          <w:iCs/>
        </w:rPr>
        <w:t>f)</w:t>
      </w:r>
      <w:r w:rsidRPr="003C4410">
        <w:tab/>
      </w:r>
      <w:r w:rsidR="00EA72E2" w:rsidRPr="003C4410">
        <w:t>que el UIT-R ha iniciado los estudios preliminares sobre los problemas técnicos y operativos asociados a la explotación de los enlaces espacio-espacio entre los satélites no OSG y los satélites del SMS OSG en las citadas bandas de frecuencias</w:t>
      </w:r>
      <w:r w:rsidRPr="003C4410">
        <w:t>,</w:t>
      </w:r>
    </w:p>
    <w:p w14:paraId="07BB1144" w14:textId="1ACCCDFA" w:rsidR="000E17CC" w:rsidRPr="003C4410" w:rsidRDefault="005468E4" w:rsidP="00CB43BA">
      <w:pPr>
        <w:pStyle w:val="Call"/>
      </w:pPr>
      <w:r w:rsidRPr="003C4410">
        <w:t>reconociendo</w:t>
      </w:r>
    </w:p>
    <w:p w14:paraId="2E920232" w14:textId="6628F34B" w:rsidR="000E17CC" w:rsidRPr="003C4410" w:rsidRDefault="00EA72E2" w:rsidP="00CB43BA">
      <w:r w:rsidRPr="003C4410">
        <w:t xml:space="preserve">que </w:t>
      </w:r>
      <w:r w:rsidR="005468E4" w:rsidRPr="003C4410">
        <w:t>es necesario estudiar la explotación potencial del SMS (espacio-espacio) en las mencionadas bandas de frecuencias para garantizar la compatibilidad con los servicios atribuidos en dichas bandas y evitar la interferencia perjudicial</w:t>
      </w:r>
      <w:r w:rsidR="000E17CC" w:rsidRPr="003C4410">
        <w:t>,</w:t>
      </w:r>
    </w:p>
    <w:p w14:paraId="326AFD40" w14:textId="48A7E412" w:rsidR="000E17CC" w:rsidRPr="003C4410" w:rsidRDefault="005468E4" w:rsidP="00CB43BA">
      <w:pPr>
        <w:pStyle w:val="Call"/>
      </w:pPr>
      <w:r w:rsidRPr="003C4410">
        <w:t>observando</w:t>
      </w:r>
    </w:p>
    <w:p w14:paraId="4D8245DC" w14:textId="1F20455A" w:rsidR="000E17CC" w:rsidRPr="003C4410" w:rsidRDefault="000E17CC" w:rsidP="00CB43BA">
      <w:r w:rsidRPr="003C4410">
        <w:rPr>
          <w:i/>
        </w:rPr>
        <w:t>a)</w:t>
      </w:r>
      <w:r w:rsidRPr="003C4410">
        <w:rPr>
          <w:i/>
        </w:rPr>
        <w:tab/>
      </w:r>
      <w:r w:rsidR="00EA72E2" w:rsidRPr="003C4410">
        <w:t>que</w:t>
      </w:r>
      <w:r w:rsidR="009D7703" w:rsidRPr="003C4410">
        <w:t>,</w:t>
      </w:r>
      <w:r w:rsidR="00EA72E2" w:rsidRPr="003C4410">
        <w:t xml:space="preserve"> </w:t>
      </w:r>
      <w:r w:rsidR="005468E4" w:rsidRPr="003C4410">
        <w:t xml:space="preserve">en la Sección </w:t>
      </w:r>
      <w:r w:rsidRPr="003C4410">
        <w:t xml:space="preserve">3.1.3.2 </w:t>
      </w:r>
      <w:r w:rsidR="005468E4" w:rsidRPr="003C4410">
        <w:t>del Informe del Director a la CMR-19 sobre las actividades del Sector de Radiocomunicaciones</w:t>
      </w:r>
      <w:r w:rsidR="009D7703" w:rsidRPr="003C4410">
        <w:t>,</w:t>
      </w:r>
      <w:r w:rsidR="005468E4" w:rsidRPr="003C4410">
        <w:t xml:space="preserve"> se </w:t>
      </w:r>
      <w:r w:rsidR="008A672B" w:rsidRPr="003C4410">
        <w:t>subraya</w:t>
      </w:r>
      <w:r w:rsidR="005468E4" w:rsidRPr="003C4410">
        <w:t xml:space="preserve"> que </w:t>
      </w:r>
      <w:r w:rsidR="00BA351E" w:rsidRPr="003C4410">
        <w:t xml:space="preserve">la Oficina </w:t>
      </w:r>
      <w:r w:rsidR="005468E4" w:rsidRPr="003C4410">
        <w:t>ha</w:t>
      </w:r>
      <w:r w:rsidR="00BA351E" w:rsidRPr="003C4410">
        <w:t xml:space="preserve"> recib</w:t>
      </w:r>
      <w:r w:rsidR="005468E4" w:rsidRPr="003C4410">
        <w:t xml:space="preserve">ido </w:t>
      </w:r>
      <w:r w:rsidR="00BA351E" w:rsidRPr="003C4410">
        <w:t xml:space="preserve">un número creciente de información de publicación anticipada (API) para redes de satélites no geoestacionarios en bandas de frecuencias que no están atribuidas por el Artículo </w:t>
      </w:r>
      <w:r w:rsidR="00BA351E" w:rsidRPr="003C4410">
        <w:rPr>
          <w:b/>
          <w:bCs/>
        </w:rPr>
        <w:t>5</w:t>
      </w:r>
      <w:r w:rsidR="00BA351E" w:rsidRPr="003C4410">
        <w:t xml:space="preserve"> del </w:t>
      </w:r>
      <w:r w:rsidR="009D7703" w:rsidRPr="003C4410">
        <w:t>Reglamento de Radiocomunicaciones</w:t>
      </w:r>
      <w:r w:rsidR="00BA351E" w:rsidRPr="003C4410">
        <w:t xml:space="preserve"> para el tipo de servicio previsto</w:t>
      </w:r>
      <w:r w:rsidRPr="003C4410">
        <w:t>,</w:t>
      </w:r>
      <w:r w:rsidR="00BA351E" w:rsidRPr="003C4410">
        <w:rPr>
          <w:bCs/>
        </w:rPr>
        <w:t xml:space="preserve"> </w:t>
      </w:r>
      <w:r w:rsidR="005468E4" w:rsidRPr="003C4410">
        <w:rPr>
          <w:bCs/>
        </w:rPr>
        <w:t>y</w:t>
      </w:r>
      <w:r w:rsidR="00133FA2" w:rsidRPr="003C4410">
        <w:rPr>
          <w:bCs/>
        </w:rPr>
        <w:t>,</w:t>
      </w:r>
      <w:r w:rsidR="005468E4" w:rsidRPr="003C4410">
        <w:rPr>
          <w:bCs/>
        </w:rPr>
        <w:t xml:space="preserve"> en particular</w:t>
      </w:r>
      <w:r w:rsidR="00133FA2" w:rsidRPr="003C4410">
        <w:rPr>
          <w:bCs/>
        </w:rPr>
        <w:t>,</w:t>
      </w:r>
      <w:r w:rsidR="005468E4" w:rsidRPr="003C4410">
        <w:rPr>
          <w:bCs/>
        </w:rPr>
        <w:t xml:space="preserve"> notificaciones de redes de satélites destinadas a aplicaciones entre satélites en bandas atribuidas únicamente en los sentidos Tierra-espacio y espacio-Tierra</w:t>
      </w:r>
      <w:r w:rsidRPr="003C4410">
        <w:t>;</w:t>
      </w:r>
    </w:p>
    <w:p w14:paraId="19BED8F3" w14:textId="15658201" w:rsidR="000E17CC" w:rsidRPr="003C4410" w:rsidRDefault="000E17CC" w:rsidP="00CB43BA">
      <w:pPr>
        <w:rPr>
          <w:i/>
        </w:rPr>
      </w:pPr>
      <w:r w:rsidRPr="003C4410">
        <w:rPr>
          <w:i/>
        </w:rPr>
        <w:t>b)</w:t>
      </w:r>
      <w:r w:rsidRPr="003C4410">
        <w:rPr>
          <w:i/>
        </w:rPr>
        <w:tab/>
      </w:r>
      <w:r w:rsidR="00EA72E2" w:rsidRPr="003C4410">
        <w:t>que</w:t>
      </w:r>
      <w:r w:rsidR="00133FA2" w:rsidRPr="003C4410">
        <w:t>,</w:t>
      </w:r>
      <w:r w:rsidR="00EA72E2" w:rsidRPr="003C4410">
        <w:t xml:space="preserve"> </w:t>
      </w:r>
      <w:r w:rsidR="005468E4" w:rsidRPr="003C4410">
        <w:t>en este mismo Informe del Director</w:t>
      </w:r>
      <w:r w:rsidR="00133FA2" w:rsidRPr="003C4410">
        <w:t>,</w:t>
      </w:r>
      <w:r w:rsidR="005468E4" w:rsidRPr="003C4410">
        <w:t xml:space="preserve"> se llega a la conclusión de que, a</w:t>
      </w:r>
      <w:r w:rsidR="00BA351E" w:rsidRPr="003C4410">
        <w:t xml:space="preserve"> raíz de los recientes avances técnicos y del aumento de la cantidad de notificaciones de enlaces entre satélites en bandas de frecuencias no atribuidas al servicio entre satélites o a un servicio espacial en el sentido espacio-espacio, la Conferencia puede tener a bien estudiar la manera de reconocer esos casos de utilización sobre la base de las condiciones dimanantes de los estudios realizados por los Grupos de Trabajo 4A y 4C del UIT-R, a fin de evitar la interferencia con los sistemas que </w:t>
      </w:r>
      <w:r w:rsidR="005468E4" w:rsidRPr="003C4410">
        <w:t xml:space="preserve">actualmente </w:t>
      </w:r>
      <w:r w:rsidR="00BA351E" w:rsidRPr="003C4410">
        <w:t>funcion</w:t>
      </w:r>
      <w:r w:rsidR="005468E4" w:rsidRPr="003C4410">
        <w:t>a</w:t>
      </w:r>
      <w:r w:rsidR="00BA351E" w:rsidRPr="003C4410">
        <w:t>n en las mismas bandas de frecuencias</w:t>
      </w:r>
      <w:r w:rsidRPr="003C4410">
        <w:t>,</w:t>
      </w:r>
    </w:p>
    <w:p w14:paraId="49959574" w14:textId="328D7C98" w:rsidR="000E17CC" w:rsidRPr="003C4410" w:rsidRDefault="005468E4" w:rsidP="00CB43BA">
      <w:pPr>
        <w:pStyle w:val="Call"/>
      </w:pPr>
      <w:r w:rsidRPr="003C4410">
        <w:lastRenderedPageBreak/>
        <w:t>resuelve invitar al UIT</w:t>
      </w:r>
      <w:r w:rsidR="000E17CC" w:rsidRPr="003C4410">
        <w:noBreakHyphen/>
        <w:t>R</w:t>
      </w:r>
    </w:p>
    <w:p w14:paraId="0A935F4E" w14:textId="7239187B" w:rsidR="000E17CC" w:rsidRPr="003C4410" w:rsidRDefault="000E17CC" w:rsidP="00CB43BA">
      <w:r w:rsidRPr="003C4410">
        <w:t>1</w:t>
      </w:r>
      <w:r w:rsidRPr="003C4410">
        <w:tab/>
      </w:r>
      <w:r w:rsidR="005468E4" w:rsidRPr="003C4410">
        <w:t xml:space="preserve">a </w:t>
      </w:r>
      <w:r w:rsidR="00DC6DAE" w:rsidRPr="003C4410">
        <w:t>que estudie</w:t>
      </w:r>
      <w:r w:rsidR="005468E4" w:rsidRPr="003C4410">
        <w:t xml:space="preserve"> las característica</w:t>
      </w:r>
      <w:r w:rsidR="00133FA2" w:rsidRPr="003C4410">
        <w:t>s</w:t>
      </w:r>
      <w:r w:rsidR="005468E4" w:rsidRPr="003C4410">
        <w:t xml:space="preserve"> técnicas y operativas de los diferentes tipos de estaciones espaciales no OSG que </w:t>
      </w:r>
      <w:r w:rsidR="00DC6DAE" w:rsidRPr="003C4410">
        <w:t>explotan</w:t>
      </w:r>
      <w:r w:rsidR="005468E4" w:rsidRPr="003C4410">
        <w:t xml:space="preserve"> o </w:t>
      </w:r>
      <w:r w:rsidR="00DC6DAE" w:rsidRPr="003C4410">
        <w:t>proyectan explotar enlaces espacio-espacio con redes del SMS OSG en las bandas</w:t>
      </w:r>
      <w:r w:rsidRPr="003C4410">
        <w:t xml:space="preserve"> 1 518-1 559 MHz, </w:t>
      </w:r>
      <w:r w:rsidR="00B9554A" w:rsidRPr="003C4410">
        <w:t xml:space="preserve">1 626,5-1 660,5 MHz y </w:t>
      </w:r>
      <w:r w:rsidRPr="003C4410">
        <w:t>1 668-1 675 MHz;</w:t>
      </w:r>
    </w:p>
    <w:p w14:paraId="52BBF6D8" w14:textId="2DDBD4BC" w:rsidR="000E17CC" w:rsidRPr="003C4410" w:rsidRDefault="000E17CC" w:rsidP="00CB43BA">
      <w:r w:rsidRPr="003C4410">
        <w:t>2</w:t>
      </w:r>
      <w:r w:rsidRPr="003C4410">
        <w:tab/>
      </w:r>
      <w:r w:rsidR="00DC6DAE" w:rsidRPr="003C4410">
        <w:t>a que estudie la compartición y compatibilidad entre los enlaces espacio-espacio no OSG y las estaciones espaciales OSG en las mencionadas bandas de frecuencias y las estaciones planificadas de los servicios existentes atribuidos en las mismas bandas de frecuencias para garantizar la compatibilidad técnica</w:t>
      </w:r>
      <w:r w:rsidRPr="003C4410">
        <w:t>;</w:t>
      </w:r>
    </w:p>
    <w:p w14:paraId="0FF9AF90" w14:textId="03A0ACA8" w:rsidR="000E17CC" w:rsidRPr="003C4410" w:rsidRDefault="000E17CC" w:rsidP="00CB43BA">
      <w:pPr>
        <w:rPr>
          <w:i/>
        </w:rPr>
      </w:pPr>
      <w:r w:rsidRPr="003C4410">
        <w:t>3</w:t>
      </w:r>
      <w:r w:rsidRPr="003C4410">
        <w:tab/>
      </w:r>
      <w:r w:rsidR="00DC6DAE" w:rsidRPr="003C4410">
        <w:t xml:space="preserve">a que elabore las condiciones técnicas y las disposiciones reglamentarias para la explotación de los enlaces espacio-espacio en estas bandas, incluidas en su </w:t>
      </w:r>
      <w:r w:rsidR="008A672B" w:rsidRPr="003C4410">
        <w:t>caso</w:t>
      </w:r>
      <w:r w:rsidR="00DC6DAE" w:rsidRPr="003C4410">
        <w:t xml:space="preserve"> las atribuciones nuevas o revisadas, teniendo en cuenta los resultados de los estudios solicitados en el </w:t>
      </w:r>
      <w:r w:rsidR="008A672B" w:rsidRPr="003C4410">
        <w:rPr>
          <w:i/>
          <w:iCs/>
        </w:rPr>
        <w:t>resuelve</w:t>
      </w:r>
      <w:r w:rsidR="00DC6DAE" w:rsidRPr="003C4410">
        <w:rPr>
          <w:i/>
          <w:iCs/>
        </w:rPr>
        <w:t xml:space="preserve"> invitar al UIT-R </w:t>
      </w:r>
      <w:r w:rsidR="00DC6DAE" w:rsidRPr="003C4410">
        <w:t>1 y 2</w:t>
      </w:r>
      <w:r w:rsidR="00DC6DAE" w:rsidRPr="003C4410">
        <w:rPr>
          <w:i/>
          <w:iCs/>
        </w:rPr>
        <w:t xml:space="preserve"> supra</w:t>
      </w:r>
      <w:r w:rsidR="005B0815" w:rsidRPr="003C4410">
        <w:rPr>
          <w:i/>
          <w:iCs/>
        </w:rPr>
        <w:t>,</w:t>
      </w:r>
    </w:p>
    <w:p w14:paraId="5E360D94" w14:textId="77777777" w:rsidR="00BA351E" w:rsidRPr="003C4410" w:rsidRDefault="00BA351E" w:rsidP="00CB43BA">
      <w:pPr>
        <w:pStyle w:val="Call"/>
      </w:pPr>
      <w:r w:rsidRPr="003C4410">
        <w:t>resuelve además</w:t>
      </w:r>
    </w:p>
    <w:p w14:paraId="5AB3CFF7" w14:textId="3803A70C" w:rsidR="00BA351E" w:rsidRPr="003C4410" w:rsidRDefault="00BA351E" w:rsidP="00CB43BA">
      <w:r w:rsidRPr="003C4410">
        <w:t>invitar a la CMR</w:t>
      </w:r>
      <w:r w:rsidRPr="003C4410">
        <w:noBreakHyphen/>
        <w:t>23 a considerar los resultados de los estudios indicados más arriba y a tomar las medidas correspondientes,</w:t>
      </w:r>
    </w:p>
    <w:p w14:paraId="3F3E1178" w14:textId="77777777" w:rsidR="00BA351E" w:rsidRPr="003C4410" w:rsidRDefault="00BA351E" w:rsidP="00CB43BA">
      <w:pPr>
        <w:pStyle w:val="Call"/>
      </w:pPr>
      <w:r w:rsidRPr="003C4410">
        <w:t xml:space="preserve">invita a las administraciones </w:t>
      </w:r>
    </w:p>
    <w:p w14:paraId="7412BA0D" w14:textId="4B310129" w:rsidR="00D30F31" w:rsidRPr="003C4410" w:rsidRDefault="00BA351E" w:rsidP="00CB43BA">
      <w:r w:rsidRPr="003C4410">
        <w:rPr>
          <w:lang w:eastAsia="nl-NL"/>
        </w:rPr>
        <w:t>a participar en los estudios presentando contribuciones al UIT</w:t>
      </w:r>
      <w:r w:rsidRPr="003C4410">
        <w:rPr>
          <w:lang w:eastAsia="nl-NL"/>
        </w:rPr>
        <w:noBreakHyphen/>
        <w:t>R.</w:t>
      </w:r>
    </w:p>
    <w:p w14:paraId="0D7889E0" w14:textId="1F4233D0" w:rsidR="00D30F31" w:rsidRPr="003C4410" w:rsidRDefault="00D3476E" w:rsidP="00CB43BA">
      <w:pPr>
        <w:pStyle w:val="Reasons"/>
      </w:pPr>
      <w:r w:rsidRPr="003C4410">
        <w:rPr>
          <w:b/>
        </w:rPr>
        <w:t>Motivos</w:t>
      </w:r>
      <w:r w:rsidRPr="003C4410">
        <w:rPr>
          <w:bCs/>
        </w:rPr>
        <w:t>:</w:t>
      </w:r>
      <w:r w:rsidRPr="003C4410">
        <w:rPr>
          <w:bCs/>
        </w:rPr>
        <w:tab/>
      </w:r>
      <w:r w:rsidR="00B510AA" w:rsidRPr="003C4410">
        <w:t>Complementar</w:t>
      </w:r>
      <w:r w:rsidR="005B0815" w:rsidRPr="003C4410">
        <w:t xml:space="preserve"> la </w:t>
      </w:r>
      <w:r w:rsidR="00552355" w:rsidRPr="003C4410">
        <w:t>inclusión</w:t>
      </w:r>
      <w:r w:rsidR="005B0815" w:rsidRPr="003C4410">
        <w:t xml:space="preserve"> de este nuevo punto del orden del día para la CMR</w:t>
      </w:r>
      <w:r w:rsidR="000E17CC" w:rsidRPr="003C4410">
        <w:t>-23.</w:t>
      </w:r>
    </w:p>
    <w:p w14:paraId="6C60699A" w14:textId="49CA7300" w:rsidR="00552355" w:rsidRPr="003C4410" w:rsidRDefault="00552355" w:rsidP="00CB43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4410">
        <w:br w:type="page"/>
      </w:r>
    </w:p>
    <w:p w14:paraId="3551FC61" w14:textId="41F81AC9" w:rsidR="00552355" w:rsidRPr="003C4410" w:rsidRDefault="00F04D11" w:rsidP="006629C2">
      <w:pPr>
        <w:pStyle w:val="AnnexNo"/>
        <w:spacing w:after="240"/>
      </w:pPr>
      <w:r w:rsidRPr="003C4410">
        <w:lastRenderedPageBreak/>
        <w:t>anexo</w:t>
      </w:r>
    </w:p>
    <w:tbl>
      <w:tblPr>
        <w:tblpPr w:leftFromText="180" w:rightFromText="180" w:vertAnchor="text" w:tblpX="-84" w:tblpY="1"/>
        <w:tblOverlap w:val="never"/>
        <w:tblW w:w="9728" w:type="dxa"/>
        <w:tblLayout w:type="fixed"/>
        <w:tblLook w:val="04A0" w:firstRow="1" w:lastRow="0" w:firstColumn="1" w:lastColumn="0" w:noHBand="0" w:noVBand="1"/>
      </w:tblPr>
      <w:tblGrid>
        <w:gridCol w:w="5098"/>
        <w:gridCol w:w="4630"/>
      </w:tblGrid>
      <w:tr w:rsidR="00552355" w:rsidRPr="003C4410" w14:paraId="1D8B5597" w14:textId="77777777" w:rsidTr="001F33A8">
        <w:trPr>
          <w:cantSplit/>
          <w:trHeight w:val="1408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5E" w14:textId="23E23862" w:rsidR="00552355" w:rsidRPr="003C4410" w:rsidRDefault="00F04D11" w:rsidP="00CB43BA">
            <w:pPr>
              <w:keepNext/>
              <w:jc w:val="both"/>
              <w:rPr>
                <w:b/>
                <w:bCs/>
              </w:rPr>
            </w:pPr>
            <w:r w:rsidRPr="003C4410">
              <w:rPr>
                <w:b/>
                <w:bCs/>
              </w:rPr>
              <w:t>Asunto</w:t>
            </w:r>
            <w:r w:rsidR="00552355" w:rsidRPr="003C4410">
              <w:rPr>
                <w:b/>
                <w:bCs/>
              </w:rPr>
              <w:t>:</w:t>
            </w:r>
          </w:p>
          <w:p w14:paraId="6B119B9A" w14:textId="1A846EFF" w:rsidR="00552355" w:rsidRPr="003C4410" w:rsidRDefault="00F04D11" w:rsidP="007E340D">
            <w:pPr>
              <w:keepNext/>
              <w:rPr>
                <w:bCs/>
              </w:rPr>
            </w:pPr>
            <w:r w:rsidRPr="003C4410">
              <w:rPr>
                <w:bCs/>
              </w:rPr>
              <w:t>Atribuciones al servicio móvil por satélite</w:t>
            </w:r>
            <w:r w:rsidR="00552355" w:rsidRPr="003C4410">
              <w:rPr>
                <w:bCs/>
              </w:rPr>
              <w:t xml:space="preserve"> (</w:t>
            </w:r>
            <w:r w:rsidRPr="003C4410">
              <w:rPr>
                <w:bCs/>
              </w:rPr>
              <w:t>espacio-espacio</w:t>
            </w:r>
            <w:r w:rsidR="00552355" w:rsidRPr="003C4410">
              <w:rPr>
                <w:bCs/>
              </w:rPr>
              <w:t xml:space="preserve">) </w:t>
            </w:r>
            <w:r w:rsidRPr="003C4410">
              <w:rPr>
                <w:bCs/>
              </w:rPr>
              <w:t>en las bandas de frecuencias</w:t>
            </w:r>
            <w:r w:rsidR="00552355" w:rsidRPr="003C4410">
              <w:rPr>
                <w:bCs/>
              </w:rPr>
              <w:t xml:space="preserve"> </w:t>
            </w:r>
            <w:r w:rsidR="00552355" w:rsidRPr="003C4410">
              <w:rPr>
                <w:szCs w:val="24"/>
              </w:rPr>
              <w:t>1</w:t>
            </w:r>
            <w:r w:rsidRPr="003C4410">
              <w:rPr>
                <w:szCs w:val="24"/>
              </w:rPr>
              <w:t> </w:t>
            </w:r>
            <w:r w:rsidR="00552355" w:rsidRPr="003C4410">
              <w:rPr>
                <w:szCs w:val="24"/>
              </w:rPr>
              <w:t>518</w:t>
            </w:r>
            <w:r w:rsidR="00CB43BA" w:rsidRPr="003C4410">
              <w:rPr>
                <w:szCs w:val="24"/>
              </w:rPr>
              <w:noBreakHyphen/>
            </w:r>
            <w:r w:rsidR="00552355" w:rsidRPr="003C4410">
              <w:rPr>
                <w:szCs w:val="24"/>
              </w:rPr>
              <w:t>1</w:t>
            </w:r>
            <w:r w:rsidRPr="003C4410">
              <w:rPr>
                <w:szCs w:val="24"/>
              </w:rPr>
              <w:t> </w:t>
            </w:r>
            <w:r w:rsidR="00552355" w:rsidRPr="003C4410">
              <w:rPr>
                <w:szCs w:val="24"/>
              </w:rPr>
              <w:t>559 MHz, 1</w:t>
            </w:r>
            <w:r w:rsidRPr="003C4410">
              <w:rPr>
                <w:szCs w:val="24"/>
              </w:rPr>
              <w:t> </w:t>
            </w:r>
            <w:r w:rsidR="00552355" w:rsidRPr="003C4410">
              <w:rPr>
                <w:szCs w:val="24"/>
              </w:rPr>
              <w:t>626</w:t>
            </w:r>
            <w:r w:rsidRPr="003C4410">
              <w:rPr>
                <w:szCs w:val="24"/>
              </w:rPr>
              <w:t>,</w:t>
            </w:r>
            <w:r w:rsidR="00552355" w:rsidRPr="003C4410">
              <w:rPr>
                <w:szCs w:val="24"/>
              </w:rPr>
              <w:t>5-1</w:t>
            </w:r>
            <w:r w:rsidRPr="003C4410">
              <w:rPr>
                <w:szCs w:val="24"/>
              </w:rPr>
              <w:t> </w:t>
            </w:r>
            <w:r w:rsidR="00552355" w:rsidRPr="003C4410">
              <w:rPr>
                <w:szCs w:val="24"/>
              </w:rPr>
              <w:t>660</w:t>
            </w:r>
            <w:r w:rsidRPr="003C4410">
              <w:rPr>
                <w:szCs w:val="24"/>
              </w:rPr>
              <w:t>,</w:t>
            </w:r>
            <w:r w:rsidR="00552355" w:rsidRPr="003C4410">
              <w:rPr>
                <w:szCs w:val="24"/>
              </w:rPr>
              <w:t xml:space="preserve">5 MHz </w:t>
            </w:r>
            <w:r w:rsidRPr="003C4410">
              <w:rPr>
                <w:szCs w:val="24"/>
              </w:rPr>
              <w:t>y</w:t>
            </w:r>
            <w:r w:rsidR="00552355" w:rsidRPr="003C4410">
              <w:rPr>
                <w:szCs w:val="24"/>
              </w:rPr>
              <w:t xml:space="preserve"> 1</w:t>
            </w:r>
            <w:r w:rsidRPr="003C4410">
              <w:rPr>
                <w:szCs w:val="24"/>
              </w:rPr>
              <w:t> </w:t>
            </w:r>
            <w:r w:rsidR="00552355" w:rsidRPr="003C4410">
              <w:rPr>
                <w:szCs w:val="24"/>
              </w:rPr>
              <w:t>668-1</w:t>
            </w:r>
            <w:r w:rsidRPr="003C4410">
              <w:rPr>
                <w:szCs w:val="24"/>
              </w:rPr>
              <w:t> </w:t>
            </w:r>
            <w:r w:rsidR="00552355" w:rsidRPr="003C4410">
              <w:rPr>
                <w:szCs w:val="24"/>
              </w:rPr>
              <w:t xml:space="preserve">675 MHz, </w:t>
            </w:r>
            <w:r w:rsidRPr="003C4410">
              <w:rPr>
                <w:szCs w:val="24"/>
              </w:rPr>
              <w:t xml:space="preserve">de conformidad con el proyecto de nueva Resolución </w:t>
            </w:r>
            <w:r w:rsidR="00552355" w:rsidRPr="003C4410">
              <w:rPr>
                <w:b/>
                <w:szCs w:val="24"/>
              </w:rPr>
              <w:t>[</w:t>
            </w:r>
            <w:r w:rsidR="00552355" w:rsidRPr="003C4410">
              <w:rPr>
                <w:b/>
                <w:bCs/>
              </w:rPr>
              <w:t>SNG/A10/</w:t>
            </w:r>
            <w:r w:rsidR="00552355" w:rsidRPr="003C4410">
              <w:rPr>
                <w:b/>
                <w:szCs w:val="24"/>
              </w:rPr>
              <w:t>MSS SPACE-TO-SPACE L-BAND] (C</w:t>
            </w:r>
            <w:r w:rsidRPr="003C4410">
              <w:rPr>
                <w:b/>
                <w:szCs w:val="24"/>
              </w:rPr>
              <w:t>MR</w:t>
            </w:r>
            <w:r w:rsidR="00552355" w:rsidRPr="003C4410">
              <w:rPr>
                <w:b/>
                <w:szCs w:val="24"/>
              </w:rPr>
              <w:t>-19)</w:t>
            </w:r>
          </w:p>
        </w:tc>
      </w:tr>
      <w:tr w:rsidR="00552355" w:rsidRPr="003C4410" w14:paraId="300F553E" w14:textId="77777777" w:rsidTr="001F33A8">
        <w:trPr>
          <w:cantSplit/>
          <w:trHeight w:val="560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20A" w14:textId="71B4640A" w:rsidR="00552355" w:rsidRPr="003C4410" w:rsidRDefault="00F04D11" w:rsidP="00CB43BA">
            <w:pPr>
              <w:keepNext/>
              <w:jc w:val="both"/>
              <w:rPr>
                <w:b/>
                <w:bCs/>
              </w:rPr>
            </w:pPr>
            <w:r w:rsidRPr="003C4410">
              <w:rPr>
                <w:b/>
                <w:bCs/>
              </w:rPr>
              <w:t>Origen</w:t>
            </w:r>
            <w:r w:rsidR="00552355" w:rsidRPr="003C4410">
              <w:rPr>
                <w:b/>
                <w:bCs/>
              </w:rPr>
              <w:t xml:space="preserve">: </w:t>
            </w:r>
            <w:r w:rsidRPr="003C4410">
              <w:rPr>
                <w:bCs/>
              </w:rPr>
              <w:t>Singapur</w:t>
            </w:r>
          </w:p>
        </w:tc>
      </w:tr>
      <w:tr w:rsidR="00552355" w:rsidRPr="003C4410" w14:paraId="7AFF07DA" w14:textId="77777777" w:rsidTr="001F33A8">
        <w:trPr>
          <w:cantSplit/>
          <w:trHeight w:val="154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A6C" w14:textId="3899CA37" w:rsidR="00552355" w:rsidRPr="003C4410" w:rsidRDefault="00F04D11" w:rsidP="00CB43BA">
            <w:pPr>
              <w:keepNext/>
              <w:jc w:val="both"/>
              <w:rPr>
                <w:b/>
                <w:iCs/>
                <w:color w:val="000000"/>
              </w:rPr>
            </w:pPr>
            <w:r w:rsidRPr="003C4410">
              <w:rPr>
                <w:b/>
                <w:i/>
                <w:color w:val="000000"/>
              </w:rPr>
              <w:t>Propuesta</w:t>
            </w:r>
            <w:r w:rsidR="00552355" w:rsidRPr="003C4410">
              <w:rPr>
                <w:b/>
                <w:iCs/>
                <w:color w:val="000000"/>
              </w:rPr>
              <w:t>:</w:t>
            </w:r>
          </w:p>
          <w:p w14:paraId="32A4E557" w14:textId="06747238" w:rsidR="00552355" w:rsidRPr="003C4410" w:rsidRDefault="00F04D11" w:rsidP="007E340D">
            <w:pPr>
              <w:keepNext/>
              <w:rPr>
                <w:b/>
                <w:bCs/>
              </w:rPr>
            </w:pPr>
            <w:r w:rsidRPr="003C4410">
              <w:rPr>
                <w:szCs w:val="24"/>
              </w:rPr>
              <w:t xml:space="preserve">Examinar una posible atribución al servicio móvil por satélite (espacio-espacio) en las bandas de frecuencias 1 518-1 559 MHz, 1 626,5-1 660,5 MHz y 1 668-1 675 MHz, de conformidad con el proyecto de nueva Resolución </w:t>
            </w:r>
            <w:r w:rsidRPr="003C4410">
              <w:rPr>
                <w:b/>
                <w:bCs/>
                <w:szCs w:val="24"/>
              </w:rPr>
              <w:t>[SNG/A10/MSS SPACE-TO-SPACE L-BAND] (CMR-19)</w:t>
            </w:r>
          </w:p>
        </w:tc>
      </w:tr>
      <w:tr w:rsidR="00552355" w:rsidRPr="003C4410" w14:paraId="0D08CF82" w14:textId="77777777" w:rsidTr="005B31F6">
        <w:trPr>
          <w:cantSplit/>
          <w:trHeight w:val="198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C40" w14:textId="2768804D" w:rsidR="00F04D11" w:rsidRPr="003C4410" w:rsidRDefault="00F04D11" w:rsidP="00CB43BA">
            <w:pPr>
              <w:keepNext/>
              <w:jc w:val="both"/>
              <w:rPr>
                <w:b/>
                <w:iCs/>
                <w:color w:val="000000"/>
              </w:rPr>
            </w:pPr>
            <w:r w:rsidRPr="003C4410">
              <w:rPr>
                <w:b/>
                <w:i/>
                <w:color w:val="000000"/>
              </w:rPr>
              <w:t>Antecedentes/motivos</w:t>
            </w:r>
            <w:r w:rsidR="00552355" w:rsidRPr="003C4410">
              <w:rPr>
                <w:b/>
                <w:iCs/>
                <w:color w:val="000000"/>
              </w:rPr>
              <w:t>:</w:t>
            </w:r>
          </w:p>
          <w:p w14:paraId="570C46E6" w14:textId="73A00B82" w:rsidR="00552355" w:rsidRPr="003C4410" w:rsidRDefault="00F04D11" w:rsidP="007E340D">
            <w:pPr>
              <w:keepNext/>
            </w:pPr>
            <w:r w:rsidRPr="003C4410">
              <w:rPr>
                <w:szCs w:val="24"/>
              </w:rPr>
              <w:t xml:space="preserve">Hay muchos satélites LEO que funcionan con un soporte limitado en diferido a través de una red de estaciones terrenas. La adición al SMS de comunicaciones espacio-espacio constituiría un medio eficaz de supervisar y controlar continuamente dichos satélites LEO, lo que redundaría en una mejora de la seguridad y la eficiencia de las operaciones. También podrían utilizarse estos </w:t>
            </w:r>
            <w:r w:rsidR="000F6B73" w:rsidRPr="003C4410">
              <w:rPr>
                <w:szCs w:val="24"/>
              </w:rPr>
              <w:t>enlaces</w:t>
            </w:r>
            <w:r w:rsidRPr="003C4410">
              <w:rPr>
                <w:szCs w:val="24"/>
              </w:rPr>
              <w:t xml:space="preserve"> para </w:t>
            </w:r>
            <w:r w:rsidR="000F6B73" w:rsidRPr="003C4410">
              <w:rPr>
                <w:szCs w:val="24"/>
              </w:rPr>
              <w:t>descargar</w:t>
            </w:r>
            <w:r w:rsidRPr="003C4410">
              <w:rPr>
                <w:szCs w:val="24"/>
              </w:rPr>
              <w:t xml:space="preserve"> datos del satélite LEO</w:t>
            </w:r>
            <w:r w:rsidR="000F6B73" w:rsidRPr="003C4410">
              <w:rPr>
                <w:szCs w:val="24"/>
              </w:rPr>
              <w:t xml:space="preserve"> en tiempo real</w:t>
            </w:r>
            <w:r w:rsidR="00552355" w:rsidRPr="003C4410">
              <w:rPr>
                <w:szCs w:val="24"/>
              </w:rPr>
              <w:t>.</w:t>
            </w:r>
          </w:p>
        </w:tc>
      </w:tr>
      <w:tr w:rsidR="00552355" w:rsidRPr="003C4410" w14:paraId="2E363C2B" w14:textId="77777777" w:rsidTr="001F33A8">
        <w:trPr>
          <w:cantSplit/>
          <w:trHeight w:val="98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B8F" w14:textId="6C97CB1C" w:rsidR="00552355" w:rsidRPr="003C4410" w:rsidRDefault="000F6B73" w:rsidP="00CB43BA">
            <w:pPr>
              <w:keepNext/>
              <w:jc w:val="both"/>
              <w:rPr>
                <w:b/>
                <w:iCs/>
              </w:rPr>
            </w:pPr>
            <w:r w:rsidRPr="003C4410">
              <w:rPr>
                <w:b/>
                <w:bCs/>
                <w:i/>
                <w:iCs/>
              </w:rPr>
              <w:t xml:space="preserve">Servicios de radiocomunicaciones en </w:t>
            </w:r>
            <w:r w:rsidR="005B31F6" w:rsidRPr="003C4410">
              <w:rPr>
                <w:b/>
                <w:bCs/>
                <w:i/>
                <w:iCs/>
              </w:rPr>
              <w:t>cuestión</w:t>
            </w:r>
            <w:r w:rsidR="005B31F6" w:rsidRPr="003C4410">
              <w:rPr>
                <w:b/>
                <w:iCs/>
              </w:rPr>
              <w:t>:</w:t>
            </w:r>
          </w:p>
          <w:p w14:paraId="697E52AA" w14:textId="4119449E" w:rsidR="00552355" w:rsidRPr="003C4410" w:rsidRDefault="00552355" w:rsidP="007E340D">
            <w:pPr>
              <w:keepNext/>
            </w:pPr>
            <w:r w:rsidRPr="003C4410">
              <w:t>S</w:t>
            </w:r>
            <w:r w:rsidR="000F6B73" w:rsidRPr="003C4410">
              <w:t>M</w:t>
            </w:r>
            <w:r w:rsidRPr="003C4410">
              <w:t>S, SO</w:t>
            </w:r>
            <w:r w:rsidR="00A757B9" w:rsidRPr="003C4410">
              <w:t>E</w:t>
            </w:r>
            <w:r w:rsidRPr="003C4410">
              <w:t>, S</w:t>
            </w:r>
            <w:r w:rsidR="00A757B9" w:rsidRPr="003C4410">
              <w:t>F</w:t>
            </w:r>
            <w:r w:rsidRPr="003C4410">
              <w:t>, S</w:t>
            </w:r>
            <w:r w:rsidR="00A757B9" w:rsidRPr="003C4410">
              <w:t>M</w:t>
            </w:r>
            <w:r w:rsidRPr="003C4410">
              <w:t xml:space="preserve">, </w:t>
            </w:r>
            <w:r w:rsidR="00A757B9" w:rsidRPr="003C4410">
              <w:t>SAR</w:t>
            </w:r>
            <w:r w:rsidRPr="003C4410">
              <w:t>, S</w:t>
            </w:r>
            <w:r w:rsidR="00A757B9" w:rsidRPr="003C4410">
              <w:t>IE</w:t>
            </w:r>
            <w:r w:rsidRPr="003C4410">
              <w:t xml:space="preserve"> (</w:t>
            </w:r>
            <w:r w:rsidR="00A757B9" w:rsidRPr="003C4410">
              <w:t>pasivo</w:t>
            </w:r>
            <w:r w:rsidRPr="003C4410">
              <w:t>), MetAids, MetSat (</w:t>
            </w:r>
            <w:r w:rsidR="00A757B9" w:rsidRPr="003C4410">
              <w:t>espacio-Tierra</w:t>
            </w:r>
            <w:r w:rsidRPr="003C4410">
              <w:t>)</w:t>
            </w:r>
          </w:p>
        </w:tc>
      </w:tr>
      <w:tr w:rsidR="00552355" w:rsidRPr="003C4410" w14:paraId="08652608" w14:textId="77777777" w:rsidTr="005B31F6">
        <w:trPr>
          <w:cantSplit/>
          <w:trHeight w:val="233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37C" w14:textId="5DE67C9A" w:rsidR="00552355" w:rsidRPr="003C4410" w:rsidRDefault="00A757B9" w:rsidP="00CB43BA">
            <w:pPr>
              <w:keepNext/>
              <w:jc w:val="both"/>
              <w:rPr>
                <w:b/>
                <w:iCs/>
              </w:rPr>
            </w:pPr>
            <w:r w:rsidRPr="003C4410">
              <w:rPr>
                <w:b/>
                <w:bCs/>
                <w:i/>
              </w:rPr>
              <w:t xml:space="preserve">Indicación de posibles </w:t>
            </w:r>
            <w:r w:rsidR="005B31F6" w:rsidRPr="003C4410">
              <w:rPr>
                <w:b/>
                <w:bCs/>
                <w:i/>
              </w:rPr>
              <w:t>dificultades</w:t>
            </w:r>
            <w:r w:rsidR="005B31F6" w:rsidRPr="003C4410">
              <w:rPr>
                <w:b/>
                <w:iCs/>
              </w:rPr>
              <w:t>:</w:t>
            </w:r>
          </w:p>
          <w:p w14:paraId="16C71880" w14:textId="63C3303E" w:rsidR="00A757B9" w:rsidRPr="003C4410" w:rsidRDefault="00A757B9" w:rsidP="007E340D">
            <w:pPr>
              <w:keepNext/>
            </w:pPr>
            <w:r w:rsidRPr="003C4410">
              <w:t xml:space="preserve">Algunas partes de estas bandas se utilizan en los servicios terrenales y </w:t>
            </w:r>
            <w:r w:rsidR="00F93255" w:rsidRPr="003C4410">
              <w:t xml:space="preserve">en </w:t>
            </w:r>
            <w:r w:rsidRPr="003C4410">
              <w:t>los servi</w:t>
            </w:r>
            <w:r w:rsidR="00F93255" w:rsidRPr="003C4410">
              <w:t>cios de radioastronomía. La compartición entre dichos servicios y los vehículos espaciales LEO suele ser más favorable que con las estaciones terrenas móviles (terrestre, marítimas o aeronáuticas) por lo que no cabe esperar que esto plantee un problema importante.</w:t>
            </w:r>
          </w:p>
          <w:p w14:paraId="57162A64" w14:textId="1B3DE015" w:rsidR="00552355" w:rsidRPr="003C4410" w:rsidRDefault="00F93255" w:rsidP="007E340D">
            <w:pPr>
              <w:keepNext/>
            </w:pPr>
            <w:r w:rsidRPr="003C4410">
              <w:t>Hay que estudiar la compartición con los servicios existentes, en particular con las aplicaciones del SMS (espacio-Tierra y Tierra-espacio).</w:t>
            </w:r>
          </w:p>
        </w:tc>
      </w:tr>
      <w:tr w:rsidR="00552355" w:rsidRPr="003C4410" w14:paraId="4C9F41F4" w14:textId="77777777" w:rsidTr="001F33A8">
        <w:trPr>
          <w:cantSplit/>
          <w:trHeight w:val="1088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35F" w14:textId="6B58DAAA" w:rsidR="00552355" w:rsidRPr="003C4410" w:rsidRDefault="00F93255" w:rsidP="00CB43BA">
            <w:pPr>
              <w:keepNext/>
              <w:jc w:val="both"/>
              <w:rPr>
                <w:b/>
                <w:iCs/>
              </w:rPr>
            </w:pPr>
            <w:r w:rsidRPr="003C4410">
              <w:rPr>
                <w:b/>
                <w:bCs/>
                <w:i/>
              </w:rPr>
              <w:t xml:space="preserve">Estudios previos o en curso sobre el </w:t>
            </w:r>
            <w:r w:rsidR="005B31F6" w:rsidRPr="003C4410">
              <w:rPr>
                <w:b/>
                <w:bCs/>
                <w:i/>
              </w:rPr>
              <w:t>tema</w:t>
            </w:r>
            <w:r w:rsidR="005B31F6" w:rsidRPr="003C4410">
              <w:rPr>
                <w:b/>
                <w:iCs/>
              </w:rPr>
              <w:t>:</w:t>
            </w:r>
            <w:r w:rsidR="00552355" w:rsidRPr="003C4410">
              <w:rPr>
                <w:b/>
                <w:iCs/>
              </w:rPr>
              <w:t xml:space="preserve"> </w:t>
            </w:r>
          </w:p>
          <w:p w14:paraId="2003CB69" w14:textId="6E46FBE1" w:rsidR="00552355" w:rsidRPr="003C4410" w:rsidRDefault="00F93255" w:rsidP="007E340D">
            <w:pPr>
              <w:keepNext/>
              <w:rPr>
                <w:bCs/>
                <w:iCs/>
              </w:rPr>
            </w:pPr>
            <w:r w:rsidRPr="003C4410">
              <w:t>El GT</w:t>
            </w:r>
            <w:r w:rsidR="007E340D" w:rsidRPr="003C4410">
              <w:t> </w:t>
            </w:r>
            <w:r w:rsidRPr="003C4410">
              <w:t>4C ha elaborado un anteproyecto de nuevo Informe UIT-R para describir esta aplicación.</w:t>
            </w:r>
          </w:p>
        </w:tc>
      </w:tr>
      <w:tr w:rsidR="00552355" w:rsidRPr="003C4410" w14:paraId="39185011" w14:textId="77777777" w:rsidTr="001F33A8">
        <w:trPr>
          <w:cantSplit/>
          <w:trHeight w:val="11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A12" w14:textId="4AC99AE0" w:rsidR="00552355" w:rsidRPr="003C4410" w:rsidRDefault="00F93255" w:rsidP="00CB43BA">
            <w:pPr>
              <w:keepNext/>
              <w:jc w:val="both"/>
              <w:rPr>
                <w:b/>
                <w:iCs/>
                <w:color w:val="000000"/>
              </w:rPr>
            </w:pPr>
            <w:r w:rsidRPr="003C4410">
              <w:rPr>
                <w:b/>
                <w:bCs/>
                <w:i/>
                <w:iCs/>
              </w:rPr>
              <w:t>Estudios que han de efectuarse a cargo de</w:t>
            </w:r>
            <w:r w:rsidR="00552355" w:rsidRPr="003C4410">
              <w:rPr>
                <w:b/>
                <w:iCs/>
                <w:color w:val="000000"/>
              </w:rPr>
              <w:t xml:space="preserve">: </w:t>
            </w:r>
          </w:p>
          <w:p w14:paraId="0AD34282" w14:textId="4353629B" w:rsidR="00552355" w:rsidRPr="003C4410" w:rsidRDefault="00F93255" w:rsidP="007E340D">
            <w:pPr>
              <w:keepNext/>
            </w:pPr>
            <w:r w:rsidRPr="003C4410">
              <w:t>Las Administraciones y los Miembros de Sector del UIT-R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104" w14:textId="33476B9A" w:rsidR="00552355" w:rsidRPr="003C4410" w:rsidRDefault="00F93255" w:rsidP="00CB43BA">
            <w:pPr>
              <w:keepNext/>
              <w:jc w:val="both"/>
              <w:rPr>
                <w:b/>
                <w:iCs/>
                <w:color w:val="000000"/>
              </w:rPr>
            </w:pPr>
            <w:r w:rsidRPr="003C4410">
              <w:rPr>
                <w:b/>
                <w:bCs/>
                <w:i/>
              </w:rPr>
              <w:t>con participación de</w:t>
            </w:r>
            <w:r w:rsidR="00552355" w:rsidRPr="003C4410">
              <w:rPr>
                <w:b/>
                <w:iCs/>
                <w:color w:val="000000"/>
              </w:rPr>
              <w:t xml:space="preserve">: </w:t>
            </w:r>
          </w:p>
          <w:p w14:paraId="738464B4" w14:textId="0F8783DD" w:rsidR="00552355" w:rsidRPr="003C4410" w:rsidRDefault="00F93255" w:rsidP="007E340D">
            <w:pPr>
              <w:keepNext/>
              <w:rPr>
                <w:color w:val="000000"/>
              </w:rPr>
            </w:pPr>
            <w:r w:rsidRPr="003C4410">
              <w:rPr>
                <w:color w:val="000000"/>
              </w:rPr>
              <w:t>Operadores de satélites</w:t>
            </w:r>
            <w:r w:rsidR="00552355" w:rsidRPr="003C4410">
              <w:rPr>
                <w:color w:val="000000"/>
              </w:rPr>
              <w:t xml:space="preserve">, </w:t>
            </w:r>
            <w:r w:rsidRPr="003C4410">
              <w:rPr>
                <w:color w:val="000000"/>
              </w:rPr>
              <w:t>la OACI</w:t>
            </w:r>
            <w:r w:rsidR="00552355" w:rsidRPr="003C4410">
              <w:rPr>
                <w:color w:val="000000"/>
              </w:rPr>
              <w:t xml:space="preserve">, </w:t>
            </w:r>
            <w:r w:rsidRPr="003C4410">
              <w:rPr>
                <w:color w:val="000000"/>
              </w:rPr>
              <w:t>la OMI</w:t>
            </w:r>
          </w:p>
        </w:tc>
      </w:tr>
      <w:tr w:rsidR="00552355" w:rsidRPr="003C4410" w14:paraId="7163D668" w14:textId="77777777" w:rsidTr="001F33A8">
        <w:trPr>
          <w:cantSplit/>
          <w:trHeight w:val="82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D9F" w14:textId="55F7BFD2" w:rsidR="00552355" w:rsidRPr="003C4410" w:rsidRDefault="00F93255" w:rsidP="00CB43BA">
            <w:pPr>
              <w:keepNext/>
              <w:jc w:val="both"/>
              <w:rPr>
                <w:b/>
                <w:iCs/>
                <w:color w:val="000000"/>
              </w:rPr>
            </w:pPr>
            <w:r w:rsidRPr="003C4410">
              <w:rPr>
                <w:b/>
                <w:bCs/>
                <w:i/>
              </w:rPr>
              <w:t>Comisiones de Estudio del UIT-R interesadas</w:t>
            </w:r>
            <w:r w:rsidR="00552355" w:rsidRPr="003C4410">
              <w:rPr>
                <w:b/>
                <w:iCs/>
                <w:color w:val="000000"/>
              </w:rPr>
              <w:t xml:space="preserve">: </w:t>
            </w:r>
          </w:p>
          <w:p w14:paraId="2EAE579C" w14:textId="40C7F0B4" w:rsidR="00552355" w:rsidRPr="003C4410" w:rsidRDefault="00F93255" w:rsidP="007E340D">
            <w:pPr>
              <w:keepNext/>
            </w:pPr>
            <w:r w:rsidRPr="003C4410">
              <w:t>La Comisión de Estudio</w:t>
            </w:r>
            <w:r w:rsidR="00552355" w:rsidRPr="003C4410">
              <w:t xml:space="preserve"> 4</w:t>
            </w:r>
          </w:p>
        </w:tc>
      </w:tr>
      <w:tr w:rsidR="00552355" w:rsidRPr="003C4410" w14:paraId="52814155" w14:textId="77777777" w:rsidTr="001F33A8">
        <w:trPr>
          <w:cantSplit/>
          <w:trHeight w:val="1270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2B6" w14:textId="77BD3FE1" w:rsidR="00552355" w:rsidRPr="003C4410" w:rsidRDefault="003F745B" w:rsidP="007E340D">
            <w:pPr>
              <w:keepNext/>
              <w:keepLines/>
              <w:rPr>
                <w:b/>
                <w:i/>
              </w:rPr>
            </w:pPr>
            <w:r w:rsidRPr="003C4410">
              <w:rPr>
                <w:b/>
                <w:bCs/>
                <w:i/>
                <w:iCs/>
              </w:rPr>
              <w:t>Consecuencias en los recursos de la UIT, incluidas las implicaciones financieras (véase el CV126)</w:t>
            </w:r>
            <w:r w:rsidR="00552355" w:rsidRPr="003C4410">
              <w:rPr>
                <w:b/>
                <w:iCs/>
              </w:rPr>
              <w:t>:</w:t>
            </w:r>
          </w:p>
          <w:p w14:paraId="18E2DE92" w14:textId="606CC252" w:rsidR="00552355" w:rsidRPr="003C4410" w:rsidRDefault="003F745B" w:rsidP="007E340D">
            <w:pPr>
              <w:keepNext/>
              <w:keepLines/>
              <w:spacing w:before="60"/>
            </w:pPr>
            <w:r w:rsidRPr="003C4410">
              <w:t>Este punto del orden del día se estudiará en el marco de los procedimientos normales del UIT-R y de su presupuesto previsto.</w:t>
            </w:r>
          </w:p>
        </w:tc>
      </w:tr>
      <w:tr w:rsidR="00552355" w:rsidRPr="003C4410" w14:paraId="480CBF1E" w14:textId="77777777" w:rsidTr="001F33A8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FDB" w14:textId="00A25AFB" w:rsidR="00552355" w:rsidRPr="003C4410" w:rsidRDefault="003F745B" w:rsidP="007E340D">
            <w:pPr>
              <w:keepNext/>
              <w:rPr>
                <w:b/>
                <w:iCs/>
              </w:rPr>
            </w:pPr>
            <w:r w:rsidRPr="003C4410">
              <w:rPr>
                <w:b/>
                <w:bCs/>
                <w:i/>
                <w:iCs/>
              </w:rPr>
              <w:lastRenderedPageBreak/>
              <w:t>Propuesta regional común</w:t>
            </w:r>
            <w:r w:rsidR="00552355" w:rsidRPr="003C4410">
              <w:rPr>
                <w:b/>
                <w:iCs/>
              </w:rPr>
              <w:t xml:space="preserve">: </w:t>
            </w:r>
            <w:r w:rsidR="00552355" w:rsidRPr="003C4410">
              <w:rPr>
                <w:bCs/>
                <w:iCs/>
              </w:rPr>
              <w:t>No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690" w14:textId="0D44DF1D" w:rsidR="00552355" w:rsidRPr="003C4410" w:rsidRDefault="003F745B" w:rsidP="007E340D">
            <w:pPr>
              <w:keepNext/>
              <w:rPr>
                <w:b/>
                <w:iCs/>
              </w:rPr>
            </w:pPr>
            <w:r w:rsidRPr="003C4410">
              <w:rPr>
                <w:b/>
                <w:bCs/>
                <w:i/>
                <w:iCs/>
              </w:rPr>
              <w:t>Propuesta presentada por más de un país</w:t>
            </w:r>
            <w:r w:rsidR="00552355" w:rsidRPr="003C4410">
              <w:rPr>
                <w:b/>
                <w:iCs/>
              </w:rPr>
              <w:t xml:space="preserve">: </w:t>
            </w:r>
            <w:r w:rsidR="00552355" w:rsidRPr="003C4410">
              <w:rPr>
                <w:bCs/>
                <w:iCs/>
              </w:rPr>
              <w:t>No</w:t>
            </w:r>
          </w:p>
          <w:p w14:paraId="7F5702A0" w14:textId="1FE1938D" w:rsidR="00552355" w:rsidRPr="003C4410" w:rsidRDefault="003F745B" w:rsidP="007E340D">
            <w:pPr>
              <w:keepNext/>
              <w:rPr>
                <w:b/>
                <w:i/>
              </w:rPr>
            </w:pPr>
            <w:r w:rsidRPr="003C4410">
              <w:rPr>
                <w:b/>
                <w:i/>
              </w:rPr>
              <w:t>Número de países</w:t>
            </w:r>
            <w:r w:rsidR="00552355" w:rsidRPr="003C4410">
              <w:rPr>
                <w:b/>
                <w:iCs/>
              </w:rPr>
              <w:t>:</w:t>
            </w:r>
          </w:p>
        </w:tc>
      </w:tr>
      <w:tr w:rsidR="00552355" w:rsidRPr="003C4410" w14:paraId="7F3A96F3" w14:textId="77777777" w:rsidTr="001F33A8">
        <w:trPr>
          <w:cantSplit/>
          <w:trHeight w:val="610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9A4" w14:textId="13776893" w:rsidR="00552355" w:rsidRPr="003C4410" w:rsidRDefault="003F745B" w:rsidP="00CB43BA">
            <w:pPr>
              <w:jc w:val="both"/>
              <w:rPr>
                <w:b/>
                <w:i/>
              </w:rPr>
            </w:pPr>
            <w:r w:rsidRPr="003C4410">
              <w:rPr>
                <w:b/>
                <w:i/>
              </w:rPr>
              <w:t>Observaciones</w:t>
            </w:r>
          </w:p>
        </w:tc>
      </w:tr>
    </w:tbl>
    <w:p w14:paraId="6BF69F92" w14:textId="77777777" w:rsidR="00CB43BA" w:rsidRPr="003C4410" w:rsidRDefault="00CB43BA">
      <w:pPr>
        <w:jc w:val="center"/>
      </w:pPr>
      <w:r w:rsidRPr="003C4410">
        <w:t>______________</w:t>
      </w:r>
    </w:p>
    <w:sectPr w:rsidR="00CB43BA" w:rsidRPr="003C441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AF40" w14:textId="77777777" w:rsidR="005244B2" w:rsidRDefault="005244B2">
      <w:r>
        <w:separator/>
      </w:r>
    </w:p>
  </w:endnote>
  <w:endnote w:type="continuationSeparator" w:id="0">
    <w:p w14:paraId="49E3B207" w14:textId="77777777" w:rsidR="005244B2" w:rsidRDefault="005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FF5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529CA" w14:textId="7F5D8F6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753F3">
      <w:rPr>
        <w:noProof/>
        <w:lang w:val="en-US"/>
      </w:rPr>
      <w:t>P:\TRAD\S\ITU-R\CONF-R\CMR19\000\050ADD24S(462029)LIN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54BF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53F3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008" w14:textId="65C6B029" w:rsidR="0077084A" w:rsidRDefault="00CB43B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P:\ESP\ITU-R\CONF-R\CMR19\000\050ADD24S.docx</w:t>
    </w:r>
    <w:r>
      <w:fldChar w:fldCharType="end"/>
    </w:r>
    <w:r>
      <w:t xml:space="preserve"> </w:t>
    </w:r>
    <w:r>
      <w:rPr>
        <w:lang w:val="en-US"/>
      </w:rPr>
      <w:t>(462029)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F02D" w14:textId="2C76EB2D" w:rsidR="0077084A" w:rsidRDefault="00CB43B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P:\ESP\ITU-R\CONF-R\CMR19\000\050ADD24S.docx</w:t>
    </w:r>
    <w:r>
      <w:fldChar w:fldCharType="end"/>
    </w:r>
    <w:r>
      <w:t xml:space="preserve"> </w:t>
    </w:r>
    <w:r>
      <w:rPr>
        <w:lang w:val="en-US"/>
      </w:rPr>
      <w:t>(462029)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341B" w14:textId="77777777" w:rsidR="005244B2" w:rsidRDefault="005244B2">
      <w:r>
        <w:rPr>
          <w:b/>
        </w:rPr>
        <w:t>_______________</w:t>
      </w:r>
    </w:p>
  </w:footnote>
  <w:footnote w:type="continuationSeparator" w:id="0">
    <w:p w14:paraId="6B056936" w14:textId="77777777" w:rsidR="005244B2" w:rsidRDefault="005244B2">
      <w:r>
        <w:continuationSeparator/>
      </w:r>
    </w:p>
  </w:footnote>
  <w:footnote w:id="1">
    <w:p w14:paraId="3C1C13DE" w14:textId="4791F5B0" w:rsidR="000E17CC" w:rsidRPr="000A42D4" w:rsidRDefault="000E17CC" w:rsidP="000E17CC">
      <w:pPr>
        <w:pStyle w:val="FootnoteText"/>
        <w:rPr>
          <w:noProof/>
          <w:lang w:val="es-ES"/>
        </w:rPr>
      </w:pPr>
      <w:r w:rsidRPr="000A42D4">
        <w:rPr>
          <w:rStyle w:val="FootnoteReference"/>
          <w:noProof/>
          <w:lang w:val="es-ES"/>
        </w:rPr>
        <w:t>*</w:t>
      </w:r>
      <w:r w:rsidRPr="000A42D4">
        <w:rPr>
          <w:noProof/>
          <w:lang w:val="es-ES"/>
        </w:rPr>
        <w:tab/>
      </w:r>
      <w:r w:rsidR="000A42D4" w:rsidRPr="000A42D4">
        <w:rPr>
          <w:noProof/>
          <w:lang w:val="es-ES"/>
        </w:rPr>
        <w:t>Nota de la Secretaría</w:t>
      </w:r>
      <w:r w:rsidRPr="000A42D4">
        <w:rPr>
          <w:noProof/>
          <w:lang w:val="es-ES"/>
        </w:rPr>
        <w:t xml:space="preserve">: </w:t>
      </w:r>
      <w:r w:rsidR="000A42D4" w:rsidRPr="000A42D4">
        <w:rPr>
          <w:noProof/>
          <w:lang w:val="es-ES"/>
        </w:rPr>
        <w:t>misma sección</w:t>
      </w:r>
      <w:r w:rsidRPr="000A42D4">
        <w:rPr>
          <w:noProof/>
          <w:lang w:val="es-ES"/>
        </w:rPr>
        <w:t xml:space="preserve"> 3.1.3.2 </w:t>
      </w:r>
      <w:r w:rsidR="000A42D4" w:rsidRPr="000A42D4">
        <w:rPr>
          <w:noProof/>
          <w:lang w:val="es-ES"/>
        </w:rPr>
        <w:t>en el Documento</w:t>
      </w:r>
      <w:r w:rsidRPr="000A42D4">
        <w:rPr>
          <w:noProof/>
          <w:lang w:val="es-ES"/>
        </w:rPr>
        <w:t xml:space="preserve"> 4(Add.2)</w:t>
      </w:r>
      <w:r w:rsidR="000A42D4" w:rsidRPr="000A42D4">
        <w:rPr>
          <w:noProof/>
          <w:lang w:val="es-ES"/>
        </w:rPr>
        <w:t xml:space="preserve"> de la CMR-19.</w:t>
      </w:r>
    </w:p>
  </w:footnote>
  <w:footnote w:id="2">
    <w:p w14:paraId="1C3302A5" w14:textId="6A93AA28" w:rsidR="000E17CC" w:rsidRPr="000A42D4" w:rsidRDefault="000E17CC" w:rsidP="000E17CC">
      <w:pPr>
        <w:pStyle w:val="FootnoteText"/>
        <w:rPr>
          <w:noProof/>
          <w:lang w:val="es-ES"/>
        </w:rPr>
      </w:pPr>
      <w:r w:rsidRPr="000A42D4">
        <w:rPr>
          <w:rStyle w:val="FootnoteReference"/>
          <w:noProof/>
          <w:lang w:val="es-ES"/>
        </w:rPr>
        <w:t>**</w:t>
      </w:r>
      <w:r w:rsidRPr="000A42D4">
        <w:rPr>
          <w:noProof/>
          <w:lang w:val="es-ES"/>
        </w:rPr>
        <w:tab/>
      </w:r>
      <w:r w:rsidR="000A42D4" w:rsidRPr="000A42D4">
        <w:rPr>
          <w:noProof/>
          <w:lang w:val="es-ES"/>
        </w:rPr>
        <w:t>Nota de la Secretaría</w:t>
      </w:r>
      <w:r w:rsidRPr="000A42D4">
        <w:rPr>
          <w:noProof/>
          <w:lang w:val="es-ES"/>
        </w:rPr>
        <w:t xml:space="preserve">: </w:t>
      </w:r>
      <w:r w:rsidR="000A42D4">
        <w:rPr>
          <w:noProof/>
          <w:lang w:val="es-ES"/>
        </w:rPr>
        <w:t xml:space="preserve">la última versión de este documento figura en el Anexo 6 al </w:t>
      </w:r>
      <w:r w:rsidRPr="000A42D4">
        <w:rPr>
          <w:noProof/>
          <w:lang w:val="es-ES"/>
        </w:rPr>
        <w:t>Doc. 4C/472.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A08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917B1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50(Add.24)-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74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6A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61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D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209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04D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3AD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2C4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E8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B29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10E4A"/>
    <w:rsid w:val="0002785D"/>
    <w:rsid w:val="00062B7C"/>
    <w:rsid w:val="000725F0"/>
    <w:rsid w:val="00087AE8"/>
    <w:rsid w:val="000958C2"/>
    <w:rsid w:val="000A42D4"/>
    <w:rsid w:val="000A5B9A"/>
    <w:rsid w:val="000A7ABF"/>
    <w:rsid w:val="000E17CC"/>
    <w:rsid w:val="000E5BF9"/>
    <w:rsid w:val="000F0E6D"/>
    <w:rsid w:val="000F6B73"/>
    <w:rsid w:val="00100E7B"/>
    <w:rsid w:val="001157FB"/>
    <w:rsid w:val="00121170"/>
    <w:rsid w:val="00123CC5"/>
    <w:rsid w:val="00133FA2"/>
    <w:rsid w:val="0014405F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468D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C4410"/>
    <w:rsid w:val="003D0AA3"/>
    <w:rsid w:val="003E2086"/>
    <w:rsid w:val="003F745B"/>
    <w:rsid w:val="003F7F66"/>
    <w:rsid w:val="00440B3A"/>
    <w:rsid w:val="0044375A"/>
    <w:rsid w:val="0045384C"/>
    <w:rsid w:val="00454553"/>
    <w:rsid w:val="0045714E"/>
    <w:rsid w:val="0047138A"/>
    <w:rsid w:val="00472A86"/>
    <w:rsid w:val="004B124A"/>
    <w:rsid w:val="004B3095"/>
    <w:rsid w:val="004B5989"/>
    <w:rsid w:val="004D2C7C"/>
    <w:rsid w:val="004E04B5"/>
    <w:rsid w:val="004E6B73"/>
    <w:rsid w:val="005133B5"/>
    <w:rsid w:val="00514C5D"/>
    <w:rsid w:val="00524392"/>
    <w:rsid w:val="005244B2"/>
    <w:rsid w:val="00532097"/>
    <w:rsid w:val="005468E4"/>
    <w:rsid w:val="00552355"/>
    <w:rsid w:val="0058350F"/>
    <w:rsid w:val="00583C7E"/>
    <w:rsid w:val="0059098E"/>
    <w:rsid w:val="00594F43"/>
    <w:rsid w:val="005B0815"/>
    <w:rsid w:val="005B31F6"/>
    <w:rsid w:val="005C1DAC"/>
    <w:rsid w:val="005D46FB"/>
    <w:rsid w:val="005F2605"/>
    <w:rsid w:val="005F3B0E"/>
    <w:rsid w:val="005F3DB8"/>
    <w:rsid w:val="005F559C"/>
    <w:rsid w:val="00602857"/>
    <w:rsid w:val="006124AD"/>
    <w:rsid w:val="00624009"/>
    <w:rsid w:val="006554BF"/>
    <w:rsid w:val="006629C2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3562F"/>
    <w:rsid w:val="007424E8"/>
    <w:rsid w:val="0074579D"/>
    <w:rsid w:val="00765578"/>
    <w:rsid w:val="00766333"/>
    <w:rsid w:val="0077084A"/>
    <w:rsid w:val="007952C7"/>
    <w:rsid w:val="007B4A62"/>
    <w:rsid w:val="007C0495"/>
    <w:rsid w:val="007C0B95"/>
    <w:rsid w:val="007C2317"/>
    <w:rsid w:val="007D330A"/>
    <w:rsid w:val="007E340D"/>
    <w:rsid w:val="00866AE6"/>
    <w:rsid w:val="008750A8"/>
    <w:rsid w:val="008A672B"/>
    <w:rsid w:val="008C67EE"/>
    <w:rsid w:val="008D3316"/>
    <w:rsid w:val="008E18CD"/>
    <w:rsid w:val="008E5AF2"/>
    <w:rsid w:val="0090121B"/>
    <w:rsid w:val="009144C9"/>
    <w:rsid w:val="0094091F"/>
    <w:rsid w:val="00947DDC"/>
    <w:rsid w:val="00957B04"/>
    <w:rsid w:val="00962171"/>
    <w:rsid w:val="00973754"/>
    <w:rsid w:val="009C0BED"/>
    <w:rsid w:val="009D7703"/>
    <w:rsid w:val="009E11EC"/>
    <w:rsid w:val="00A021CC"/>
    <w:rsid w:val="00A118DB"/>
    <w:rsid w:val="00A4450C"/>
    <w:rsid w:val="00A757B9"/>
    <w:rsid w:val="00A91B37"/>
    <w:rsid w:val="00AA5E6C"/>
    <w:rsid w:val="00AE5677"/>
    <w:rsid w:val="00AE658F"/>
    <w:rsid w:val="00AF2F78"/>
    <w:rsid w:val="00B239FA"/>
    <w:rsid w:val="00B372AB"/>
    <w:rsid w:val="00B47331"/>
    <w:rsid w:val="00B505A2"/>
    <w:rsid w:val="00B510AA"/>
    <w:rsid w:val="00B51CCA"/>
    <w:rsid w:val="00B52D55"/>
    <w:rsid w:val="00B54BFA"/>
    <w:rsid w:val="00B8288C"/>
    <w:rsid w:val="00B86034"/>
    <w:rsid w:val="00B92D19"/>
    <w:rsid w:val="00B9554A"/>
    <w:rsid w:val="00BA351E"/>
    <w:rsid w:val="00BE2E80"/>
    <w:rsid w:val="00BE5EDD"/>
    <w:rsid w:val="00BE6A1F"/>
    <w:rsid w:val="00C126C4"/>
    <w:rsid w:val="00C44E9E"/>
    <w:rsid w:val="00C63EB5"/>
    <w:rsid w:val="00C87DA7"/>
    <w:rsid w:val="00CB43BA"/>
    <w:rsid w:val="00CB7F8E"/>
    <w:rsid w:val="00CC01E0"/>
    <w:rsid w:val="00CD5FEE"/>
    <w:rsid w:val="00CE60D2"/>
    <w:rsid w:val="00CE7431"/>
    <w:rsid w:val="00D00CA8"/>
    <w:rsid w:val="00D0288A"/>
    <w:rsid w:val="00D30F31"/>
    <w:rsid w:val="00D34546"/>
    <w:rsid w:val="00D3476E"/>
    <w:rsid w:val="00D60304"/>
    <w:rsid w:val="00D72A5D"/>
    <w:rsid w:val="00D753F3"/>
    <w:rsid w:val="00D87155"/>
    <w:rsid w:val="00DA71A3"/>
    <w:rsid w:val="00DC629B"/>
    <w:rsid w:val="00DC6DAE"/>
    <w:rsid w:val="00DE1C31"/>
    <w:rsid w:val="00E05BFF"/>
    <w:rsid w:val="00E262F1"/>
    <w:rsid w:val="00E3176A"/>
    <w:rsid w:val="00E36CE4"/>
    <w:rsid w:val="00E54754"/>
    <w:rsid w:val="00E56BD3"/>
    <w:rsid w:val="00E71D14"/>
    <w:rsid w:val="00EA72E2"/>
    <w:rsid w:val="00EA77F0"/>
    <w:rsid w:val="00F04D11"/>
    <w:rsid w:val="00F32316"/>
    <w:rsid w:val="00F66597"/>
    <w:rsid w:val="00F675D0"/>
    <w:rsid w:val="00F8150C"/>
    <w:rsid w:val="00F93255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50A616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E17CC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0E17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7CC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BA351E"/>
    <w:rPr>
      <w:rFonts w:ascii="Times New Roman" w:hAnsi="Times New Roman"/>
      <w:i/>
      <w:sz w:val="24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A351E"/>
    <w:rPr>
      <w:rFonts w:ascii="Times New Roman" w:hAnsi="Times New Roman"/>
      <w:lang w:val="es-ES_tradnl" w:eastAsia="en-US"/>
    </w:rPr>
  </w:style>
  <w:style w:type="paragraph" w:customStyle="1" w:styleId="Default">
    <w:name w:val="Default"/>
    <w:rsid w:val="00552355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character" w:customStyle="1" w:styleId="BRNormal">
    <w:name w:val="BR_Normal"/>
    <w:basedOn w:val="DefaultParagraphFont"/>
    <w:uiPriority w:val="1"/>
    <w:qFormat/>
    <w:rsid w:val="00552355"/>
  </w:style>
  <w:style w:type="paragraph" w:styleId="BalloonText">
    <w:name w:val="Balloon Text"/>
    <w:basedOn w:val="Normal"/>
    <w:link w:val="BalloonTextChar"/>
    <w:semiHidden/>
    <w:unhideWhenUsed/>
    <w:rsid w:val="00D753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53F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R16-WRC19-C-0050!A24!MSW-S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FF78-1896-4856-8742-B1A97B345A2D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E1504C-2F62-4314-B075-EFC29314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1820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R16-WRC19-C-0050!A24!MSW-S</vt:lpstr>
    </vt:vector>
  </TitlesOfParts>
  <Manager>Secretaría General - Pool</Manager>
  <Company>Unión Internacional de Telecomunicaciones (UIT)</Company>
  <LinksUpToDate>false</LinksUpToDate>
  <CharactersWithSpaces>11664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R16-WRC19-C-0050!A24!MSW-S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25</cp:revision>
  <cp:lastPrinted>2019-10-14T12:21:00Z</cp:lastPrinted>
  <dcterms:created xsi:type="dcterms:W3CDTF">2019-10-14T14:12:00Z</dcterms:created>
  <dcterms:modified xsi:type="dcterms:W3CDTF">2019-10-15T09:22:00Z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