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BE596A" w14:paraId="659BE7EF" w14:textId="77777777" w:rsidTr="002E5FC7">
        <w:trPr>
          <w:cantSplit/>
        </w:trPr>
        <w:tc>
          <w:tcPr>
            <w:tcW w:w="6911" w:type="dxa"/>
          </w:tcPr>
          <w:p w14:paraId="065A92EC" w14:textId="77777777" w:rsidR="00BB1D82" w:rsidRPr="00BE596A" w:rsidRDefault="00851625" w:rsidP="000510D1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BE596A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BE596A">
              <w:rPr>
                <w:rFonts w:ascii="Verdana" w:hAnsi="Verdana"/>
                <w:b/>
                <w:bCs/>
                <w:sz w:val="20"/>
              </w:rPr>
              <w:t>9</w:t>
            </w:r>
            <w:r w:rsidRPr="00BE596A">
              <w:rPr>
                <w:rFonts w:ascii="Verdana" w:hAnsi="Verdana"/>
                <w:b/>
                <w:bCs/>
                <w:sz w:val="20"/>
              </w:rPr>
              <w:t>)</w:t>
            </w:r>
            <w:r w:rsidRPr="00BE596A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BE596A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BE596A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BE596A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BE596A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BE596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BE596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BE596A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BE596A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BE596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BE596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BE596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BE596A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BE596A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5BC31224" w14:textId="77777777" w:rsidR="00BB1D82" w:rsidRPr="00BE596A" w:rsidRDefault="000A55AE" w:rsidP="000510D1">
            <w:pPr>
              <w:spacing w:before="0"/>
              <w:jc w:val="right"/>
            </w:pPr>
            <w:bookmarkStart w:id="0" w:name="ditulogo"/>
            <w:bookmarkEnd w:id="0"/>
            <w:r w:rsidRPr="00BE596A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72298076" wp14:editId="3D3214B2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BE596A" w14:paraId="7A4A7422" w14:textId="77777777" w:rsidTr="002E5FC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91DBB81" w14:textId="77777777" w:rsidR="00BB1D82" w:rsidRPr="00BE596A" w:rsidRDefault="00BB1D82" w:rsidP="000510D1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4AF0B1E" w14:textId="77777777" w:rsidR="00BB1D82" w:rsidRPr="00BE596A" w:rsidRDefault="00BB1D82" w:rsidP="000510D1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BE596A" w14:paraId="397E0ACB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5562E78" w14:textId="77777777" w:rsidR="00BB1D82" w:rsidRPr="00BE596A" w:rsidRDefault="00BB1D82" w:rsidP="000510D1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417DA6" w14:textId="77777777" w:rsidR="00BB1D82" w:rsidRPr="00BE596A" w:rsidRDefault="00BB1D82" w:rsidP="000510D1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BE596A" w14:paraId="04B6016D" w14:textId="77777777" w:rsidTr="00BB1D82">
        <w:trPr>
          <w:cantSplit/>
        </w:trPr>
        <w:tc>
          <w:tcPr>
            <w:tcW w:w="6911" w:type="dxa"/>
          </w:tcPr>
          <w:p w14:paraId="3370DE25" w14:textId="77777777" w:rsidR="00BB1D82" w:rsidRPr="00BE596A" w:rsidRDefault="006D4724" w:rsidP="000510D1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E596A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0C070776" w14:textId="77777777" w:rsidR="00BB1D82" w:rsidRPr="00BE596A" w:rsidRDefault="006D4724" w:rsidP="000510D1">
            <w:pPr>
              <w:spacing w:before="0"/>
              <w:rPr>
                <w:rFonts w:ascii="Verdana" w:hAnsi="Verdana"/>
                <w:sz w:val="20"/>
              </w:rPr>
            </w:pPr>
            <w:r w:rsidRPr="00BE596A">
              <w:rPr>
                <w:rFonts w:ascii="Verdana" w:hAnsi="Verdana"/>
                <w:b/>
                <w:sz w:val="20"/>
              </w:rPr>
              <w:t>Addendum 24 au</w:t>
            </w:r>
            <w:r w:rsidRPr="00BE596A">
              <w:rPr>
                <w:rFonts w:ascii="Verdana" w:hAnsi="Verdana"/>
                <w:b/>
                <w:sz w:val="20"/>
              </w:rPr>
              <w:br/>
              <w:t>Document 50</w:t>
            </w:r>
            <w:r w:rsidR="00BB1D82" w:rsidRPr="00BE596A">
              <w:rPr>
                <w:rFonts w:ascii="Verdana" w:hAnsi="Verdana"/>
                <w:b/>
                <w:sz w:val="20"/>
              </w:rPr>
              <w:t>-</w:t>
            </w:r>
            <w:r w:rsidRPr="00BE596A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BE596A" w14:paraId="429394A9" w14:textId="77777777" w:rsidTr="00BB1D82">
        <w:trPr>
          <w:cantSplit/>
        </w:trPr>
        <w:tc>
          <w:tcPr>
            <w:tcW w:w="6911" w:type="dxa"/>
          </w:tcPr>
          <w:p w14:paraId="556177FB" w14:textId="77777777" w:rsidR="00690C7B" w:rsidRPr="00BE596A" w:rsidRDefault="00690C7B" w:rsidP="000510D1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1744B9AB" w14:textId="77777777" w:rsidR="00690C7B" w:rsidRPr="00BE596A" w:rsidRDefault="00690C7B" w:rsidP="000510D1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E596A">
              <w:rPr>
                <w:rFonts w:ascii="Verdana" w:hAnsi="Verdana"/>
                <w:b/>
                <w:sz w:val="20"/>
              </w:rPr>
              <w:t>7 octobre 2019</w:t>
            </w:r>
          </w:p>
        </w:tc>
      </w:tr>
      <w:tr w:rsidR="00690C7B" w:rsidRPr="00BE596A" w14:paraId="3ADFDF3C" w14:textId="77777777" w:rsidTr="00BB1D82">
        <w:trPr>
          <w:cantSplit/>
        </w:trPr>
        <w:tc>
          <w:tcPr>
            <w:tcW w:w="6911" w:type="dxa"/>
          </w:tcPr>
          <w:p w14:paraId="32BAF26F" w14:textId="77777777" w:rsidR="00690C7B" w:rsidRPr="00BE596A" w:rsidRDefault="00690C7B" w:rsidP="000510D1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48F35A66" w14:textId="77777777" w:rsidR="00690C7B" w:rsidRPr="00BE596A" w:rsidRDefault="00690C7B" w:rsidP="000510D1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E596A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BE596A" w14:paraId="118FDA97" w14:textId="77777777" w:rsidTr="002E5FC7">
        <w:trPr>
          <w:cantSplit/>
        </w:trPr>
        <w:tc>
          <w:tcPr>
            <w:tcW w:w="10031" w:type="dxa"/>
            <w:gridSpan w:val="2"/>
          </w:tcPr>
          <w:p w14:paraId="3983D504" w14:textId="77777777" w:rsidR="00690C7B" w:rsidRPr="00BE596A" w:rsidRDefault="00690C7B" w:rsidP="000510D1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BE596A" w14:paraId="598D5993" w14:textId="77777777" w:rsidTr="002E5FC7">
        <w:trPr>
          <w:cantSplit/>
        </w:trPr>
        <w:tc>
          <w:tcPr>
            <w:tcW w:w="10031" w:type="dxa"/>
            <w:gridSpan w:val="2"/>
          </w:tcPr>
          <w:p w14:paraId="56C1880E" w14:textId="77777777" w:rsidR="00690C7B" w:rsidRPr="00BE596A" w:rsidRDefault="00690C7B" w:rsidP="000510D1">
            <w:pPr>
              <w:pStyle w:val="Source"/>
            </w:pPr>
            <w:bookmarkStart w:id="2" w:name="dsource" w:colFirst="0" w:colLast="0"/>
            <w:r w:rsidRPr="00BE596A">
              <w:t>Singapour (République de)</w:t>
            </w:r>
          </w:p>
        </w:tc>
      </w:tr>
      <w:tr w:rsidR="00690C7B" w:rsidRPr="00BE596A" w14:paraId="38D177ED" w14:textId="77777777" w:rsidTr="002E5FC7">
        <w:trPr>
          <w:cantSplit/>
        </w:trPr>
        <w:tc>
          <w:tcPr>
            <w:tcW w:w="10031" w:type="dxa"/>
            <w:gridSpan w:val="2"/>
          </w:tcPr>
          <w:p w14:paraId="1EB24A1A" w14:textId="77777777" w:rsidR="00690C7B" w:rsidRPr="00BE596A" w:rsidRDefault="00690C7B" w:rsidP="000510D1">
            <w:pPr>
              <w:pStyle w:val="Title1"/>
            </w:pPr>
            <w:bookmarkStart w:id="3" w:name="dtitle1" w:colFirst="0" w:colLast="0"/>
            <w:bookmarkEnd w:id="2"/>
            <w:r w:rsidRPr="00BE596A">
              <w:t>Propositions pour les travaux de la conférence</w:t>
            </w:r>
          </w:p>
        </w:tc>
      </w:tr>
      <w:tr w:rsidR="00690C7B" w:rsidRPr="00BE596A" w14:paraId="3121C08C" w14:textId="77777777" w:rsidTr="002E5FC7">
        <w:trPr>
          <w:cantSplit/>
        </w:trPr>
        <w:tc>
          <w:tcPr>
            <w:tcW w:w="10031" w:type="dxa"/>
            <w:gridSpan w:val="2"/>
          </w:tcPr>
          <w:p w14:paraId="56F28694" w14:textId="77777777" w:rsidR="00690C7B" w:rsidRPr="00BE596A" w:rsidRDefault="00690C7B" w:rsidP="000510D1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BE596A" w14:paraId="362CF69C" w14:textId="77777777" w:rsidTr="002E5FC7">
        <w:trPr>
          <w:cantSplit/>
        </w:trPr>
        <w:tc>
          <w:tcPr>
            <w:tcW w:w="10031" w:type="dxa"/>
            <w:gridSpan w:val="2"/>
          </w:tcPr>
          <w:p w14:paraId="76E47A19" w14:textId="77777777" w:rsidR="00690C7B" w:rsidRPr="00BE596A" w:rsidRDefault="00690C7B" w:rsidP="000510D1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BE596A">
              <w:rPr>
                <w:lang w:val="fr-FR"/>
              </w:rPr>
              <w:t>Point 10 de l'ordre du jour</w:t>
            </w:r>
          </w:p>
        </w:tc>
      </w:tr>
    </w:tbl>
    <w:bookmarkEnd w:id="5"/>
    <w:p w14:paraId="75FD9D4E" w14:textId="4E1F00DA" w:rsidR="002E5FC7" w:rsidRPr="00BE596A" w:rsidRDefault="00EE6FC2" w:rsidP="000510D1">
      <w:r w:rsidRPr="00BE596A">
        <w:t>10</w:t>
      </w:r>
      <w:r w:rsidRPr="00BE596A">
        <w:tab/>
        <w:t>recommander au Conseil des points à inscrire à l'ordre du jour de la CMR suivante et exposer ses vues sur l'ordre du jour préliminaire de la conférence ultérieure ainsi que sur des points éventuels à inscrire à l'ordre du jour de conférences futures, conformément à l'article 7 de la Convention</w:t>
      </w:r>
      <w:r w:rsidR="0035347D">
        <w:t>.</w:t>
      </w:r>
    </w:p>
    <w:p w14:paraId="68F84B08" w14:textId="16A02737" w:rsidR="00AF639A" w:rsidRPr="00BE596A" w:rsidRDefault="007A5D5D" w:rsidP="000510D1">
      <w:pPr>
        <w:pStyle w:val="Title4"/>
      </w:pPr>
      <w:r w:rsidRPr="00BE596A">
        <w:t>Proposition visant à</w:t>
      </w:r>
      <w:r w:rsidR="00AF639A" w:rsidRPr="00BE596A">
        <w:t xml:space="preserve"> </w:t>
      </w:r>
      <w:r w:rsidR="0070155D" w:rsidRPr="00BE596A">
        <w:t>envisager une attribution au service mobile par satellite</w:t>
      </w:r>
      <w:r w:rsidR="00AF639A" w:rsidRPr="00BE596A">
        <w:t xml:space="preserve"> (espace-espace) dans l</w:t>
      </w:r>
      <w:r w:rsidR="00EE6FC2" w:rsidRPr="00BE596A">
        <w:t>es</w:t>
      </w:r>
      <w:r w:rsidR="00AF639A" w:rsidRPr="00BE596A">
        <w:t xml:space="preserve"> bande</w:t>
      </w:r>
      <w:r w:rsidR="00EE6FC2" w:rsidRPr="00BE596A">
        <w:t>s</w:t>
      </w:r>
      <w:r w:rsidR="00AF639A" w:rsidRPr="00BE596A">
        <w:t xml:space="preserve"> de fréquences 1 518-1 559 MHz, 1</w:t>
      </w:r>
      <w:r w:rsidR="000510D1">
        <w:t> </w:t>
      </w:r>
      <w:r w:rsidR="00AF639A" w:rsidRPr="00BE596A">
        <w:t>626,5</w:t>
      </w:r>
      <w:r w:rsidR="000510D1">
        <w:noBreakHyphen/>
      </w:r>
      <w:r w:rsidR="00AF639A" w:rsidRPr="00BE596A">
        <w:t>1</w:t>
      </w:r>
      <w:r w:rsidRPr="00BE596A">
        <w:t> </w:t>
      </w:r>
      <w:r w:rsidR="00AF639A" w:rsidRPr="00BE596A">
        <w:t>660,5</w:t>
      </w:r>
      <w:r w:rsidRPr="00BE596A">
        <w:t> </w:t>
      </w:r>
      <w:r w:rsidR="00AF639A" w:rsidRPr="00BE596A">
        <w:t>MHz et 1 668-1 675 MHz</w:t>
      </w:r>
    </w:p>
    <w:p w14:paraId="186353B1" w14:textId="27806C1C" w:rsidR="00AF639A" w:rsidRPr="00BE596A" w:rsidRDefault="007A5D5D" w:rsidP="000510D1">
      <w:pPr>
        <w:pStyle w:val="Headingb"/>
      </w:pPr>
      <w:r w:rsidRPr="00BE596A">
        <w:t>Considérations générales</w:t>
      </w:r>
    </w:p>
    <w:p w14:paraId="358E625A" w14:textId="5041E6CF" w:rsidR="00AF639A" w:rsidRPr="00DC7607" w:rsidRDefault="007A5D5D" w:rsidP="000510D1">
      <w:r w:rsidRPr="00BE596A">
        <w:rPr>
          <w:iCs/>
        </w:rPr>
        <w:t>Beaucoup de satellites en orbite terrestre basse</w:t>
      </w:r>
      <w:r w:rsidR="00AF639A" w:rsidRPr="00BE596A">
        <w:rPr>
          <w:iCs/>
        </w:rPr>
        <w:t xml:space="preserve"> </w:t>
      </w:r>
      <w:r w:rsidR="00AF639A" w:rsidRPr="00BE596A">
        <w:t xml:space="preserve">(LEO) </w:t>
      </w:r>
      <w:r w:rsidRPr="00BE596A">
        <w:t xml:space="preserve">sont actuellement </w:t>
      </w:r>
      <w:r w:rsidR="00272A39" w:rsidRPr="00BE596A">
        <w:t xml:space="preserve">exploités </w:t>
      </w:r>
      <w:r w:rsidRPr="00BE596A">
        <w:t>et devraient l'être dans un future proche</w:t>
      </w:r>
      <w:r w:rsidR="00AF639A" w:rsidRPr="00BE596A">
        <w:t xml:space="preserve">, </w:t>
      </w:r>
      <w:r w:rsidRPr="00BE596A">
        <w:t xml:space="preserve">ce qui fournit une vaste gamme d'applications </w:t>
      </w:r>
      <w:r w:rsidR="00272A39">
        <w:t>pour l'</w:t>
      </w:r>
      <w:r w:rsidR="00AF639A" w:rsidRPr="00BE596A">
        <w:t xml:space="preserve">observation </w:t>
      </w:r>
      <w:r w:rsidRPr="00BE596A">
        <w:t xml:space="preserve">de la Terre et </w:t>
      </w:r>
      <w:r w:rsidR="00272A39">
        <w:t xml:space="preserve">les </w:t>
      </w:r>
      <w:r w:rsidRPr="00BE596A">
        <w:t>communication</w:t>
      </w:r>
      <w:r w:rsidR="00272A39">
        <w:t>s</w:t>
      </w:r>
      <w:r w:rsidRPr="00BE596A">
        <w:t xml:space="preserve"> aux pouvoirs publics, aux scientifiques et aux consommateurs commerciaux</w:t>
      </w:r>
      <w:r w:rsidR="00AF639A" w:rsidRPr="00BE596A">
        <w:t xml:space="preserve">. </w:t>
      </w:r>
      <w:r w:rsidRPr="00BE596A">
        <w:t>Les satellites</w:t>
      </w:r>
      <w:r w:rsidR="00AF639A" w:rsidRPr="00BE596A">
        <w:t xml:space="preserve"> LEO </w:t>
      </w:r>
      <w:r w:rsidRPr="00BE596A">
        <w:t xml:space="preserve">sont généralement exploités avec une connectivité limitée et en différé </w:t>
      </w:r>
      <w:r w:rsidR="006F4B77">
        <w:t xml:space="preserve">avec des </w:t>
      </w:r>
      <w:r w:rsidRPr="00BE596A">
        <w:t xml:space="preserve">stations terriennes </w:t>
      </w:r>
      <w:r w:rsidR="00272A39">
        <w:t>situées aux quatre coins de la planète</w:t>
      </w:r>
      <w:r w:rsidR="00AF639A" w:rsidRPr="00BE596A">
        <w:t xml:space="preserve">. </w:t>
      </w:r>
      <w:r w:rsidRPr="00BE596A">
        <w:t>Le</w:t>
      </w:r>
      <w:r w:rsidR="00272A39">
        <w:t>s</w:t>
      </w:r>
      <w:r w:rsidRPr="00BE596A">
        <w:t xml:space="preserve"> </w:t>
      </w:r>
      <w:r w:rsidR="00272A39">
        <w:t xml:space="preserve">caractéristiques de </w:t>
      </w:r>
      <w:r w:rsidRPr="00BE596A">
        <w:t xml:space="preserve">l'orbite terrestre </w:t>
      </w:r>
      <w:r w:rsidR="00272A39">
        <w:t>basse font qu</w:t>
      </w:r>
      <w:r w:rsidRPr="00BE596A">
        <w:t>'</w:t>
      </w:r>
      <w:r w:rsidR="00272A39">
        <w:t xml:space="preserve">un </w:t>
      </w:r>
      <w:r w:rsidRPr="00BE596A">
        <w:t xml:space="preserve">engin spatial LEO </w:t>
      </w:r>
      <w:r w:rsidR="00272A39">
        <w:t xml:space="preserve">n'est visible d'une </w:t>
      </w:r>
      <w:r w:rsidR="00272A39" w:rsidRPr="00BE596A">
        <w:t xml:space="preserve">station terrienne </w:t>
      </w:r>
      <w:r w:rsidR="00272A39">
        <w:t xml:space="preserve">que </w:t>
      </w:r>
      <w:r w:rsidRPr="00BE596A">
        <w:t>pendant une courte durée, et que le</w:t>
      </w:r>
      <w:r w:rsidR="00272A39">
        <w:t>s</w:t>
      </w:r>
      <w:r w:rsidRPr="00BE596A">
        <w:t xml:space="preserve"> satellite</w:t>
      </w:r>
      <w:r w:rsidR="00272A39">
        <w:t>s</w:t>
      </w:r>
      <w:r w:rsidRPr="00BE596A">
        <w:t xml:space="preserve"> en orbite </w:t>
      </w:r>
      <w:r w:rsidR="00272A39">
        <w:t>ne sont</w:t>
      </w:r>
      <w:r w:rsidRPr="00BE596A">
        <w:t xml:space="preserve"> pas visible</w:t>
      </w:r>
      <w:r w:rsidR="00272A39">
        <w:t>s</w:t>
      </w:r>
      <w:r w:rsidRPr="00BE596A">
        <w:t xml:space="preserve"> par une station terrienne et n'</w:t>
      </w:r>
      <w:r w:rsidR="00DC7607">
        <w:t>ont</w:t>
      </w:r>
      <w:r w:rsidRPr="00BE596A">
        <w:t xml:space="preserve"> pas de connectivité avec le sol pendant longtemps</w:t>
      </w:r>
      <w:r w:rsidR="00AF639A" w:rsidRPr="00BE596A">
        <w:t xml:space="preserve">. </w:t>
      </w:r>
      <w:r w:rsidRPr="00BE596A">
        <w:t xml:space="preserve">Outre la durée </w:t>
      </w:r>
      <w:r w:rsidR="00DC7607">
        <w:t xml:space="preserve">limitée </w:t>
      </w:r>
      <w:r w:rsidRPr="00BE596A">
        <w:t>de connectivité, le coût de</w:t>
      </w:r>
      <w:r w:rsidR="00AF639A" w:rsidRPr="00BE596A">
        <w:t xml:space="preserve"> </w:t>
      </w:r>
      <w:r w:rsidRPr="00BE596A">
        <w:t>l'</w:t>
      </w:r>
      <w:r w:rsidR="00AF639A" w:rsidRPr="00BE596A">
        <w:t xml:space="preserve">infrastructure </w:t>
      </w:r>
      <w:r w:rsidRPr="00BE596A">
        <w:t xml:space="preserve">au sol peut être </w:t>
      </w:r>
      <w:r w:rsidR="007A5A90" w:rsidRPr="00BE596A">
        <w:t xml:space="preserve">trop élevé pour les nouvelles applications spatiales à faible coût du type </w:t>
      </w:r>
      <w:r w:rsidR="006F4B77">
        <w:t>«</w:t>
      </w:r>
      <w:r w:rsidR="00AF639A" w:rsidRPr="00BE596A">
        <w:t>cubesats</w:t>
      </w:r>
      <w:r w:rsidR="006F4B77">
        <w:t>»</w:t>
      </w:r>
      <w:r w:rsidR="00AF639A" w:rsidRPr="00BE596A">
        <w:t xml:space="preserve">. </w:t>
      </w:r>
      <w:r w:rsidR="006F4B77">
        <w:t xml:space="preserve">Un moyen de </w:t>
      </w:r>
      <w:r w:rsidR="00DC7607">
        <w:t>communication plus</w:t>
      </w:r>
      <w:r w:rsidR="009B0C22" w:rsidRPr="00BE596A">
        <w:t xml:space="preserve"> efficace </w:t>
      </w:r>
      <w:r w:rsidR="00DC7607">
        <w:t xml:space="preserve">et </w:t>
      </w:r>
      <w:r w:rsidR="00DC7607" w:rsidRPr="00BE596A">
        <w:t xml:space="preserve">économique </w:t>
      </w:r>
      <w:r w:rsidR="006F4B77">
        <w:t xml:space="preserve">peut être assuré </w:t>
      </w:r>
      <w:r w:rsidR="008D7388">
        <w:t xml:space="preserve">entre </w:t>
      </w:r>
      <w:r w:rsidR="009B0C22" w:rsidRPr="00BE596A">
        <w:t xml:space="preserve">satellites OSG du </w:t>
      </w:r>
      <w:r w:rsidR="00AF639A" w:rsidRPr="00BE596A">
        <w:t>S</w:t>
      </w:r>
      <w:r w:rsidR="009B0C22" w:rsidRPr="00BE596A">
        <w:t>M</w:t>
      </w:r>
      <w:r w:rsidR="00AF639A" w:rsidRPr="00BE596A">
        <w:t xml:space="preserve">S </w:t>
      </w:r>
      <w:r w:rsidR="008D7388">
        <w:t>existants et</w:t>
      </w:r>
      <w:r w:rsidR="009B0C22" w:rsidRPr="00BE596A">
        <w:t xml:space="preserve"> satellites </w:t>
      </w:r>
      <w:r w:rsidR="00AF639A" w:rsidRPr="00BE596A">
        <w:t xml:space="preserve">LEO </w:t>
      </w:r>
      <w:r w:rsidR="006F4B77">
        <w:t xml:space="preserve">dans les </w:t>
      </w:r>
      <w:r w:rsidR="009B0C22" w:rsidRPr="00BE596A">
        <w:t>bandes de fréquences</w:t>
      </w:r>
      <w:r w:rsidR="006F4B77">
        <w:t xml:space="preserve"> </w:t>
      </w:r>
      <w:r w:rsidR="00AF639A" w:rsidRPr="00BE596A">
        <w:t>1</w:t>
      </w:r>
      <w:r w:rsidR="006F4B77">
        <w:t> </w:t>
      </w:r>
      <w:r w:rsidR="00AF639A" w:rsidRPr="00BE596A">
        <w:t>518</w:t>
      </w:r>
      <w:r w:rsidR="006F4B77">
        <w:noBreakHyphen/>
      </w:r>
      <w:r w:rsidR="00AF639A" w:rsidRPr="00BE596A">
        <w:t>1</w:t>
      </w:r>
      <w:r w:rsidR="006F4B77">
        <w:t> </w:t>
      </w:r>
      <w:r w:rsidR="00AF639A" w:rsidRPr="00BE596A">
        <w:t>559</w:t>
      </w:r>
      <w:r w:rsidR="006F4B77">
        <w:t> </w:t>
      </w:r>
      <w:r w:rsidR="00AF639A" w:rsidRPr="00BE596A">
        <w:t>MHz, 1</w:t>
      </w:r>
      <w:r w:rsidR="006F4B77">
        <w:t> </w:t>
      </w:r>
      <w:r w:rsidR="00AF639A" w:rsidRPr="00BE596A">
        <w:t>626</w:t>
      </w:r>
      <w:r w:rsidR="009B0C22" w:rsidRPr="00BE596A">
        <w:t>,</w:t>
      </w:r>
      <w:r w:rsidR="00AF639A" w:rsidRPr="00BE596A">
        <w:t>5</w:t>
      </w:r>
      <w:r w:rsidR="006F4B77">
        <w:noBreakHyphen/>
      </w:r>
      <w:r w:rsidR="00AF639A" w:rsidRPr="00BE596A">
        <w:t>1</w:t>
      </w:r>
      <w:r w:rsidR="006F4B77">
        <w:t> </w:t>
      </w:r>
      <w:r w:rsidR="00AF639A" w:rsidRPr="00BE596A">
        <w:t>660</w:t>
      </w:r>
      <w:r w:rsidR="009B0C22" w:rsidRPr="00BE596A">
        <w:t>,</w:t>
      </w:r>
      <w:r w:rsidR="00AF639A" w:rsidRPr="00BE596A">
        <w:t>5</w:t>
      </w:r>
      <w:r w:rsidR="006F4B77">
        <w:t> </w:t>
      </w:r>
      <w:r w:rsidR="00AF639A" w:rsidRPr="00BE596A">
        <w:t xml:space="preserve">MHz </w:t>
      </w:r>
      <w:r w:rsidR="009B0C22" w:rsidRPr="00BE596A">
        <w:t xml:space="preserve">et </w:t>
      </w:r>
      <w:r w:rsidR="00AF639A" w:rsidRPr="00BE596A">
        <w:t>1</w:t>
      </w:r>
      <w:r w:rsidR="006F4B77">
        <w:t> </w:t>
      </w:r>
      <w:r w:rsidR="00AF639A" w:rsidRPr="00BE596A">
        <w:t>668</w:t>
      </w:r>
      <w:r w:rsidR="006F4B77">
        <w:noBreakHyphen/>
      </w:r>
      <w:r w:rsidR="00AF639A" w:rsidRPr="00BE596A">
        <w:t>1</w:t>
      </w:r>
      <w:r w:rsidR="006F4B77">
        <w:t> </w:t>
      </w:r>
      <w:r w:rsidR="00AF639A" w:rsidRPr="00BE596A">
        <w:t>675</w:t>
      </w:r>
      <w:r w:rsidR="006F4B77">
        <w:t> </w:t>
      </w:r>
      <w:r w:rsidR="00AF639A" w:rsidRPr="00BE596A">
        <w:t xml:space="preserve">MHz. </w:t>
      </w:r>
      <w:r w:rsidR="008D7388">
        <w:t>L'utilisation</w:t>
      </w:r>
      <w:r w:rsidR="009B0C22" w:rsidRPr="00BE596A">
        <w:t xml:space="preserve"> dans les engins spatiaux LEO </w:t>
      </w:r>
      <w:r w:rsidR="008D7388">
        <w:t>d'</w:t>
      </w:r>
      <w:r w:rsidR="009B0C22" w:rsidRPr="00BE596A">
        <w:t xml:space="preserve">équipements de stations terriennes mobiles spécialement </w:t>
      </w:r>
      <w:r w:rsidR="008D7388">
        <w:t>modifiés</w:t>
      </w:r>
      <w:r w:rsidR="009B0C22" w:rsidRPr="00BE596A">
        <w:t xml:space="preserve"> permet de fournir et de disposer à tout moment de</w:t>
      </w:r>
      <w:r w:rsidR="00AF639A" w:rsidRPr="00BE596A">
        <w:t xml:space="preserve"> communications </w:t>
      </w:r>
      <w:r w:rsidR="009B0C22" w:rsidRPr="00BE596A">
        <w:t xml:space="preserve">entre satellites </w:t>
      </w:r>
      <w:r w:rsidR="00AF639A" w:rsidRPr="00BE596A">
        <w:t xml:space="preserve">LEO </w:t>
      </w:r>
      <w:r w:rsidR="009B0C22" w:rsidRPr="00BE596A">
        <w:t xml:space="preserve">et satellites OSG du </w:t>
      </w:r>
      <w:r w:rsidR="00AF639A" w:rsidRPr="00BE596A">
        <w:t>S</w:t>
      </w:r>
      <w:r w:rsidR="009B0C22" w:rsidRPr="00BE596A">
        <w:t>M</w:t>
      </w:r>
      <w:r w:rsidR="00AF639A" w:rsidRPr="00BE596A">
        <w:t xml:space="preserve">S. </w:t>
      </w:r>
      <w:r w:rsidR="009B0C22" w:rsidRPr="00BE596A">
        <w:t xml:space="preserve">Les </w:t>
      </w:r>
      <w:r w:rsidR="00AF639A" w:rsidRPr="00BE596A">
        <w:t xml:space="preserve">satellites </w:t>
      </w:r>
      <w:r w:rsidR="009B0C22" w:rsidRPr="00BE596A">
        <w:t>OSG sont dotés d'une connectivité au sol permanente grâce à leurs liaisons de connexion et</w:t>
      </w:r>
      <w:r w:rsidR="005103AA" w:rsidRPr="00BE596A">
        <w:t xml:space="preserve"> aux stations terriennes passerelles</w:t>
      </w:r>
      <w:r w:rsidR="00AF639A" w:rsidRPr="00BE596A">
        <w:t xml:space="preserve">, </w:t>
      </w:r>
      <w:r w:rsidR="005103AA" w:rsidRPr="00BE596A">
        <w:t xml:space="preserve">qui relaient les données en provenance et </w:t>
      </w:r>
      <w:r w:rsidR="00BE596A" w:rsidRPr="00BE596A">
        <w:t>à destination des</w:t>
      </w:r>
      <w:r w:rsidR="005103AA" w:rsidRPr="00BE596A">
        <w:t xml:space="preserve"> engins spatiaux </w:t>
      </w:r>
      <w:r w:rsidR="00AF639A" w:rsidRPr="00BE596A">
        <w:t xml:space="preserve">LEO.  </w:t>
      </w:r>
      <w:r w:rsidR="005103AA" w:rsidRPr="00BE596A">
        <w:t xml:space="preserve">Si l'on dispose d'au moins trois satellites OSG, on peut assurer une connectivité pour les satellites LEO quasiment en tout point d'une orbite </w:t>
      </w:r>
      <w:r w:rsidR="008D7388">
        <w:t xml:space="preserve">LEO </w:t>
      </w:r>
      <w:r w:rsidR="005103AA" w:rsidRPr="00BE596A">
        <w:t>classique</w:t>
      </w:r>
      <w:r w:rsidR="00AF639A" w:rsidRPr="00BE596A">
        <w:t xml:space="preserve">. </w:t>
      </w:r>
      <w:r w:rsidR="005103AA" w:rsidRPr="00BE596A">
        <w:t xml:space="preserve">Ces liaisons de </w:t>
      </w:r>
      <w:r w:rsidR="00AF639A" w:rsidRPr="00BE596A">
        <w:t xml:space="preserve">communication </w:t>
      </w:r>
      <w:r w:rsidR="005103AA" w:rsidRPr="00BE596A">
        <w:t>constitueraient donc un moyen efficace d</w:t>
      </w:r>
      <w:r w:rsidR="000661F1">
        <w:t xml:space="preserve">'assurer une surveillance </w:t>
      </w:r>
      <w:r w:rsidR="005103AA" w:rsidRPr="00BE596A">
        <w:t xml:space="preserve">et </w:t>
      </w:r>
      <w:r w:rsidR="000661F1">
        <w:t xml:space="preserve">un </w:t>
      </w:r>
      <w:r w:rsidR="005103AA" w:rsidRPr="00BE596A">
        <w:t xml:space="preserve">contrôle </w:t>
      </w:r>
      <w:r w:rsidR="000661F1">
        <w:t>continus des</w:t>
      </w:r>
      <w:r w:rsidR="005103AA" w:rsidRPr="00BE596A">
        <w:t xml:space="preserve"> satellites LEO</w:t>
      </w:r>
      <w:r w:rsidR="00AF639A" w:rsidRPr="00BE596A">
        <w:t>.</w:t>
      </w:r>
    </w:p>
    <w:p w14:paraId="4E1218FA" w14:textId="0CEB454A" w:rsidR="008C6EE4" w:rsidRPr="00BE596A" w:rsidRDefault="008C6EE4" w:rsidP="000510D1">
      <w:r w:rsidRPr="00BE596A">
        <w:lastRenderedPageBreak/>
        <w:t xml:space="preserve">Il ressort de discussions avec les opérateurs de satellites LEO que l'adjonction des communications espace-espace dans le SMS </w:t>
      </w:r>
      <w:r w:rsidR="00992A07">
        <w:t xml:space="preserve">permettrait </w:t>
      </w:r>
      <w:r w:rsidRPr="00BE596A">
        <w:t>d'assurer</w:t>
      </w:r>
      <w:r w:rsidR="001D271C" w:rsidRPr="00BE596A">
        <w:t xml:space="preserve"> </w:t>
      </w:r>
      <w:r w:rsidRPr="00BE596A">
        <w:t>une surveillance et un contrôle de ces satellites LEO</w:t>
      </w:r>
      <w:r w:rsidR="001D271C" w:rsidRPr="00BE596A">
        <w:t xml:space="preserve"> à la demande, en continu et presque en temps réel</w:t>
      </w:r>
      <w:r w:rsidRPr="00BE596A">
        <w:t xml:space="preserve">. </w:t>
      </w:r>
      <w:r w:rsidR="001D271C" w:rsidRPr="00BE596A">
        <w:t xml:space="preserve">Cela sera l'occasion non seulement </w:t>
      </w:r>
      <w:r w:rsidR="00992A07">
        <w:t>d'améliorer</w:t>
      </w:r>
      <w:r w:rsidR="001D271C" w:rsidRPr="00BE596A">
        <w:t xml:space="preserve"> la sécurité et l'efficacité de l'exploitation des satellites LEO, mais également d'utiliser ces derniers dans un but nouveau dans le cadre de missions</w:t>
      </w:r>
      <w:r w:rsidR="00992A07">
        <w:t xml:space="preserve"> LEO</w:t>
      </w:r>
      <w:r w:rsidRPr="00BE596A">
        <w:t xml:space="preserve">, </w:t>
      </w:r>
      <w:r w:rsidR="001D271C" w:rsidRPr="00BE596A">
        <w:t xml:space="preserve">ce qui permettrait </w:t>
      </w:r>
      <w:r w:rsidR="00B209A2" w:rsidRPr="00BE596A">
        <w:t xml:space="preserve">à bien des égards de mettre </w:t>
      </w:r>
      <w:r w:rsidR="00F106C4">
        <w:t>c</w:t>
      </w:r>
      <w:r w:rsidR="00B209A2" w:rsidRPr="00BE596A">
        <w:t xml:space="preserve">es satellites au service de nombreuses </w:t>
      </w:r>
      <w:r w:rsidRPr="00BE596A">
        <w:t xml:space="preserve">applications </w:t>
      </w:r>
      <w:r w:rsidR="00B209A2" w:rsidRPr="00BE596A">
        <w:t xml:space="preserve">innovantes et importantes et d'ouvrir la voie à de nouveaux acteurs </w:t>
      </w:r>
      <w:r w:rsidR="00F106C4">
        <w:t>issus de</w:t>
      </w:r>
      <w:r w:rsidR="00B209A2" w:rsidRPr="00BE596A">
        <w:t xml:space="preserve"> tous les pays du monde</w:t>
      </w:r>
      <w:r w:rsidRPr="00BE596A">
        <w:t>.</w:t>
      </w:r>
    </w:p>
    <w:p w14:paraId="2754FDCC" w14:textId="069F36E3" w:rsidR="008C6EE4" w:rsidRPr="00BE596A" w:rsidRDefault="00B209A2" w:rsidP="000510D1">
      <w:r w:rsidRPr="00BE596A">
        <w:t>Pour de nombreux engins spatiaux LEO, la taille et la puissance sont des considérations importantes dont il faut tenir compte</w:t>
      </w:r>
      <w:r w:rsidR="008C6EE4" w:rsidRPr="00BE596A">
        <w:t xml:space="preserve"> </w:t>
      </w:r>
      <w:r w:rsidRPr="00BE596A">
        <w:t xml:space="preserve">au moment de la conception, et l'utilisation de bandes de fréquences au voisinage de </w:t>
      </w:r>
      <w:r w:rsidR="008C6EE4" w:rsidRPr="00BE596A">
        <w:t>1</w:t>
      </w:r>
      <w:r w:rsidRPr="00BE596A">
        <w:t>,</w:t>
      </w:r>
      <w:r w:rsidR="008C6EE4" w:rsidRPr="00BE596A">
        <w:t>5/1</w:t>
      </w:r>
      <w:r w:rsidRPr="00BE596A">
        <w:t>,</w:t>
      </w:r>
      <w:r w:rsidR="008C6EE4" w:rsidRPr="00BE596A">
        <w:t xml:space="preserve">6 GHz </w:t>
      </w:r>
      <w:r w:rsidRPr="00BE596A">
        <w:t>permet d'utiliser de petits terminaux avec de faibles exigences de puissance dans les engins spatiaux LEO</w:t>
      </w:r>
      <w:r w:rsidR="008C6EE4" w:rsidRPr="00BE596A">
        <w:t xml:space="preserve">. </w:t>
      </w:r>
      <w:r w:rsidRPr="00BE596A">
        <w:t xml:space="preserve">Ce type </w:t>
      </w:r>
      <w:r w:rsidR="00A43945">
        <w:t>d'exploitation</w:t>
      </w:r>
      <w:r w:rsidRPr="00BE596A">
        <w:t xml:space="preserve"> entre les satellites OSG du </w:t>
      </w:r>
      <w:r w:rsidR="008C6EE4" w:rsidRPr="00BE596A">
        <w:t>S</w:t>
      </w:r>
      <w:r w:rsidRPr="00BE596A">
        <w:t>M</w:t>
      </w:r>
      <w:r w:rsidR="008C6EE4" w:rsidRPr="00BE596A">
        <w:t xml:space="preserve">S </w:t>
      </w:r>
      <w:r w:rsidRPr="00BE596A">
        <w:t xml:space="preserve">et les </w:t>
      </w:r>
      <w:r w:rsidR="008C6EE4" w:rsidRPr="00BE596A">
        <w:t xml:space="preserve">satellites </w:t>
      </w:r>
      <w:r w:rsidRPr="00BE596A">
        <w:t>LEO sont aujourd'hui possible</w:t>
      </w:r>
      <w:r w:rsidR="00F106C4">
        <w:t>s</w:t>
      </w:r>
      <w:r w:rsidRPr="00BE596A">
        <w:t xml:space="preserve"> sur le plan technique et des systèmes d'essais ont été </w:t>
      </w:r>
      <w:r w:rsidR="00F106C4">
        <w:t>mis en service</w:t>
      </w:r>
      <w:r w:rsidRPr="00BE596A">
        <w:t>.</w:t>
      </w:r>
      <w:r w:rsidR="008C6EE4" w:rsidRPr="00BE596A">
        <w:t xml:space="preserve"> </w:t>
      </w:r>
      <w:r w:rsidRPr="00BE596A">
        <w:t>Toutefois, les attributions actuelles dans ces bandes de fréquences ne prennent pas en charge les liaisons espace-espace</w:t>
      </w:r>
      <w:r w:rsidR="008C6EE4" w:rsidRPr="00BE596A">
        <w:t xml:space="preserve">, </w:t>
      </w:r>
      <w:r w:rsidRPr="00BE596A">
        <w:t xml:space="preserve">et ce type d'utilisation est </w:t>
      </w:r>
      <w:r w:rsidR="00D0251B" w:rsidRPr="00BE596A">
        <w:t>aujourd'hui</w:t>
      </w:r>
      <w:r w:rsidRPr="00BE596A">
        <w:t xml:space="preserve"> possible uniquement dans le cadre </w:t>
      </w:r>
      <w:r w:rsidR="00D0251B" w:rsidRPr="00BE596A">
        <w:t>des dispositions du numéro</w:t>
      </w:r>
      <w:r w:rsidR="008C6EE4" w:rsidRPr="00BE596A">
        <w:t xml:space="preserve"> </w:t>
      </w:r>
      <w:r w:rsidR="008C6EE4" w:rsidRPr="00BE596A">
        <w:rPr>
          <w:b/>
          <w:bCs/>
        </w:rPr>
        <w:t>4.4</w:t>
      </w:r>
      <w:r w:rsidR="008C6EE4" w:rsidRPr="00BE596A">
        <w:t xml:space="preserve"> </w:t>
      </w:r>
      <w:r w:rsidR="00D0251B" w:rsidRPr="00BE596A">
        <w:t xml:space="preserve">du </w:t>
      </w:r>
      <w:r w:rsidR="008C6EE4" w:rsidRPr="00BE596A">
        <w:t xml:space="preserve">RR. </w:t>
      </w:r>
      <w:r w:rsidR="00A43945">
        <w:t>C</w:t>
      </w:r>
      <w:r w:rsidR="00D0251B" w:rsidRPr="00BE596A">
        <w:t>ette utilisation dans le cadre du</w:t>
      </w:r>
      <w:r w:rsidR="008C6EE4" w:rsidRPr="00BE596A">
        <w:t xml:space="preserve"> </w:t>
      </w:r>
      <w:r w:rsidR="00D0251B" w:rsidRPr="00BE596A">
        <w:t xml:space="preserve">numéro </w:t>
      </w:r>
      <w:r w:rsidR="008C6EE4" w:rsidRPr="00BE596A">
        <w:rPr>
          <w:b/>
          <w:bCs/>
        </w:rPr>
        <w:t>4.4</w:t>
      </w:r>
      <w:r w:rsidR="008C6EE4" w:rsidRPr="00BE596A">
        <w:t xml:space="preserve"> </w:t>
      </w:r>
      <w:r w:rsidR="00A43945">
        <w:t>a été évoquée par l</w:t>
      </w:r>
      <w:r w:rsidR="00A43945" w:rsidRPr="00BE596A">
        <w:t xml:space="preserve">e Directeur du BR </w:t>
      </w:r>
      <w:r w:rsidR="00D0251B" w:rsidRPr="00BE596A">
        <w:t xml:space="preserve">dans </w:t>
      </w:r>
      <w:r w:rsidR="00F106C4">
        <w:t xml:space="preserve">son </w:t>
      </w:r>
      <w:r w:rsidR="00D0251B" w:rsidRPr="00BE596A">
        <w:t>avant-projet de rapport à la CMR</w:t>
      </w:r>
      <w:r w:rsidR="008C6EE4" w:rsidRPr="00BE596A">
        <w:t xml:space="preserve">-19 </w:t>
      </w:r>
      <w:r w:rsidR="00D0251B" w:rsidRPr="00BE596A">
        <w:t>sur les activités du Secteur des r</w:t>
      </w:r>
      <w:r w:rsidR="008C6EE4" w:rsidRPr="00BE596A">
        <w:t>adiocommunication</w:t>
      </w:r>
      <w:r w:rsidR="00D0251B" w:rsidRPr="00BE596A">
        <w:t>s</w:t>
      </w:r>
      <w:r w:rsidR="008C6EE4" w:rsidRPr="00BE596A">
        <w:t xml:space="preserve"> (</w:t>
      </w:r>
      <w:r w:rsidR="00D0251B" w:rsidRPr="00BE596A">
        <w:t xml:space="preserve">voir </w:t>
      </w:r>
      <w:r w:rsidR="00A43945">
        <w:t>le § </w:t>
      </w:r>
      <w:r w:rsidR="008C6EE4" w:rsidRPr="00BE596A">
        <w:t xml:space="preserve">3.1.3.2 </w:t>
      </w:r>
      <w:r w:rsidR="00D0251B" w:rsidRPr="00BE596A">
        <w:t>du D</w:t>
      </w:r>
      <w:r w:rsidR="008C6EE4" w:rsidRPr="00BE596A">
        <w:t>ocument CPM19-2/17</w:t>
      </w:r>
      <w:r w:rsidR="008C6EE4" w:rsidRPr="00BE596A">
        <w:rPr>
          <w:rStyle w:val="FootnoteReference"/>
        </w:rPr>
        <w:footnoteReference w:customMarkFollows="1" w:id="1"/>
        <w:t>*</w:t>
      </w:r>
      <w:r w:rsidR="008C6EE4" w:rsidRPr="00BE596A">
        <w:t>).</w:t>
      </w:r>
    </w:p>
    <w:p w14:paraId="02993FD3" w14:textId="3B6DD727" w:rsidR="008C6EE4" w:rsidRPr="00BE596A" w:rsidRDefault="0076378A" w:rsidP="000510D1">
      <w:r w:rsidRPr="00BE596A">
        <w:t>Le Groupe de travail 4C de l'UIT</w:t>
      </w:r>
      <w:r w:rsidR="008C6EE4" w:rsidRPr="00BE596A">
        <w:t xml:space="preserve">-R </w:t>
      </w:r>
      <w:r w:rsidRPr="00BE596A">
        <w:t xml:space="preserve">a mené des études préliminaires et a élaboré un avant-projet de nouveau rapport UIT-R sur la question </w:t>
      </w:r>
      <w:r w:rsidR="008C6EE4" w:rsidRPr="00BE596A">
        <w:t>(</w:t>
      </w:r>
      <w:r w:rsidRPr="00BE596A">
        <w:t>voir l'</w:t>
      </w:r>
      <w:r w:rsidR="008C6EE4" w:rsidRPr="00BE596A">
        <w:t>Annex</w:t>
      </w:r>
      <w:r w:rsidRPr="00BE596A">
        <w:t>e</w:t>
      </w:r>
      <w:r w:rsidR="008C6EE4" w:rsidRPr="00BE596A">
        <w:t xml:space="preserve"> 8 </w:t>
      </w:r>
      <w:r w:rsidRPr="00BE596A">
        <w:t>du D</w:t>
      </w:r>
      <w:r w:rsidR="008C6EE4" w:rsidRPr="00BE596A">
        <w:t>ocument 4C/417</w:t>
      </w:r>
      <w:r w:rsidR="008C6EE4" w:rsidRPr="00BE596A">
        <w:rPr>
          <w:rStyle w:val="FootnoteReference"/>
        </w:rPr>
        <w:footnoteReference w:customMarkFollows="1" w:id="2"/>
        <w:t>**</w:t>
      </w:r>
      <w:r w:rsidR="008C6EE4" w:rsidRPr="00BE596A">
        <w:t>).</w:t>
      </w:r>
    </w:p>
    <w:p w14:paraId="4C32246B" w14:textId="5AB3102F" w:rsidR="008C6EE4" w:rsidRPr="00BE596A" w:rsidRDefault="0076378A" w:rsidP="000510D1">
      <w:r w:rsidRPr="00BE596A">
        <w:t>L'utilisation de liaisons de</w:t>
      </w:r>
      <w:r w:rsidR="008C6EE4" w:rsidRPr="00BE596A">
        <w:t xml:space="preserve"> radiocommunication </w:t>
      </w:r>
      <w:r w:rsidRPr="00BE596A">
        <w:t xml:space="preserve">entre stations spatiales du </w:t>
      </w:r>
      <w:r w:rsidR="008C6EE4" w:rsidRPr="00BE596A">
        <w:t>S</w:t>
      </w:r>
      <w:r w:rsidRPr="00BE596A">
        <w:t>M</w:t>
      </w:r>
      <w:r w:rsidR="008C6EE4" w:rsidRPr="00BE596A">
        <w:t xml:space="preserve">S </w:t>
      </w:r>
      <w:r w:rsidRPr="00BE596A">
        <w:t>est conforme à la définition du SMS donnée au numéro</w:t>
      </w:r>
      <w:r w:rsidR="008C6EE4" w:rsidRPr="00BE596A">
        <w:t xml:space="preserve"> </w:t>
      </w:r>
      <w:r w:rsidR="008C6EE4" w:rsidRPr="00BE596A">
        <w:rPr>
          <w:b/>
          <w:bCs/>
        </w:rPr>
        <w:t>1.25</w:t>
      </w:r>
      <w:r w:rsidR="008C6EE4" w:rsidRPr="00BE596A">
        <w:t xml:space="preserve"> </w:t>
      </w:r>
      <w:r w:rsidRPr="00BE596A">
        <w:t>du Règlement des radiocommunications et pourrait être appliquée à toute bande de fréquences attribuée au SMS (espace-espace)</w:t>
      </w:r>
      <w:r w:rsidR="008C6EE4" w:rsidRPr="00BE596A">
        <w:t xml:space="preserve">. </w:t>
      </w:r>
      <w:r w:rsidRPr="00BE596A">
        <w:t xml:space="preserve">Néanmoins, les bandes </w:t>
      </w:r>
      <w:r w:rsidR="008C6EE4" w:rsidRPr="00BE596A">
        <w:t>1</w:t>
      </w:r>
      <w:r w:rsidR="00FD6311">
        <w:t> </w:t>
      </w:r>
      <w:r w:rsidR="008C6EE4" w:rsidRPr="00BE596A">
        <w:t>518-1 559 MHz, 1 626</w:t>
      </w:r>
      <w:r w:rsidRPr="00BE596A">
        <w:t>,</w:t>
      </w:r>
      <w:r w:rsidR="008C6EE4" w:rsidRPr="00BE596A">
        <w:t>5-1 660</w:t>
      </w:r>
      <w:r w:rsidRPr="00BE596A">
        <w:t>,</w:t>
      </w:r>
      <w:r w:rsidR="008C6EE4" w:rsidRPr="00BE596A">
        <w:t xml:space="preserve">5 MHz </w:t>
      </w:r>
      <w:r w:rsidRPr="00BE596A">
        <w:t xml:space="preserve">et </w:t>
      </w:r>
      <w:r w:rsidR="008C6EE4" w:rsidRPr="00BE596A">
        <w:t xml:space="preserve">1 668-1 675 MHz </w:t>
      </w:r>
      <w:r w:rsidR="00FD6311">
        <w:t>sont actuellement attribuées</w:t>
      </w:r>
      <w:r w:rsidRPr="00BE596A">
        <w:t xml:space="preserve"> au SMS</w:t>
      </w:r>
      <w:r w:rsidR="008C6EE4" w:rsidRPr="00BE596A">
        <w:t xml:space="preserve"> (</w:t>
      </w:r>
      <w:r w:rsidRPr="00BE596A">
        <w:t>espace vers Terre</w:t>
      </w:r>
      <w:r w:rsidR="008C6EE4" w:rsidRPr="00BE596A">
        <w:t xml:space="preserve">) </w:t>
      </w:r>
      <w:r w:rsidRPr="00BE596A">
        <w:t xml:space="preserve">et au </w:t>
      </w:r>
      <w:r w:rsidR="008C6EE4" w:rsidRPr="00BE596A">
        <w:t>S</w:t>
      </w:r>
      <w:r w:rsidRPr="00BE596A">
        <w:t>M</w:t>
      </w:r>
      <w:r w:rsidR="008C6EE4" w:rsidRPr="00BE596A">
        <w:t>S (</w:t>
      </w:r>
      <w:r w:rsidRPr="00BE596A">
        <w:t>Terre vers espace</w:t>
      </w:r>
      <w:r w:rsidR="008C6EE4" w:rsidRPr="00BE596A">
        <w:t>)</w:t>
      </w:r>
      <w:r w:rsidRPr="00BE596A">
        <w:t xml:space="preserve"> et ne prennent donc pas en charge</w:t>
      </w:r>
      <w:r w:rsidR="00FE4718" w:rsidRPr="00BE596A">
        <w:t xml:space="preserve"> les applications </w:t>
      </w:r>
      <w:r w:rsidR="00A43945">
        <w:t>du</w:t>
      </w:r>
      <w:r w:rsidR="00FE4718" w:rsidRPr="00BE596A">
        <w:t xml:space="preserve"> </w:t>
      </w:r>
      <w:r w:rsidR="008C6EE4" w:rsidRPr="00BE596A">
        <w:t>S</w:t>
      </w:r>
      <w:r w:rsidR="00FE4718" w:rsidRPr="00BE596A">
        <w:t>M</w:t>
      </w:r>
      <w:r w:rsidR="008C6EE4" w:rsidRPr="00BE596A">
        <w:t>S (</w:t>
      </w:r>
      <w:r w:rsidR="00FE4718" w:rsidRPr="00BE596A">
        <w:t>espace-espace</w:t>
      </w:r>
      <w:r w:rsidR="008C6EE4" w:rsidRPr="00BE596A">
        <w:t>).</w:t>
      </w:r>
    </w:p>
    <w:p w14:paraId="3AAC0181" w14:textId="25E12415" w:rsidR="008C6EE4" w:rsidRPr="00BE596A" w:rsidRDefault="008C6EE4" w:rsidP="000510D1">
      <w:pPr>
        <w:pStyle w:val="Headingb"/>
      </w:pPr>
      <w:r w:rsidRPr="00BE596A">
        <w:t>Proposition</w:t>
      </w:r>
    </w:p>
    <w:p w14:paraId="73C27A2B" w14:textId="2B59FE9F" w:rsidR="008C6EE4" w:rsidRPr="00BE596A" w:rsidRDefault="00292A27" w:rsidP="000510D1">
      <w:r w:rsidRPr="00BE596A">
        <w:t>Singapour propose</w:t>
      </w:r>
      <w:r w:rsidR="00FD6311">
        <w:t xml:space="preserve"> ci-après</w:t>
      </w:r>
      <w:r w:rsidRPr="00BE596A">
        <w:t xml:space="preserve"> un point de l'ordre du jour de la CMR</w:t>
      </w:r>
      <w:r w:rsidR="008C6EE4" w:rsidRPr="00BE596A">
        <w:t xml:space="preserve">-23 </w:t>
      </w:r>
      <w:r w:rsidRPr="00BE596A">
        <w:t xml:space="preserve">et un projet de Résolution de la CMR en vue de l'attribution des bandes de fréquences </w:t>
      </w:r>
      <w:r w:rsidR="008C6EE4" w:rsidRPr="00BE596A">
        <w:t>1</w:t>
      </w:r>
      <w:r w:rsidR="00662075">
        <w:t> </w:t>
      </w:r>
      <w:r w:rsidR="008C6EE4" w:rsidRPr="00BE596A">
        <w:t>518</w:t>
      </w:r>
      <w:r w:rsidR="00662075">
        <w:noBreakHyphen/>
      </w:r>
      <w:r w:rsidR="008C6EE4" w:rsidRPr="00BE596A">
        <w:t>1</w:t>
      </w:r>
      <w:r w:rsidR="00662075">
        <w:t> </w:t>
      </w:r>
      <w:r w:rsidR="008C6EE4" w:rsidRPr="00BE596A">
        <w:t>559</w:t>
      </w:r>
      <w:r w:rsidR="00662075">
        <w:t> </w:t>
      </w:r>
      <w:r w:rsidR="008C6EE4" w:rsidRPr="00BE596A">
        <w:t>MHz, 1</w:t>
      </w:r>
      <w:r w:rsidR="00662075">
        <w:t> </w:t>
      </w:r>
      <w:r w:rsidR="008C6EE4" w:rsidRPr="00BE596A">
        <w:t>626</w:t>
      </w:r>
      <w:r w:rsidRPr="00BE596A">
        <w:t>,</w:t>
      </w:r>
      <w:r w:rsidR="008C6EE4" w:rsidRPr="00BE596A">
        <w:t>5</w:t>
      </w:r>
      <w:r w:rsidR="00662075">
        <w:noBreakHyphen/>
      </w:r>
      <w:r w:rsidR="008C6EE4" w:rsidRPr="00BE596A">
        <w:t>1</w:t>
      </w:r>
      <w:r w:rsidR="00662075">
        <w:t> </w:t>
      </w:r>
      <w:r w:rsidR="008C6EE4" w:rsidRPr="00BE596A">
        <w:t>660</w:t>
      </w:r>
      <w:r w:rsidRPr="00BE596A">
        <w:t>,</w:t>
      </w:r>
      <w:r w:rsidR="008C6EE4" w:rsidRPr="00BE596A">
        <w:t xml:space="preserve">5 MHz </w:t>
      </w:r>
      <w:r w:rsidRPr="00BE596A">
        <w:t xml:space="preserve">et </w:t>
      </w:r>
      <w:r w:rsidR="008C6EE4" w:rsidRPr="00BE596A">
        <w:t>1</w:t>
      </w:r>
      <w:r w:rsidR="00662075">
        <w:t> </w:t>
      </w:r>
      <w:r w:rsidR="008C6EE4" w:rsidRPr="00BE596A">
        <w:t>668</w:t>
      </w:r>
      <w:r w:rsidR="00662075">
        <w:noBreakHyphen/>
      </w:r>
      <w:r w:rsidR="008C6EE4" w:rsidRPr="00BE596A">
        <w:t>1</w:t>
      </w:r>
      <w:r w:rsidR="00662075">
        <w:t> </w:t>
      </w:r>
      <w:r w:rsidR="008C6EE4" w:rsidRPr="00BE596A">
        <w:t>675</w:t>
      </w:r>
      <w:r w:rsidR="00662075">
        <w:t> </w:t>
      </w:r>
      <w:r w:rsidR="008C6EE4" w:rsidRPr="00BE596A">
        <w:t xml:space="preserve">MHz. </w:t>
      </w:r>
      <w:r w:rsidRPr="00BE596A">
        <w:t>On trouvera ci-après la proposition, qui suit le modèle</w:t>
      </w:r>
      <w:r w:rsidR="008C6EE4" w:rsidRPr="00BE596A">
        <w:t xml:space="preserve"> </w:t>
      </w:r>
      <w:r w:rsidRPr="00BE596A">
        <w:t xml:space="preserve">fourni dans l'Annexe </w:t>
      </w:r>
      <w:r w:rsidR="008C6EE4" w:rsidRPr="00BE596A">
        <w:t xml:space="preserve">2 </w:t>
      </w:r>
      <w:r w:rsidRPr="00BE596A">
        <w:t xml:space="preserve">de la Résolution </w:t>
      </w:r>
      <w:r w:rsidR="008C6EE4" w:rsidRPr="00BE596A">
        <w:rPr>
          <w:b/>
        </w:rPr>
        <w:t>804</w:t>
      </w:r>
      <w:r w:rsidR="008C6EE4" w:rsidRPr="00BE596A">
        <w:t xml:space="preserve"> (</w:t>
      </w:r>
      <w:r w:rsidR="008C6EE4" w:rsidRPr="00BE596A">
        <w:rPr>
          <w:b/>
        </w:rPr>
        <w:t>R</w:t>
      </w:r>
      <w:r w:rsidRPr="00BE596A">
        <w:rPr>
          <w:b/>
        </w:rPr>
        <w:t>é</w:t>
      </w:r>
      <w:r w:rsidR="008C6EE4" w:rsidRPr="00BE596A">
        <w:rPr>
          <w:b/>
        </w:rPr>
        <w:t>v. C</w:t>
      </w:r>
      <w:r w:rsidRPr="00BE596A">
        <w:rPr>
          <w:b/>
        </w:rPr>
        <w:t>MR</w:t>
      </w:r>
      <w:r w:rsidR="008C6EE4" w:rsidRPr="00BE596A">
        <w:rPr>
          <w:b/>
        </w:rPr>
        <w:t>-12</w:t>
      </w:r>
      <w:r w:rsidR="008C6EE4" w:rsidRPr="00BE596A">
        <w:t>)</w:t>
      </w:r>
      <w:r w:rsidR="008C6EE4" w:rsidRPr="00BE596A">
        <w:rPr>
          <w:i/>
        </w:rPr>
        <w:t>.</w:t>
      </w:r>
    </w:p>
    <w:p w14:paraId="71F93F4D" w14:textId="77777777" w:rsidR="008C6EE4" w:rsidRPr="00BE596A" w:rsidRDefault="008C6EE4" w:rsidP="000510D1"/>
    <w:p w14:paraId="1B5D320C" w14:textId="77777777" w:rsidR="0015203F" w:rsidRPr="00BE596A" w:rsidRDefault="0015203F" w:rsidP="000510D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E596A">
        <w:br w:type="page"/>
      </w:r>
    </w:p>
    <w:p w14:paraId="6155B4C6" w14:textId="77777777" w:rsidR="00D84828" w:rsidRPr="00BE596A" w:rsidRDefault="00EE6FC2" w:rsidP="000510D1">
      <w:pPr>
        <w:pStyle w:val="Proposal"/>
      </w:pPr>
      <w:r w:rsidRPr="00BE596A">
        <w:lastRenderedPageBreak/>
        <w:t>ADD</w:t>
      </w:r>
      <w:r w:rsidRPr="00BE596A">
        <w:tab/>
        <w:t>SNG/50A24/1</w:t>
      </w:r>
    </w:p>
    <w:p w14:paraId="3004F589" w14:textId="31113819" w:rsidR="00D84828" w:rsidRPr="00BE596A" w:rsidRDefault="00EE6FC2" w:rsidP="000510D1">
      <w:pPr>
        <w:pStyle w:val="ResNo"/>
      </w:pPr>
      <w:r w:rsidRPr="00BE596A">
        <w:t>Projet de nouvelle Résolution [SNG</w:t>
      </w:r>
      <w:r w:rsidR="0070155D" w:rsidRPr="00BE596A">
        <w:t>/</w:t>
      </w:r>
      <w:r w:rsidRPr="00BE596A">
        <w:t>A10/</w:t>
      </w:r>
      <w:r w:rsidR="0070155D" w:rsidRPr="00BE596A">
        <w:br/>
      </w:r>
      <w:r w:rsidRPr="00BE596A">
        <w:t>MSS SPACE-TO-SPACE L-BAND]</w:t>
      </w:r>
      <w:r w:rsidR="0070155D" w:rsidRPr="00BE596A">
        <w:t xml:space="preserve"> (CMR-19)</w:t>
      </w:r>
    </w:p>
    <w:p w14:paraId="494C47EF" w14:textId="5EE0C283" w:rsidR="00D84828" w:rsidRPr="00BE596A" w:rsidRDefault="0070155D" w:rsidP="000510D1">
      <w:pPr>
        <w:pStyle w:val="Restitle"/>
      </w:pPr>
      <w:r w:rsidRPr="00BE596A">
        <w:t>Attribution</w:t>
      </w:r>
      <w:r w:rsidR="006176C6" w:rsidRPr="00BE596A">
        <w:t>s</w:t>
      </w:r>
      <w:r w:rsidRPr="00BE596A">
        <w:t xml:space="preserve"> au service mobile par satellite (espace-espace) dans l</w:t>
      </w:r>
      <w:r w:rsidR="00EE6FC2" w:rsidRPr="00BE596A">
        <w:t>es</w:t>
      </w:r>
      <w:r w:rsidRPr="00BE596A">
        <w:t xml:space="preserve"> bande</w:t>
      </w:r>
      <w:r w:rsidR="00EE6FC2" w:rsidRPr="00BE596A">
        <w:t>s</w:t>
      </w:r>
      <w:r w:rsidRPr="00BE596A">
        <w:t xml:space="preserve"> de fréquences 1 518-1 559 MHz, 1 626,5-1 660,5 MHz et 1 668-1 675 MHz</w:t>
      </w:r>
    </w:p>
    <w:p w14:paraId="0E707A63" w14:textId="54DE271B" w:rsidR="00D84828" w:rsidRPr="00BE596A" w:rsidRDefault="0070155D" w:rsidP="000510D1">
      <w:pPr>
        <w:pStyle w:val="Normalaftertitle"/>
      </w:pPr>
      <w:r w:rsidRPr="00BE596A">
        <w:t>La Conférence mondiale des radiocommunications (Charm el-Cheik</w:t>
      </w:r>
      <w:r w:rsidR="00FD6311">
        <w:t>h</w:t>
      </w:r>
      <w:r w:rsidRPr="00BE596A">
        <w:t>, 2019),</w:t>
      </w:r>
    </w:p>
    <w:p w14:paraId="31D34333" w14:textId="6123350B" w:rsidR="0070155D" w:rsidRPr="00BE596A" w:rsidRDefault="0070155D" w:rsidP="000510D1">
      <w:pPr>
        <w:pStyle w:val="Call"/>
      </w:pPr>
      <w:r w:rsidRPr="00BE596A">
        <w:t>considérant</w:t>
      </w:r>
    </w:p>
    <w:p w14:paraId="10C5BAC5" w14:textId="7770C5B8" w:rsidR="0070155D" w:rsidRPr="00BE596A" w:rsidRDefault="0070155D" w:rsidP="000510D1">
      <w:pPr>
        <w:rPr>
          <w:i/>
        </w:rPr>
      </w:pPr>
      <w:r w:rsidRPr="00BE596A">
        <w:rPr>
          <w:i/>
        </w:rPr>
        <w:t>a)</w:t>
      </w:r>
      <w:r w:rsidRPr="00BE596A">
        <w:rPr>
          <w:i/>
        </w:rPr>
        <w:tab/>
      </w:r>
      <w:r w:rsidR="006176C6" w:rsidRPr="00BE596A">
        <w:t>que la définition</w:t>
      </w:r>
      <w:r w:rsidRPr="00BE596A">
        <w:t xml:space="preserve"> </w:t>
      </w:r>
      <w:r w:rsidR="006176C6" w:rsidRPr="00BE596A">
        <w:t xml:space="preserve">du service mobile par satellite </w:t>
      </w:r>
      <w:r w:rsidRPr="00BE596A">
        <w:t>(S</w:t>
      </w:r>
      <w:r w:rsidR="006176C6" w:rsidRPr="00BE596A">
        <w:t>M</w:t>
      </w:r>
      <w:r w:rsidRPr="00BE596A">
        <w:t xml:space="preserve">S) </w:t>
      </w:r>
      <w:r w:rsidR="006176C6" w:rsidRPr="00BE596A">
        <w:t>donnée au numéro</w:t>
      </w:r>
      <w:r w:rsidRPr="00BE596A">
        <w:t xml:space="preserve"> </w:t>
      </w:r>
      <w:r w:rsidRPr="00BE596A">
        <w:rPr>
          <w:b/>
        </w:rPr>
        <w:t>1.25</w:t>
      </w:r>
      <w:r w:rsidRPr="00BE596A">
        <w:t xml:space="preserve"> </w:t>
      </w:r>
      <w:r w:rsidR="006176C6" w:rsidRPr="00BE596A">
        <w:t>du Règlement des radiocommunications</w:t>
      </w:r>
      <w:r w:rsidRPr="00BE596A">
        <w:t xml:space="preserve"> </w:t>
      </w:r>
      <w:r w:rsidR="00144FFA" w:rsidRPr="00BE596A">
        <w:t xml:space="preserve">comprend les </w:t>
      </w:r>
      <w:r w:rsidRPr="00BE596A">
        <w:t>communication</w:t>
      </w:r>
      <w:r w:rsidR="00144FFA" w:rsidRPr="00BE596A">
        <w:t>s</w:t>
      </w:r>
      <w:r w:rsidRPr="00BE596A">
        <w:t xml:space="preserve"> </w:t>
      </w:r>
      <w:r w:rsidR="00144FFA" w:rsidRPr="00BE596A">
        <w:t>entre stations spatiales</w:t>
      </w:r>
      <w:r w:rsidRPr="00BE596A">
        <w:t>;</w:t>
      </w:r>
    </w:p>
    <w:p w14:paraId="0C9AD6BC" w14:textId="703F434C" w:rsidR="0070155D" w:rsidRPr="00BE596A" w:rsidRDefault="0070155D" w:rsidP="000510D1">
      <w:r w:rsidRPr="00BE596A">
        <w:rPr>
          <w:i/>
        </w:rPr>
        <w:t>b)</w:t>
      </w:r>
      <w:r w:rsidRPr="00BE596A">
        <w:tab/>
      </w:r>
      <w:r w:rsidR="00144FFA" w:rsidRPr="00BE596A">
        <w:t xml:space="preserve">que de nombreux </w:t>
      </w:r>
      <w:r w:rsidRPr="00BE596A">
        <w:t xml:space="preserve">satellites </w:t>
      </w:r>
      <w:r w:rsidR="00B63701">
        <w:t>non géostationnaires (</w:t>
      </w:r>
      <w:r w:rsidR="00144FFA" w:rsidRPr="00BE596A">
        <w:t>non OSG</w:t>
      </w:r>
      <w:r w:rsidR="00B63701">
        <w:t>)</w:t>
      </w:r>
      <w:r w:rsidR="00144FFA" w:rsidRPr="00BE596A">
        <w:t xml:space="preserve"> </w:t>
      </w:r>
      <w:r w:rsidR="00FD6311">
        <w:t>fonctionnent</w:t>
      </w:r>
      <w:r w:rsidR="00144FFA" w:rsidRPr="00BE596A">
        <w:t xml:space="preserve"> avec une connectivité limitée </w:t>
      </w:r>
      <w:r w:rsidR="00B63701">
        <w:t xml:space="preserve">et </w:t>
      </w:r>
      <w:r w:rsidR="00144FFA" w:rsidRPr="00BE596A">
        <w:t xml:space="preserve">en différé avec </w:t>
      </w:r>
      <w:r w:rsidR="00B63701">
        <w:t>d</w:t>
      </w:r>
      <w:r w:rsidR="00144FFA" w:rsidRPr="00BE596A">
        <w:t>es stations terriennes</w:t>
      </w:r>
      <w:r w:rsidRPr="00BE596A">
        <w:t>;</w:t>
      </w:r>
    </w:p>
    <w:p w14:paraId="2B2CA27F" w14:textId="313BD1D9" w:rsidR="0070155D" w:rsidRPr="00BE596A" w:rsidRDefault="0070155D" w:rsidP="000510D1">
      <w:r w:rsidRPr="00BE596A">
        <w:rPr>
          <w:i/>
        </w:rPr>
        <w:t>c)</w:t>
      </w:r>
      <w:r w:rsidRPr="00BE596A">
        <w:rPr>
          <w:i/>
        </w:rPr>
        <w:tab/>
      </w:r>
      <w:r w:rsidR="00144FFA" w:rsidRPr="00BE596A">
        <w:t>que les</w:t>
      </w:r>
      <w:r w:rsidRPr="00BE596A">
        <w:t xml:space="preserve"> communication</w:t>
      </w:r>
      <w:r w:rsidR="00144FFA" w:rsidRPr="00BE596A">
        <w:t>s</w:t>
      </w:r>
      <w:r w:rsidRPr="00BE596A">
        <w:t xml:space="preserve"> </w:t>
      </w:r>
      <w:r w:rsidR="00144FFA" w:rsidRPr="00BE596A">
        <w:t xml:space="preserve">espace-espace entre ces </w:t>
      </w:r>
      <w:r w:rsidRPr="00BE596A">
        <w:t xml:space="preserve">satellites </w:t>
      </w:r>
      <w:r w:rsidR="00144FFA" w:rsidRPr="00BE596A">
        <w:t xml:space="preserve">non OSG et les </w:t>
      </w:r>
      <w:r w:rsidRPr="00BE596A">
        <w:t xml:space="preserve">satellites </w:t>
      </w:r>
      <w:r w:rsidR="00144FFA" w:rsidRPr="00BE596A">
        <w:t xml:space="preserve">géostationnaires (OSG) du SMS permettraient </w:t>
      </w:r>
      <w:r w:rsidR="00FD6311">
        <w:t>d'améliorer</w:t>
      </w:r>
      <w:r w:rsidR="00144FFA" w:rsidRPr="00BE596A">
        <w:t xml:space="preserve"> la sécurité et l'efficacité </w:t>
      </w:r>
      <w:r w:rsidR="00B63701">
        <w:t>d'exploitation</w:t>
      </w:r>
      <w:r w:rsidRPr="00BE596A">
        <w:t>;</w:t>
      </w:r>
    </w:p>
    <w:p w14:paraId="6A629E74" w14:textId="0F7A7A67" w:rsidR="0070155D" w:rsidRPr="00BE596A" w:rsidRDefault="0070155D" w:rsidP="000510D1">
      <w:r w:rsidRPr="00BE596A">
        <w:rPr>
          <w:i/>
          <w:iCs/>
        </w:rPr>
        <w:t>d)</w:t>
      </w:r>
      <w:r w:rsidRPr="00BE596A">
        <w:tab/>
      </w:r>
      <w:r w:rsidR="004D1D06" w:rsidRPr="00BE596A">
        <w:t>que les</w:t>
      </w:r>
      <w:r w:rsidRPr="00BE596A">
        <w:t xml:space="preserve"> satellites </w:t>
      </w:r>
      <w:r w:rsidR="004D1D06" w:rsidRPr="00BE596A">
        <w:t xml:space="preserve">OSG du SMS fonctionnant dans les bandes de fréquences </w:t>
      </w:r>
      <w:r w:rsidRPr="00BE596A">
        <w:t>1</w:t>
      </w:r>
      <w:r w:rsidR="00B63701">
        <w:t> </w:t>
      </w:r>
      <w:r w:rsidRPr="00BE596A">
        <w:t>518</w:t>
      </w:r>
      <w:r w:rsidR="00B63701">
        <w:noBreakHyphen/>
      </w:r>
      <w:r w:rsidRPr="00BE596A">
        <w:t>1</w:t>
      </w:r>
      <w:r w:rsidR="004D1D06" w:rsidRPr="00BE596A">
        <w:t> </w:t>
      </w:r>
      <w:r w:rsidRPr="00BE596A">
        <w:t>559</w:t>
      </w:r>
      <w:r w:rsidR="004D1D06" w:rsidRPr="00BE596A">
        <w:t> </w:t>
      </w:r>
      <w:r w:rsidRPr="00BE596A">
        <w:t>MHz, 1 626</w:t>
      </w:r>
      <w:r w:rsidR="004D1D06" w:rsidRPr="00BE596A">
        <w:t>,</w:t>
      </w:r>
      <w:r w:rsidRPr="00BE596A">
        <w:t>5-1 660</w:t>
      </w:r>
      <w:r w:rsidR="004D1D06" w:rsidRPr="00BE596A">
        <w:t>,</w:t>
      </w:r>
      <w:r w:rsidRPr="00BE596A">
        <w:t xml:space="preserve">5 MHz </w:t>
      </w:r>
      <w:r w:rsidR="004D1D06" w:rsidRPr="00BE596A">
        <w:t xml:space="preserve">et </w:t>
      </w:r>
      <w:r w:rsidRPr="00BE596A">
        <w:t xml:space="preserve">1 668-1 675 MHz </w:t>
      </w:r>
      <w:r w:rsidR="004D1D06" w:rsidRPr="00BE596A">
        <w:t xml:space="preserve">peuvent prendre en charge ce type </w:t>
      </w:r>
      <w:r w:rsidR="00B63701">
        <w:t>d'exploitation</w:t>
      </w:r>
      <w:r w:rsidRPr="00BE596A">
        <w:t>;</w:t>
      </w:r>
    </w:p>
    <w:p w14:paraId="6465AA72" w14:textId="7112462A" w:rsidR="0070155D" w:rsidRPr="00BE596A" w:rsidRDefault="0070155D" w:rsidP="000510D1">
      <w:r w:rsidRPr="00BE596A">
        <w:rPr>
          <w:i/>
          <w:iCs/>
        </w:rPr>
        <w:t>e)</w:t>
      </w:r>
      <w:r w:rsidRPr="00BE596A">
        <w:tab/>
      </w:r>
      <w:r w:rsidR="004D1D06" w:rsidRPr="00BE596A">
        <w:t>que les bandes de fréquences susmentionnées sont actuellement attribuées au SMS</w:t>
      </w:r>
      <w:r w:rsidRPr="00BE596A">
        <w:t xml:space="preserve"> (</w:t>
      </w:r>
      <w:r w:rsidR="004D1D06" w:rsidRPr="00BE596A">
        <w:t>espace vers Terre</w:t>
      </w:r>
      <w:r w:rsidRPr="00BE596A">
        <w:t xml:space="preserve">) </w:t>
      </w:r>
      <w:r w:rsidR="004D1D06" w:rsidRPr="00BE596A">
        <w:t xml:space="preserve">et au SMS </w:t>
      </w:r>
      <w:r w:rsidRPr="00BE596A">
        <w:t>(</w:t>
      </w:r>
      <w:r w:rsidR="004D1D06" w:rsidRPr="00BE596A">
        <w:t>Terre vers espace</w:t>
      </w:r>
      <w:r w:rsidRPr="00BE596A">
        <w:t>)</w:t>
      </w:r>
      <w:r w:rsidR="00FD6311">
        <w:t>,</w:t>
      </w:r>
      <w:r w:rsidRPr="00BE596A">
        <w:t xml:space="preserve"> </w:t>
      </w:r>
      <w:r w:rsidR="004D1D06" w:rsidRPr="00BE596A">
        <w:t xml:space="preserve">mais pas au SMS </w:t>
      </w:r>
      <w:r w:rsidRPr="00BE596A">
        <w:t>(</w:t>
      </w:r>
      <w:r w:rsidR="004D1D06" w:rsidRPr="00BE596A">
        <w:t>espace-espace</w:t>
      </w:r>
      <w:r w:rsidRPr="00BE596A">
        <w:t>);</w:t>
      </w:r>
    </w:p>
    <w:p w14:paraId="2B48BD3E" w14:textId="6B3EF40B" w:rsidR="0070155D" w:rsidRPr="00BE596A" w:rsidRDefault="0070155D" w:rsidP="000510D1">
      <w:r w:rsidRPr="00BE596A">
        <w:rPr>
          <w:i/>
          <w:iCs/>
        </w:rPr>
        <w:t>f)</w:t>
      </w:r>
      <w:r w:rsidRPr="00BE596A">
        <w:tab/>
      </w:r>
      <w:r w:rsidR="004D1D06" w:rsidRPr="00BE596A">
        <w:t>que l'UIT</w:t>
      </w:r>
      <w:r w:rsidRPr="00BE596A">
        <w:t xml:space="preserve">-R </w:t>
      </w:r>
      <w:r w:rsidR="004D1D06" w:rsidRPr="00BE596A">
        <w:t xml:space="preserve">a </w:t>
      </w:r>
      <w:r w:rsidR="00090F77">
        <w:t>entrepris</w:t>
      </w:r>
      <w:r w:rsidR="004D1D06" w:rsidRPr="00BE596A">
        <w:t xml:space="preserve"> des études préliminaires sur</w:t>
      </w:r>
      <w:r w:rsidR="00FD6311">
        <w:t xml:space="preserve"> les</w:t>
      </w:r>
      <w:r w:rsidR="004D1D06" w:rsidRPr="00BE596A">
        <w:t xml:space="preserve"> </w:t>
      </w:r>
      <w:r w:rsidR="00090F77">
        <w:t>questions</w:t>
      </w:r>
      <w:r w:rsidR="004D1D06" w:rsidRPr="00BE596A">
        <w:t xml:space="preserve"> techniques et opérationnel</w:t>
      </w:r>
      <w:r w:rsidR="00090F77">
        <w:t>le</w:t>
      </w:r>
      <w:r w:rsidR="004D1D06" w:rsidRPr="00BE596A">
        <w:t xml:space="preserve">s </w:t>
      </w:r>
      <w:r w:rsidR="00090F77">
        <w:t xml:space="preserve">associées à </w:t>
      </w:r>
      <w:r w:rsidR="004D1D06" w:rsidRPr="00BE596A">
        <w:t>l'exploitation des liaisons espace</w:t>
      </w:r>
      <w:r w:rsidRPr="00BE596A">
        <w:t>-</w:t>
      </w:r>
      <w:r w:rsidR="004D1D06" w:rsidRPr="00BE596A">
        <w:t xml:space="preserve">espace entre les </w:t>
      </w:r>
      <w:r w:rsidRPr="00BE596A">
        <w:t xml:space="preserve">satellites </w:t>
      </w:r>
      <w:r w:rsidR="004D1D06" w:rsidRPr="00BE596A">
        <w:t>no</w:t>
      </w:r>
      <w:r w:rsidR="00FD6311">
        <w:t>n</w:t>
      </w:r>
      <w:r w:rsidR="004D1D06" w:rsidRPr="00BE596A">
        <w:t xml:space="preserve"> OSG et les </w:t>
      </w:r>
      <w:r w:rsidRPr="00BE596A">
        <w:t xml:space="preserve">satellites </w:t>
      </w:r>
      <w:r w:rsidR="004D1D06" w:rsidRPr="00BE596A">
        <w:t>OSG du SMS dans les bandes de fréquences susmentionnées</w:t>
      </w:r>
      <w:r w:rsidRPr="00BE596A">
        <w:t>,</w:t>
      </w:r>
    </w:p>
    <w:p w14:paraId="2090C798" w14:textId="238298B0" w:rsidR="0070155D" w:rsidRPr="00BE596A" w:rsidRDefault="0070155D" w:rsidP="000510D1">
      <w:pPr>
        <w:pStyle w:val="Call"/>
      </w:pPr>
      <w:r w:rsidRPr="00BE596A">
        <w:t>reconnaissant</w:t>
      </w:r>
    </w:p>
    <w:p w14:paraId="6D45E46A" w14:textId="647C9EC9" w:rsidR="0070155D" w:rsidRPr="00BE596A" w:rsidRDefault="004D1D06" w:rsidP="000510D1">
      <w:r w:rsidRPr="00BE596A">
        <w:t>qu'il est nécessaire d'étudier l'exploitation potentielle du SMS</w:t>
      </w:r>
      <w:r w:rsidR="0070155D" w:rsidRPr="00BE596A">
        <w:t xml:space="preserve"> (</w:t>
      </w:r>
      <w:r w:rsidRPr="00BE596A">
        <w:t>espace-espace</w:t>
      </w:r>
      <w:r w:rsidR="0070155D" w:rsidRPr="00BE596A">
        <w:t xml:space="preserve">) </w:t>
      </w:r>
      <w:r w:rsidRPr="00BE596A">
        <w:t>dans les bandes de fréquences susmentionnées pour garantir la compatibilité avec tous les services bénéficiant d'attributions dans ces bandes et éviter les brouillages préjudiciables</w:t>
      </w:r>
      <w:r w:rsidR="0070155D" w:rsidRPr="00BE596A">
        <w:t>,</w:t>
      </w:r>
    </w:p>
    <w:p w14:paraId="2E167686" w14:textId="308F680B" w:rsidR="0070155D" w:rsidRPr="00BE596A" w:rsidRDefault="0070155D" w:rsidP="000510D1">
      <w:pPr>
        <w:pStyle w:val="Call"/>
      </w:pPr>
      <w:r w:rsidRPr="00BE596A">
        <w:t>notant</w:t>
      </w:r>
    </w:p>
    <w:p w14:paraId="089745AA" w14:textId="679E98AD" w:rsidR="0070155D" w:rsidRPr="00BE596A" w:rsidRDefault="0070155D" w:rsidP="000510D1">
      <w:r w:rsidRPr="00BE596A">
        <w:rPr>
          <w:i/>
        </w:rPr>
        <w:t>a)</w:t>
      </w:r>
      <w:r w:rsidRPr="00BE596A">
        <w:rPr>
          <w:i/>
        </w:rPr>
        <w:tab/>
      </w:r>
      <w:r w:rsidR="008B196E" w:rsidRPr="00BE596A">
        <w:t>qu</w:t>
      </w:r>
      <w:r w:rsidR="00B63701">
        <w:t>'au § </w:t>
      </w:r>
      <w:r w:rsidRPr="00BE596A">
        <w:t xml:space="preserve">3.1.3.2 </w:t>
      </w:r>
      <w:r w:rsidR="008B196E" w:rsidRPr="00BE596A">
        <w:t>d</w:t>
      </w:r>
      <w:r w:rsidR="00B63701">
        <w:t xml:space="preserve">u </w:t>
      </w:r>
      <w:r w:rsidR="008B196E" w:rsidRPr="00BE596A">
        <w:t xml:space="preserve">Rapport </w:t>
      </w:r>
      <w:r w:rsidR="00B63701">
        <w:t xml:space="preserve">du Directeur </w:t>
      </w:r>
      <w:r w:rsidR="008B196E" w:rsidRPr="00BE596A">
        <w:t>à la CMR-19 sur les activités du Secteur des radiocommunications</w:t>
      </w:r>
      <w:r w:rsidR="0092727C" w:rsidRPr="00BE596A">
        <w:t xml:space="preserve">, </w:t>
      </w:r>
      <w:r w:rsidR="006E2863">
        <w:t>il est indiqué</w:t>
      </w:r>
      <w:r w:rsidR="008B196E" w:rsidRPr="00BE596A">
        <w:t xml:space="preserve"> </w:t>
      </w:r>
      <w:r w:rsidR="0092727C" w:rsidRPr="00BE596A">
        <w:t xml:space="preserve">que </w:t>
      </w:r>
      <w:r w:rsidRPr="00BE596A">
        <w:t xml:space="preserve">le Bureau </w:t>
      </w:r>
      <w:r w:rsidR="00A87D6D">
        <w:t>reçoit</w:t>
      </w:r>
      <w:r w:rsidRPr="00BE596A">
        <w:t xml:space="preserve"> un nombre croissant de renseignements pour la publication anticipée (API) concernant des réseaux à satellite non géostationnaire dans des bandes de fréquences qui ne sont pas attribuées, en vertu de l'Article </w:t>
      </w:r>
      <w:r w:rsidRPr="000510D1">
        <w:rPr>
          <w:b/>
          <w:bCs/>
        </w:rPr>
        <w:t>5</w:t>
      </w:r>
      <w:r w:rsidRPr="00BE596A">
        <w:t xml:space="preserve"> du Règlement des radiocommunications, pour le type de service prévu, </w:t>
      </w:r>
      <w:r w:rsidR="0092727C" w:rsidRPr="00BE596A">
        <w:t xml:space="preserve">y compris des fiches de notification de réseaux à </w:t>
      </w:r>
      <w:r w:rsidRPr="00BE596A">
        <w:t xml:space="preserve">satellite </w:t>
      </w:r>
      <w:r w:rsidR="0092727C" w:rsidRPr="00BE596A">
        <w:t xml:space="preserve">pour des applications du service </w:t>
      </w:r>
      <w:r w:rsidRPr="00BE596A">
        <w:t>inter-satellite</w:t>
      </w:r>
      <w:r w:rsidR="0092727C" w:rsidRPr="00BE596A">
        <w:t>s</w:t>
      </w:r>
      <w:r w:rsidRPr="00BE596A">
        <w:t xml:space="preserve"> </w:t>
      </w:r>
      <w:r w:rsidR="0092727C" w:rsidRPr="00BE596A">
        <w:t xml:space="preserve">dans des </w:t>
      </w:r>
      <w:r w:rsidRPr="00BE596A">
        <w:t>band</w:t>
      </w:r>
      <w:r w:rsidR="0092727C" w:rsidRPr="00BE596A">
        <w:t>e</w:t>
      </w:r>
      <w:r w:rsidRPr="00BE596A">
        <w:t xml:space="preserve">s </w:t>
      </w:r>
      <w:r w:rsidR="0092727C" w:rsidRPr="00BE596A">
        <w:t xml:space="preserve">attribuées uniquement dans les sens Terre vers espace et </w:t>
      </w:r>
      <w:r w:rsidR="003C6F26" w:rsidRPr="00BE596A">
        <w:t>espace vers Terre</w:t>
      </w:r>
      <w:r w:rsidRPr="00BE596A">
        <w:t>;</w:t>
      </w:r>
    </w:p>
    <w:p w14:paraId="7B3AB826" w14:textId="2E840DDF" w:rsidR="0070155D" w:rsidRPr="00BE596A" w:rsidRDefault="0070155D" w:rsidP="000510D1">
      <w:r w:rsidRPr="00BE596A">
        <w:rPr>
          <w:i/>
        </w:rPr>
        <w:t>b)</w:t>
      </w:r>
      <w:r w:rsidRPr="00BE596A">
        <w:rPr>
          <w:i/>
        </w:rPr>
        <w:tab/>
      </w:r>
      <w:r w:rsidR="003C6F26" w:rsidRPr="00BE596A">
        <w:t xml:space="preserve">que, dans ce même </w:t>
      </w:r>
      <w:r w:rsidR="00A87D6D">
        <w:t>r</w:t>
      </w:r>
      <w:r w:rsidR="003C6F26" w:rsidRPr="00BE596A">
        <w:t>apport,</w:t>
      </w:r>
      <w:r w:rsidR="00A87D6D">
        <w:t xml:space="preserve"> il est </w:t>
      </w:r>
      <w:r w:rsidR="003C6F26" w:rsidRPr="00BE596A">
        <w:t xml:space="preserve">conclu que </w:t>
      </w:r>
      <w:r w:rsidRPr="00BE596A">
        <w:t>compte tenu des progrès techniques récents et du nombre croissant de soumissions de liaisons inter-satellites dans des bandes de fréquences qui ne sont pas attribuées au service inter-satellites ou à un service spatial dans le sens espace-espace, la Conférence voudra peut-être réfléchir à la manière de reconnaître ces utilisations, sur la base des conditions découlant des études des Groupes de travail 4A et 4C de l'UIT</w:t>
      </w:r>
      <w:r w:rsidR="003C6F26" w:rsidRPr="00BE596A">
        <w:t>-</w:t>
      </w:r>
      <w:r w:rsidRPr="00BE596A">
        <w:t>R, afin d'éviter que des brouillages ne soient causés aux systèmes existants fonctionnant dans les mêmes bandes de fréquences</w:t>
      </w:r>
      <w:r w:rsidR="00EE6FC2" w:rsidRPr="00BE596A">
        <w:t>,</w:t>
      </w:r>
    </w:p>
    <w:p w14:paraId="7CF6913F" w14:textId="20281209" w:rsidR="0070155D" w:rsidRPr="00BE596A" w:rsidRDefault="0070155D" w:rsidP="000510D1">
      <w:pPr>
        <w:pStyle w:val="Call"/>
      </w:pPr>
      <w:r w:rsidRPr="00BE596A">
        <w:lastRenderedPageBreak/>
        <w:t>décide d'inviter l'UIT-R</w:t>
      </w:r>
    </w:p>
    <w:p w14:paraId="55E4153C" w14:textId="164C7E27" w:rsidR="0070155D" w:rsidRPr="00BE596A" w:rsidRDefault="0070155D" w:rsidP="000510D1">
      <w:pPr>
        <w:rPr>
          <w:rFonts w:asciiTheme="majorBidi" w:hAnsiTheme="majorBidi" w:cstheme="majorBidi"/>
          <w:szCs w:val="24"/>
        </w:rPr>
      </w:pPr>
      <w:r w:rsidRPr="00BE596A">
        <w:rPr>
          <w:rFonts w:asciiTheme="majorBidi" w:hAnsiTheme="majorBidi" w:cstheme="majorBidi"/>
          <w:szCs w:val="24"/>
        </w:rPr>
        <w:t>1</w:t>
      </w:r>
      <w:r w:rsidRPr="00BE596A">
        <w:rPr>
          <w:rFonts w:asciiTheme="majorBidi" w:hAnsiTheme="majorBidi" w:cstheme="majorBidi"/>
          <w:szCs w:val="24"/>
        </w:rPr>
        <w:tab/>
      </w:r>
      <w:r w:rsidR="003C6F26" w:rsidRPr="00BE596A">
        <w:rPr>
          <w:rFonts w:asciiTheme="majorBidi" w:hAnsiTheme="majorBidi" w:cstheme="majorBidi"/>
          <w:szCs w:val="24"/>
        </w:rPr>
        <w:t xml:space="preserve">à étudier les caractéristiques techniques et opérationnelles </w:t>
      </w:r>
      <w:r w:rsidR="003C6F26" w:rsidRPr="00BE596A">
        <w:t xml:space="preserve">des différents types de stations spatiales non OSG qui exploitent ou </w:t>
      </w:r>
      <w:r w:rsidR="00A87D6D">
        <w:t>devraient</w:t>
      </w:r>
      <w:r w:rsidR="003C6F26" w:rsidRPr="00BE596A">
        <w:t xml:space="preserve"> exploiter des liaisons espace-espace avec des réseaux OSG du SMS dans les bandes de fréquences </w:t>
      </w:r>
      <w:r w:rsidRPr="00BE596A">
        <w:t>1 518-1 559 MHz, 1 626</w:t>
      </w:r>
      <w:r w:rsidR="003C6F26" w:rsidRPr="00BE596A">
        <w:t>,</w:t>
      </w:r>
      <w:r w:rsidRPr="00BE596A">
        <w:t>5-1 660</w:t>
      </w:r>
      <w:r w:rsidR="003C6F26" w:rsidRPr="00BE596A">
        <w:t>,</w:t>
      </w:r>
      <w:r w:rsidRPr="00BE596A">
        <w:t xml:space="preserve">5 MHz </w:t>
      </w:r>
      <w:r w:rsidR="003C6F26" w:rsidRPr="00BE596A">
        <w:t xml:space="preserve">et </w:t>
      </w:r>
      <w:r w:rsidRPr="00BE596A">
        <w:t>1</w:t>
      </w:r>
      <w:r w:rsidR="003C6F26" w:rsidRPr="00BE596A">
        <w:t> </w:t>
      </w:r>
      <w:r w:rsidRPr="00BE596A">
        <w:t>668</w:t>
      </w:r>
      <w:r w:rsidR="00A87D6D">
        <w:noBreakHyphen/>
      </w:r>
      <w:r w:rsidRPr="00BE596A">
        <w:t>1</w:t>
      </w:r>
      <w:r w:rsidR="00A87D6D">
        <w:t> </w:t>
      </w:r>
      <w:r w:rsidRPr="00BE596A">
        <w:t>675 MHz</w:t>
      </w:r>
      <w:r w:rsidRPr="00BE596A">
        <w:rPr>
          <w:rFonts w:asciiTheme="majorBidi" w:hAnsiTheme="majorBidi" w:cstheme="majorBidi"/>
          <w:szCs w:val="24"/>
        </w:rPr>
        <w:t>;</w:t>
      </w:r>
    </w:p>
    <w:p w14:paraId="2A0F8A9F" w14:textId="217CC083" w:rsidR="0070155D" w:rsidRPr="00BE596A" w:rsidRDefault="0070155D" w:rsidP="000510D1">
      <w:pPr>
        <w:rPr>
          <w:rFonts w:asciiTheme="majorBidi" w:hAnsiTheme="majorBidi" w:cstheme="majorBidi"/>
          <w:szCs w:val="24"/>
        </w:rPr>
      </w:pPr>
      <w:r w:rsidRPr="00BE596A">
        <w:rPr>
          <w:rFonts w:asciiTheme="majorBidi" w:hAnsiTheme="majorBidi" w:cstheme="majorBidi"/>
          <w:szCs w:val="24"/>
        </w:rPr>
        <w:t>2</w:t>
      </w:r>
      <w:r w:rsidRPr="00BE596A">
        <w:rPr>
          <w:rFonts w:asciiTheme="majorBidi" w:hAnsiTheme="majorBidi" w:cstheme="majorBidi"/>
          <w:szCs w:val="24"/>
        </w:rPr>
        <w:tab/>
      </w:r>
      <w:r w:rsidR="003C6F26" w:rsidRPr="00BE596A">
        <w:rPr>
          <w:rFonts w:asciiTheme="majorBidi" w:hAnsiTheme="majorBidi" w:cstheme="majorBidi"/>
          <w:szCs w:val="24"/>
        </w:rPr>
        <w:t>à</w:t>
      </w:r>
      <w:r w:rsidR="003A4EF7">
        <w:rPr>
          <w:rFonts w:asciiTheme="majorBidi" w:hAnsiTheme="majorBidi" w:cstheme="majorBidi"/>
          <w:szCs w:val="24"/>
        </w:rPr>
        <w:t xml:space="preserve"> mener des études de </w:t>
      </w:r>
      <w:r w:rsidR="003C6F26" w:rsidRPr="00BE596A">
        <w:rPr>
          <w:rFonts w:asciiTheme="majorBidi" w:hAnsiTheme="majorBidi" w:cstheme="majorBidi"/>
          <w:szCs w:val="24"/>
        </w:rPr>
        <w:t xml:space="preserve">partage et </w:t>
      </w:r>
      <w:r w:rsidR="003A4EF7">
        <w:rPr>
          <w:rFonts w:asciiTheme="majorBidi" w:hAnsiTheme="majorBidi" w:cstheme="majorBidi"/>
          <w:szCs w:val="24"/>
        </w:rPr>
        <w:t xml:space="preserve">de </w:t>
      </w:r>
      <w:r w:rsidR="003C6F26" w:rsidRPr="00BE596A">
        <w:rPr>
          <w:rFonts w:asciiTheme="majorBidi" w:hAnsiTheme="majorBidi" w:cstheme="majorBidi"/>
          <w:szCs w:val="24"/>
        </w:rPr>
        <w:t>compatibilité</w:t>
      </w:r>
      <w:r w:rsidRPr="00BE596A">
        <w:t xml:space="preserve"> </w:t>
      </w:r>
      <w:r w:rsidR="003A4EF7">
        <w:t>entre, d'une part, l</w:t>
      </w:r>
      <w:r w:rsidR="008700DB" w:rsidRPr="00BE596A">
        <w:t>es</w:t>
      </w:r>
      <w:r w:rsidR="003C6F26" w:rsidRPr="00BE596A">
        <w:t xml:space="preserve"> liaisons espace</w:t>
      </w:r>
      <w:r w:rsidR="003A4EF7">
        <w:noBreakHyphen/>
      </w:r>
      <w:r w:rsidR="003C6F26" w:rsidRPr="00BE596A">
        <w:t xml:space="preserve">espace </w:t>
      </w:r>
      <w:r w:rsidR="008700DB" w:rsidRPr="00BE596A">
        <w:t>entre les stations spatiales non OSG et OSG dans les bandes de fréquences susmentionnées et</w:t>
      </w:r>
      <w:r w:rsidR="003A4EF7">
        <w:t xml:space="preserve">, d'autre part, </w:t>
      </w:r>
      <w:r w:rsidR="008700DB" w:rsidRPr="00BE596A">
        <w:t xml:space="preserve">les stations </w:t>
      </w:r>
      <w:r w:rsidR="003A4EF7">
        <w:t xml:space="preserve">existantes </w:t>
      </w:r>
      <w:r w:rsidR="008700DB" w:rsidRPr="00BE596A">
        <w:t xml:space="preserve">ou en projet des services </w:t>
      </w:r>
      <w:r w:rsidR="003A4EF7">
        <w:t>bénéficiant actuellement d'</w:t>
      </w:r>
      <w:r w:rsidR="008700DB" w:rsidRPr="00BE596A">
        <w:t>attributions dans les mêmes bandes de fréquences, afin de garantir leur compatibilité technique</w:t>
      </w:r>
      <w:r w:rsidRPr="00BE596A">
        <w:rPr>
          <w:rFonts w:asciiTheme="majorBidi" w:hAnsiTheme="majorBidi" w:cstheme="majorBidi"/>
          <w:szCs w:val="24"/>
        </w:rPr>
        <w:t>;</w:t>
      </w:r>
    </w:p>
    <w:p w14:paraId="3145C350" w14:textId="7CD49EE7" w:rsidR="0070155D" w:rsidRPr="00BE596A" w:rsidRDefault="0070155D" w:rsidP="000510D1">
      <w:pPr>
        <w:rPr>
          <w:i/>
        </w:rPr>
      </w:pPr>
      <w:r w:rsidRPr="00BE596A">
        <w:rPr>
          <w:rFonts w:asciiTheme="majorBidi" w:hAnsiTheme="majorBidi" w:cstheme="majorBidi"/>
          <w:szCs w:val="24"/>
        </w:rPr>
        <w:t>3</w:t>
      </w:r>
      <w:r w:rsidRPr="00BE596A">
        <w:rPr>
          <w:rFonts w:asciiTheme="majorBidi" w:hAnsiTheme="majorBidi" w:cstheme="majorBidi"/>
          <w:szCs w:val="24"/>
        </w:rPr>
        <w:tab/>
      </w:r>
      <w:r w:rsidR="00826C93" w:rsidRPr="00BE596A">
        <w:rPr>
          <w:rFonts w:asciiTheme="majorBidi" w:hAnsiTheme="majorBidi" w:cstheme="majorBidi"/>
          <w:szCs w:val="24"/>
        </w:rPr>
        <w:t>à élaborer des</w:t>
      </w:r>
      <w:r w:rsidRPr="00BE596A">
        <w:t xml:space="preserve"> conditions </w:t>
      </w:r>
      <w:r w:rsidR="00826C93" w:rsidRPr="00BE596A">
        <w:t>techniques et des dispositions réglementaires pour l'exploitation des liaisons espace</w:t>
      </w:r>
      <w:r w:rsidRPr="00BE596A">
        <w:t>-</w:t>
      </w:r>
      <w:r w:rsidR="00826C93" w:rsidRPr="00BE596A">
        <w:t>espace dans ces bandes de fréquences</w:t>
      </w:r>
      <w:r w:rsidRPr="00BE596A">
        <w:t xml:space="preserve">, </w:t>
      </w:r>
      <w:r w:rsidR="00826C93" w:rsidRPr="00BE596A">
        <w:t xml:space="preserve">y compris </w:t>
      </w:r>
      <w:r w:rsidR="007B0478">
        <w:t xml:space="preserve">des attributions </w:t>
      </w:r>
      <w:r w:rsidR="00826C93" w:rsidRPr="00BE596A">
        <w:t xml:space="preserve">nouvelles </w:t>
      </w:r>
      <w:r w:rsidR="007B0478">
        <w:t>ou révisées,</w:t>
      </w:r>
      <w:r w:rsidR="00826C93" w:rsidRPr="00BE596A">
        <w:t xml:space="preserve"> </w:t>
      </w:r>
      <w:r w:rsidR="00CF3FA9">
        <w:t xml:space="preserve">selon qu'il conviendra, </w:t>
      </w:r>
      <w:r w:rsidR="00826C93" w:rsidRPr="00BE596A">
        <w:t xml:space="preserve">compte tenu des résultats des études demandées aux points 1 et 2 du </w:t>
      </w:r>
      <w:r w:rsidR="00826C93" w:rsidRPr="00BE596A">
        <w:rPr>
          <w:i/>
          <w:iCs/>
        </w:rPr>
        <w:t xml:space="preserve">décide d'inviter l'UIT-R </w:t>
      </w:r>
      <w:r w:rsidR="00826C93" w:rsidRPr="00BE596A">
        <w:t>ci-dessus</w:t>
      </w:r>
      <w:r w:rsidRPr="00BE596A">
        <w:rPr>
          <w:iCs/>
        </w:rPr>
        <w:t>,</w:t>
      </w:r>
    </w:p>
    <w:p w14:paraId="7B1614E0" w14:textId="77777777" w:rsidR="007912F6" w:rsidRPr="00BE596A" w:rsidRDefault="007912F6" w:rsidP="000510D1">
      <w:pPr>
        <w:pStyle w:val="Call"/>
      </w:pPr>
      <w:r w:rsidRPr="00BE596A">
        <w:t>décide en outre</w:t>
      </w:r>
    </w:p>
    <w:p w14:paraId="192BD907" w14:textId="7BE77026" w:rsidR="007912F6" w:rsidRPr="00BE596A" w:rsidRDefault="007912F6" w:rsidP="000510D1">
      <w:r w:rsidRPr="00BE596A">
        <w:t>d'inviter la Conférence mondiale des radiocommunications de 2023 à examiner les résultats des études ci-dessus et à prendre les mesures voulues,</w:t>
      </w:r>
    </w:p>
    <w:p w14:paraId="42319A90" w14:textId="77777777" w:rsidR="007912F6" w:rsidRPr="00BE596A" w:rsidRDefault="007912F6" w:rsidP="000510D1">
      <w:pPr>
        <w:pStyle w:val="Call"/>
      </w:pPr>
      <w:r w:rsidRPr="00BE596A">
        <w:t>invite les administrations</w:t>
      </w:r>
    </w:p>
    <w:p w14:paraId="040368EC" w14:textId="77777777" w:rsidR="007912F6" w:rsidRPr="00BE596A" w:rsidRDefault="007912F6" w:rsidP="000510D1">
      <w:r w:rsidRPr="00BE596A">
        <w:t>à participer aux études en soumettant des contributions à l'UIT-R.</w:t>
      </w:r>
    </w:p>
    <w:p w14:paraId="0C13E449" w14:textId="2B12D06C" w:rsidR="00D84828" w:rsidRPr="00BE596A" w:rsidRDefault="00EE6FC2" w:rsidP="000510D1">
      <w:pPr>
        <w:pStyle w:val="Reasons"/>
      </w:pPr>
      <w:r w:rsidRPr="00BE596A">
        <w:rPr>
          <w:b/>
        </w:rPr>
        <w:t>Motifs:</w:t>
      </w:r>
      <w:r w:rsidRPr="00BE596A">
        <w:tab/>
      </w:r>
      <w:r w:rsidR="008D2EC9" w:rsidRPr="00BE596A">
        <w:t xml:space="preserve">Disposer d'informations à l'appui de l'adjonction de ce </w:t>
      </w:r>
      <w:r w:rsidR="00B30FE3">
        <w:t xml:space="preserve">nouveau </w:t>
      </w:r>
      <w:r w:rsidR="008D2EC9" w:rsidRPr="00BE596A">
        <w:t xml:space="preserve">point </w:t>
      </w:r>
      <w:r w:rsidR="00B30FE3">
        <w:t xml:space="preserve">à </w:t>
      </w:r>
      <w:r w:rsidR="008D2EC9" w:rsidRPr="00BE596A">
        <w:t>l'ordre du jour</w:t>
      </w:r>
      <w:r w:rsidR="007912F6" w:rsidRPr="00BE596A">
        <w:t xml:space="preserve"> </w:t>
      </w:r>
      <w:r w:rsidR="00B30FE3">
        <w:t xml:space="preserve">de </w:t>
      </w:r>
      <w:r w:rsidR="008D2EC9" w:rsidRPr="00BE596A">
        <w:t xml:space="preserve">la </w:t>
      </w:r>
      <w:r w:rsidR="007912F6" w:rsidRPr="00BE596A">
        <w:t>C</w:t>
      </w:r>
      <w:r w:rsidR="008D2EC9" w:rsidRPr="00BE596A">
        <w:t>MR</w:t>
      </w:r>
      <w:r w:rsidR="007912F6" w:rsidRPr="00BE596A">
        <w:t>-23.</w:t>
      </w:r>
    </w:p>
    <w:p w14:paraId="6BADEF70" w14:textId="0AC7839E" w:rsidR="007912F6" w:rsidRPr="00BE596A" w:rsidRDefault="007912F6" w:rsidP="000510D1">
      <w:r w:rsidRPr="00BE596A">
        <w:br w:type="page"/>
      </w:r>
    </w:p>
    <w:p w14:paraId="224A94AE" w14:textId="383F8F88" w:rsidR="00E36728" w:rsidRPr="00BE596A" w:rsidRDefault="00E36728" w:rsidP="000510D1">
      <w:pPr>
        <w:pStyle w:val="AnnexNo"/>
      </w:pPr>
      <w:r w:rsidRPr="00BE596A">
        <w:rPr>
          <w:rPrChange w:id="6" w:author="Cormier-Ribout, Kevin" w:date="2019-02-15T16:09:00Z">
            <w:rPr>
              <w:highlight w:val="cyan"/>
            </w:rPr>
          </w:rPrChange>
        </w:rPr>
        <w:lastRenderedPageBreak/>
        <w:t>ANNEXE</w:t>
      </w:r>
    </w:p>
    <w:p w14:paraId="2236AA4F" w14:textId="77777777" w:rsidR="00E36728" w:rsidRPr="00BE596A" w:rsidRDefault="00E36728" w:rsidP="000510D1">
      <w:pPr>
        <w:pStyle w:val="Normalaftertitle"/>
        <w:rPr>
          <w:highlight w:val="cyan"/>
        </w:rPr>
      </w:pPr>
    </w:p>
    <w:tbl>
      <w:tblPr>
        <w:tblStyle w:val="TableGrid"/>
        <w:tblpPr w:leftFromText="180" w:rightFromText="180" w:vertAnchor="text" w:tblpX="-84" w:tblpY="1"/>
        <w:tblOverlap w:val="never"/>
        <w:tblW w:w="9723" w:type="dxa"/>
        <w:tblLook w:val="04A0" w:firstRow="1" w:lastRow="0" w:firstColumn="1" w:lastColumn="0" w:noHBand="0" w:noVBand="1"/>
      </w:tblPr>
      <w:tblGrid>
        <w:gridCol w:w="4627"/>
        <w:gridCol w:w="5096"/>
      </w:tblGrid>
      <w:tr w:rsidR="00E36728" w:rsidRPr="00BE596A" w14:paraId="1C73A69C" w14:textId="77777777" w:rsidTr="002E5FC7">
        <w:tc>
          <w:tcPr>
            <w:tcW w:w="9723" w:type="dxa"/>
            <w:gridSpan w:val="2"/>
          </w:tcPr>
          <w:p w14:paraId="26305D09" w14:textId="77777777" w:rsidR="00E36728" w:rsidRPr="00BE596A" w:rsidRDefault="00E36728" w:rsidP="000510D1">
            <w:pPr>
              <w:rPr>
                <w:b/>
                <w:bCs/>
              </w:rPr>
            </w:pPr>
            <w:proofErr w:type="gramStart"/>
            <w:r w:rsidRPr="007A3E29">
              <w:rPr>
                <w:b/>
                <w:bCs/>
                <w:i/>
                <w:iCs/>
              </w:rPr>
              <w:t>Objet</w:t>
            </w:r>
            <w:r w:rsidRPr="00BE596A">
              <w:rPr>
                <w:b/>
                <w:bCs/>
              </w:rPr>
              <w:t>:</w:t>
            </w:r>
            <w:proofErr w:type="gramEnd"/>
          </w:p>
          <w:p w14:paraId="286DEEEC" w14:textId="67AF6F45" w:rsidR="00E36728" w:rsidRPr="00544C08" w:rsidRDefault="002C4A66" w:rsidP="000510D1">
            <w:pPr>
              <w:spacing w:after="120"/>
            </w:pPr>
            <w:r w:rsidRPr="00BE596A">
              <w:t>Attributions au service mobile par satellite</w:t>
            </w:r>
            <w:r w:rsidR="00E36728" w:rsidRPr="00BE596A">
              <w:t xml:space="preserve"> (</w:t>
            </w:r>
            <w:r w:rsidRPr="00BE596A">
              <w:t>espace-espace</w:t>
            </w:r>
            <w:r w:rsidR="00E36728" w:rsidRPr="00BE596A">
              <w:t xml:space="preserve">) </w:t>
            </w:r>
            <w:r w:rsidRPr="00BE596A">
              <w:t xml:space="preserve">dans les bandes de fréquences </w:t>
            </w:r>
            <w:r w:rsidR="00E36728" w:rsidRPr="00BE596A">
              <w:t>1</w:t>
            </w:r>
            <w:r w:rsidR="000510D1">
              <w:t> </w:t>
            </w:r>
            <w:r w:rsidR="00E36728" w:rsidRPr="00BE596A">
              <w:t>518</w:t>
            </w:r>
            <w:r w:rsidR="000510D1">
              <w:noBreakHyphen/>
            </w:r>
            <w:r w:rsidR="00E36728" w:rsidRPr="00BE596A">
              <w:t>1</w:t>
            </w:r>
            <w:r w:rsidR="000510D1">
              <w:t> </w:t>
            </w:r>
            <w:r w:rsidR="00E36728" w:rsidRPr="00BE596A">
              <w:t>559 MHz, 1</w:t>
            </w:r>
            <w:r w:rsidR="000510D1">
              <w:t> </w:t>
            </w:r>
            <w:r w:rsidR="00E36728" w:rsidRPr="00BE596A">
              <w:t>626</w:t>
            </w:r>
            <w:r w:rsidRPr="00BE596A">
              <w:t>,</w:t>
            </w:r>
            <w:r w:rsidR="00E36728" w:rsidRPr="00BE596A">
              <w:t>5-1</w:t>
            </w:r>
            <w:r w:rsidR="000510D1">
              <w:t> </w:t>
            </w:r>
            <w:r w:rsidR="00E36728" w:rsidRPr="00BE596A">
              <w:t>660</w:t>
            </w:r>
            <w:r w:rsidRPr="00BE596A">
              <w:t>,</w:t>
            </w:r>
            <w:r w:rsidR="00E36728" w:rsidRPr="00BE596A">
              <w:t xml:space="preserve">5 MHz </w:t>
            </w:r>
            <w:r w:rsidRPr="00BE596A">
              <w:t xml:space="preserve">et </w:t>
            </w:r>
            <w:r w:rsidR="00E36728" w:rsidRPr="00BE596A">
              <w:t>1</w:t>
            </w:r>
            <w:r w:rsidR="000510D1">
              <w:t> </w:t>
            </w:r>
            <w:r w:rsidR="00E36728" w:rsidRPr="00BE596A">
              <w:t>668-1</w:t>
            </w:r>
            <w:r w:rsidR="000510D1">
              <w:t> </w:t>
            </w:r>
            <w:r w:rsidR="00E36728" w:rsidRPr="00BE596A">
              <w:t xml:space="preserve">675 MHz, </w:t>
            </w:r>
            <w:r w:rsidRPr="00BE596A">
              <w:t>conformément au projet de nouvelle Résolution</w:t>
            </w:r>
            <w:r w:rsidR="00E36728" w:rsidRPr="00BE596A">
              <w:t xml:space="preserve"> </w:t>
            </w:r>
            <w:r w:rsidR="00E36728" w:rsidRPr="00BE596A">
              <w:rPr>
                <w:b/>
                <w:bCs/>
              </w:rPr>
              <w:t>[SNG/A10/MSS SPACE-TO-SPACE L-BAND] (C</w:t>
            </w:r>
            <w:r w:rsidRPr="00BE596A">
              <w:rPr>
                <w:b/>
                <w:bCs/>
              </w:rPr>
              <w:t>MR</w:t>
            </w:r>
            <w:r w:rsidR="00E36728" w:rsidRPr="00BE596A">
              <w:rPr>
                <w:b/>
                <w:bCs/>
              </w:rPr>
              <w:t>-19)</w:t>
            </w:r>
            <w:r w:rsidR="00544C08">
              <w:t>.</w:t>
            </w:r>
          </w:p>
        </w:tc>
      </w:tr>
      <w:tr w:rsidR="00E36728" w:rsidRPr="00BE596A" w14:paraId="63E5E475" w14:textId="77777777" w:rsidTr="002E5FC7">
        <w:tc>
          <w:tcPr>
            <w:tcW w:w="9723" w:type="dxa"/>
            <w:gridSpan w:val="2"/>
          </w:tcPr>
          <w:p w14:paraId="1BCB5E1B" w14:textId="77777777" w:rsidR="00E36728" w:rsidRPr="00BE596A" w:rsidRDefault="00E36728" w:rsidP="000510D1">
            <w:pPr>
              <w:spacing w:after="120"/>
              <w:rPr>
                <w:b/>
                <w:bCs/>
                <w:i/>
                <w:iCs/>
              </w:rPr>
            </w:pPr>
            <w:proofErr w:type="gramStart"/>
            <w:r w:rsidRPr="007A3E29">
              <w:rPr>
                <w:b/>
                <w:bCs/>
                <w:i/>
                <w:iCs/>
              </w:rPr>
              <w:t>Origine</w:t>
            </w:r>
            <w:r w:rsidRPr="00BE596A">
              <w:rPr>
                <w:b/>
                <w:bCs/>
              </w:rPr>
              <w:t>:</w:t>
            </w:r>
            <w:proofErr w:type="gramEnd"/>
            <w:r w:rsidRPr="00BE596A">
              <w:t xml:space="preserve"> </w:t>
            </w:r>
            <w:r w:rsidRPr="000510D1">
              <w:rPr>
                <w:b/>
                <w:bCs/>
              </w:rPr>
              <w:t>Singapour</w:t>
            </w:r>
          </w:p>
        </w:tc>
      </w:tr>
      <w:tr w:rsidR="00E36728" w:rsidRPr="00BE596A" w14:paraId="27AF4BCC" w14:textId="77777777" w:rsidTr="002E5FC7">
        <w:tc>
          <w:tcPr>
            <w:tcW w:w="9723" w:type="dxa"/>
            <w:gridSpan w:val="2"/>
          </w:tcPr>
          <w:p w14:paraId="057A549E" w14:textId="77777777" w:rsidR="00E36728" w:rsidRPr="00BE596A" w:rsidRDefault="00E36728" w:rsidP="000510D1">
            <w:pPr>
              <w:rPr>
                <w:b/>
                <w:bCs/>
              </w:rPr>
            </w:pPr>
            <w:r w:rsidRPr="00BE596A">
              <w:rPr>
                <w:b/>
                <w:bCs/>
                <w:i/>
                <w:iCs/>
              </w:rPr>
              <w:t>Proposition</w:t>
            </w:r>
            <w:r w:rsidRPr="00BE596A">
              <w:rPr>
                <w:b/>
                <w:bCs/>
              </w:rPr>
              <w:t>:</w:t>
            </w:r>
          </w:p>
          <w:p w14:paraId="410CEB65" w14:textId="1882A98E" w:rsidR="00E36728" w:rsidRPr="00544C08" w:rsidRDefault="002C4A66" w:rsidP="000510D1">
            <w:pPr>
              <w:spacing w:after="120"/>
              <w:rPr>
                <w:bCs/>
                <w:iCs/>
              </w:rPr>
            </w:pPr>
            <w:r w:rsidRPr="00BE596A">
              <w:rPr>
                <w:bCs/>
                <w:iCs/>
              </w:rPr>
              <w:t>Envisage</w:t>
            </w:r>
            <w:r w:rsidR="00646B2B">
              <w:rPr>
                <w:bCs/>
                <w:iCs/>
              </w:rPr>
              <w:t>r</w:t>
            </w:r>
            <w:r w:rsidRPr="00BE596A">
              <w:rPr>
                <w:bCs/>
                <w:iCs/>
              </w:rPr>
              <w:t xml:space="preserve"> une attribution</w:t>
            </w:r>
            <w:r w:rsidR="00E36728" w:rsidRPr="00BE596A">
              <w:rPr>
                <w:bCs/>
                <w:iCs/>
              </w:rPr>
              <w:t xml:space="preserve"> </w:t>
            </w:r>
            <w:r w:rsidRPr="00BE596A">
              <w:rPr>
                <w:bCs/>
                <w:iCs/>
              </w:rPr>
              <w:t xml:space="preserve">au </w:t>
            </w:r>
            <w:r w:rsidR="00E36728" w:rsidRPr="00BE596A">
              <w:rPr>
                <w:bCs/>
                <w:iCs/>
              </w:rPr>
              <w:t xml:space="preserve">service </w:t>
            </w:r>
            <w:r w:rsidRPr="00BE596A">
              <w:rPr>
                <w:bCs/>
                <w:iCs/>
              </w:rPr>
              <w:t xml:space="preserve">mobile par satellite </w:t>
            </w:r>
            <w:r w:rsidR="00E36728" w:rsidRPr="00BE596A">
              <w:rPr>
                <w:bCs/>
                <w:iCs/>
              </w:rPr>
              <w:t>(</w:t>
            </w:r>
            <w:r w:rsidRPr="00BE596A">
              <w:t>espace-espace</w:t>
            </w:r>
            <w:r w:rsidR="00E36728" w:rsidRPr="00BE596A">
              <w:rPr>
                <w:bCs/>
                <w:iCs/>
              </w:rPr>
              <w:t>)</w:t>
            </w:r>
            <w:r w:rsidRPr="00BE596A">
              <w:t xml:space="preserve"> dans les bandes de fréquences </w:t>
            </w:r>
            <w:r w:rsidR="00E36728" w:rsidRPr="00BE596A">
              <w:rPr>
                <w:bCs/>
                <w:iCs/>
              </w:rPr>
              <w:t>1</w:t>
            </w:r>
            <w:r w:rsidR="000510D1">
              <w:rPr>
                <w:bCs/>
                <w:iCs/>
              </w:rPr>
              <w:t> </w:t>
            </w:r>
            <w:r w:rsidR="00E36728" w:rsidRPr="00BE596A">
              <w:rPr>
                <w:bCs/>
                <w:iCs/>
              </w:rPr>
              <w:t>518-1</w:t>
            </w:r>
            <w:r w:rsidR="000510D1">
              <w:rPr>
                <w:bCs/>
                <w:iCs/>
              </w:rPr>
              <w:t> </w:t>
            </w:r>
            <w:r w:rsidR="00E36728" w:rsidRPr="00BE596A">
              <w:rPr>
                <w:bCs/>
                <w:iCs/>
              </w:rPr>
              <w:t>559 MHz, 1</w:t>
            </w:r>
            <w:r w:rsidR="000510D1">
              <w:rPr>
                <w:bCs/>
                <w:iCs/>
              </w:rPr>
              <w:t> </w:t>
            </w:r>
            <w:r w:rsidR="00E36728" w:rsidRPr="00BE596A">
              <w:rPr>
                <w:bCs/>
                <w:iCs/>
              </w:rPr>
              <w:t>626</w:t>
            </w:r>
            <w:r w:rsidRPr="00BE596A">
              <w:rPr>
                <w:bCs/>
                <w:iCs/>
              </w:rPr>
              <w:t>,</w:t>
            </w:r>
            <w:r w:rsidR="00E36728" w:rsidRPr="00BE596A">
              <w:rPr>
                <w:bCs/>
                <w:iCs/>
              </w:rPr>
              <w:t>5-1</w:t>
            </w:r>
            <w:r w:rsidR="000510D1">
              <w:rPr>
                <w:bCs/>
                <w:iCs/>
              </w:rPr>
              <w:t> </w:t>
            </w:r>
            <w:r w:rsidR="00E36728" w:rsidRPr="00BE596A">
              <w:rPr>
                <w:bCs/>
                <w:iCs/>
              </w:rPr>
              <w:t>660</w:t>
            </w:r>
            <w:r w:rsidRPr="00BE596A">
              <w:rPr>
                <w:bCs/>
                <w:iCs/>
              </w:rPr>
              <w:t>,</w:t>
            </w:r>
            <w:r w:rsidR="00E36728" w:rsidRPr="00BE596A">
              <w:rPr>
                <w:bCs/>
                <w:iCs/>
              </w:rPr>
              <w:t xml:space="preserve">5 MHz </w:t>
            </w:r>
            <w:r w:rsidRPr="00BE596A">
              <w:rPr>
                <w:bCs/>
                <w:iCs/>
              </w:rPr>
              <w:t xml:space="preserve">et </w:t>
            </w:r>
            <w:r w:rsidR="00E36728" w:rsidRPr="00BE596A">
              <w:rPr>
                <w:bCs/>
                <w:iCs/>
              </w:rPr>
              <w:t>1</w:t>
            </w:r>
            <w:r w:rsidR="000510D1">
              <w:rPr>
                <w:bCs/>
                <w:iCs/>
              </w:rPr>
              <w:t> </w:t>
            </w:r>
            <w:r w:rsidR="00E36728" w:rsidRPr="00BE596A">
              <w:rPr>
                <w:bCs/>
                <w:iCs/>
              </w:rPr>
              <w:t>668-1</w:t>
            </w:r>
            <w:r w:rsidR="000510D1">
              <w:rPr>
                <w:bCs/>
                <w:iCs/>
              </w:rPr>
              <w:t> </w:t>
            </w:r>
            <w:r w:rsidR="00E36728" w:rsidRPr="00BE596A">
              <w:rPr>
                <w:bCs/>
                <w:iCs/>
              </w:rPr>
              <w:t xml:space="preserve">675 MHz, </w:t>
            </w:r>
            <w:r w:rsidRPr="00BE596A">
              <w:rPr>
                <w:bCs/>
                <w:iCs/>
              </w:rPr>
              <w:t xml:space="preserve">conformément au projet de nouvelle </w:t>
            </w:r>
            <w:r w:rsidR="00E36728" w:rsidRPr="00BE596A">
              <w:rPr>
                <w:bCs/>
                <w:iCs/>
              </w:rPr>
              <w:t xml:space="preserve">Résolution </w:t>
            </w:r>
            <w:r w:rsidR="00E36728" w:rsidRPr="00BE596A">
              <w:rPr>
                <w:b/>
                <w:iCs/>
              </w:rPr>
              <w:t>[SNG/A10/MSS SPACE-TO-SPACE L-BAND] (</w:t>
            </w:r>
            <w:r w:rsidRPr="00BE596A">
              <w:rPr>
                <w:b/>
                <w:iCs/>
              </w:rPr>
              <w:t>CMR</w:t>
            </w:r>
            <w:r w:rsidR="00E36728" w:rsidRPr="00BE596A">
              <w:rPr>
                <w:b/>
                <w:iCs/>
              </w:rPr>
              <w:t>-19)</w:t>
            </w:r>
            <w:r w:rsidR="00544C08">
              <w:rPr>
                <w:bCs/>
                <w:iCs/>
              </w:rPr>
              <w:t>.</w:t>
            </w:r>
          </w:p>
        </w:tc>
      </w:tr>
      <w:tr w:rsidR="00E36728" w:rsidRPr="00BE596A" w14:paraId="3C7E6F4D" w14:textId="77777777" w:rsidTr="002E5FC7">
        <w:tc>
          <w:tcPr>
            <w:tcW w:w="9723" w:type="dxa"/>
            <w:gridSpan w:val="2"/>
          </w:tcPr>
          <w:p w14:paraId="0AFB9D3D" w14:textId="77777777" w:rsidR="00E36728" w:rsidRPr="00BE596A" w:rsidRDefault="00E36728" w:rsidP="000510D1">
            <w:pPr>
              <w:rPr>
                <w:b/>
                <w:bCs/>
                <w:i/>
                <w:iCs/>
              </w:rPr>
            </w:pPr>
            <w:r w:rsidRPr="00BE596A">
              <w:rPr>
                <w:b/>
                <w:bCs/>
                <w:i/>
                <w:iCs/>
              </w:rPr>
              <w:t>Contexte/motif</w:t>
            </w:r>
            <w:r w:rsidRPr="00BE596A">
              <w:rPr>
                <w:b/>
                <w:bCs/>
              </w:rPr>
              <w:t>:</w:t>
            </w:r>
          </w:p>
          <w:p w14:paraId="19611564" w14:textId="182B0E94" w:rsidR="00E36728" w:rsidRPr="00BE596A" w:rsidRDefault="00E36728" w:rsidP="000510D1">
            <w:pPr>
              <w:spacing w:after="120"/>
              <w:rPr>
                <w:b/>
                <w:i/>
              </w:rPr>
            </w:pPr>
            <w:r w:rsidRPr="00BE596A">
              <w:t xml:space="preserve">Un grand nombre de satellites LEO fonctionnent avec </w:t>
            </w:r>
            <w:r w:rsidR="007B0478">
              <w:t>l'</w:t>
            </w:r>
            <w:r w:rsidRPr="00BE596A">
              <w:t xml:space="preserve">appui limité et en différé </w:t>
            </w:r>
            <w:r w:rsidR="007B0478">
              <w:t>d'</w:t>
            </w:r>
            <w:r w:rsidRPr="00BE596A">
              <w:t xml:space="preserve">un réseau de stations terriennes. </w:t>
            </w:r>
            <w:r w:rsidR="002C4A66" w:rsidRPr="00BE596A">
              <w:t>L</w:t>
            </w:r>
            <w:r w:rsidRPr="00BE596A">
              <w:t xml:space="preserve">'adjonction des communications espace-espace dans le SMS offrirait un moyen efficace d'assurer une surveillance et un contrôle continus de ces satellites LEO, ce qui améliorerait la sécurité et l'efficacité </w:t>
            </w:r>
            <w:r w:rsidR="007B0478">
              <w:t>d'exploitation</w:t>
            </w:r>
            <w:r w:rsidRPr="00BE596A">
              <w:t xml:space="preserve">. </w:t>
            </w:r>
            <w:r w:rsidR="00427CB8" w:rsidRPr="00BE596A">
              <w:t xml:space="preserve">Les liaisons pourraient aussi être utilisées pour télécharger en temps réel des données de satellites </w:t>
            </w:r>
            <w:r w:rsidRPr="00BE596A">
              <w:t>LEO.</w:t>
            </w:r>
          </w:p>
        </w:tc>
      </w:tr>
      <w:tr w:rsidR="00E36728" w:rsidRPr="00BE596A" w14:paraId="33E34227" w14:textId="77777777" w:rsidTr="002E5FC7">
        <w:tc>
          <w:tcPr>
            <w:tcW w:w="9723" w:type="dxa"/>
            <w:gridSpan w:val="2"/>
          </w:tcPr>
          <w:p w14:paraId="5980ABDF" w14:textId="77777777" w:rsidR="00E36728" w:rsidRPr="00BE596A" w:rsidRDefault="00E36728" w:rsidP="000510D1">
            <w:r w:rsidRPr="00BE596A">
              <w:rPr>
                <w:b/>
                <w:bCs/>
                <w:i/>
                <w:iCs/>
              </w:rPr>
              <w:t>Services de radiocommunication concernés</w:t>
            </w:r>
            <w:r w:rsidRPr="00BE596A">
              <w:rPr>
                <w:b/>
                <w:bCs/>
              </w:rPr>
              <w:t>:</w:t>
            </w:r>
          </w:p>
          <w:p w14:paraId="384E6E1E" w14:textId="504C9D3B" w:rsidR="00E36728" w:rsidRPr="00BE596A" w:rsidRDefault="00E36728" w:rsidP="000510D1">
            <w:pPr>
              <w:spacing w:after="120"/>
              <w:rPr>
                <w:b/>
                <w:i/>
              </w:rPr>
            </w:pPr>
            <w:r w:rsidRPr="00BE596A">
              <w:t>S</w:t>
            </w:r>
            <w:r w:rsidR="002E5FC7" w:rsidRPr="00BE596A">
              <w:t>M</w:t>
            </w:r>
            <w:r w:rsidRPr="00BE596A">
              <w:t>S, S</w:t>
            </w:r>
            <w:r w:rsidR="002E5FC7" w:rsidRPr="00BE596A">
              <w:t>E</w:t>
            </w:r>
            <w:r w:rsidRPr="00BE596A">
              <w:t>S, S</w:t>
            </w:r>
            <w:r w:rsidR="002E5FC7" w:rsidRPr="00BE596A">
              <w:t>F</w:t>
            </w:r>
            <w:r w:rsidRPr="00BE596A">
              <w:t>, S</w:t>
            </w:r>
            <w:r w:rsidR="002E5FC7" w:rsidRPr="00BE596A">
              <w:t>M</w:t>
            </w:r>
            <w:r w:rsidRPr="00BE596A">
              <w:t>, S</w:t>
            </w:r>
            <w:r w:rsidR="00583F2A" w:rsidRPr="00BE596A">
              <w:t>RA</w:t>
            </w:r>
            <w:r w:rsidRPr="00BE596A">
              <w:t xml:space="preserve">, </w:t>
            </w:r>
            <w:r w:rsidR="00583F2A" w:rsidRPr="00BE596A">
              <w:t>service de recherche spatiale</w:t>
            </w:r>
            <w:r w:rsidRPr="00BE596A">
              <w:t xml:space="preserve"> (passive), </w:t>
            </w:r>
            <w:r w:rsidR="007B0478">
              <w:t xml:space="preserve">service </w:t>
            </w:r>
            <w:r w:rsidRPr="00BE596A">
              <w:t xml:space="preserve">MetAids, </w:t>
            </w:r>
            <w:r w:rsidR="007B0478">
              <w:t xml:space="preserve">service </w:t>
            </w:r>
            <w:r w:rsidRPr="00BE596A">
              <w:t>MetSat (</w:t>
            </w:r>
            <w:r w:rsidR="00583F2A" w:rsidRPr="00BE596A">
              <w:t>espace vers Terre</w:t>
            </w:r>
            <w:r w:rsidRPr="00BE596A">
              <w:t>)</w:t>
            </w:r>
            <w:r w:rsidR="00544C08">
              <w:t>.</w:t>
            </w:r>
          </w:p>
        </w:tc>
      </w:tr>
      <w:tr w:rsidR="00E36728" w:rsidRPr="00BE596A" w14:paraId="06D3CB3B" w14:textId="77777777" w:rsidTr="002E5FC7">
        <w:tc>
          <w:tcPr>
            <w:tcW w:w="9723" w:type="dxa"/>
            <w:gridSpan w:val="2"/>
          </w:tcPr>
          <w:p w14:paraId="306D900F" w14:textId="77777777" w:rsidR="00E36728" w:rsidRPr="00BE596A" w:rsidRDefault="00E36728" w:rsidP="000510D1">
            <w:r w:rsidRPr="00BE596A">
              <w:rPr>
                <w:b/>
                <w:bCs/>
                <w:i/>
                <w:iCs/>
              </w:rPr>
              <w:t>Indication des difficultés éventuelles</w:t>
            </w:r>
            <w:r w:rsidRPr="00BE596A">
              <w:rPr>
                <w:b/>
                <w:bCs/>
              </w:rPr>
              <w:t>:</w:t>
            </w:r>
          </w:p>
          <w:p w14:paraId="4932C73A" w14:textId="1F26A790" w:rsidR="00E36728" w:rsidRPr="00BE596A" w:rsidRDefault="00583F2A" w:rsidP="000510D1">
            <w:pPr>
              <w:keepNext/>
            </w:pPr>
            <w:r w:rsidRPr="00BE596A">
              <w:t xml:space="preserve">Certaines parties de ces bandes sont utilisées par </w:t>
            </w:r>
            <w:r w:rsidR="007B0478">
              <w:t>d</w:t>
            </w:r>
            <w:r w:rsidRPr="00BE596A">
              <w:t>es services de Terre</w:t>
            </w:r>
            <w:r w:rsidR="00E36728" w:rsidRPr="00BE596A">
              <w:t xml:space="preserve"> </w:t>
            </w:r>
            <w:r w:rsidRPr="00BE596A">
              <w:t xml:space="preserve">et </w:t>
            </w:r>
            <w:r w:rsidR="007B7803">
              <w:t>le</w:t>
            </w:r>
            <w:r w:rsidRPr="00BE596A">
              <w:t xml:space="preserve"> service de radioastronomie</w:t>
            </w:r>
            <w:r w:rsidR="00E36728" w:rsidRPr="00BE596A">
              <w:t xml:space="preserve">. </w:t>
            </w:r>
            <w:r w:rsidRPr="00BE596A">
              <w:t xml:space="preserve">Le partage entre ces services et les engins spatiaux </w:t>
            </w:r>
            <w:r w:rsidR="00E36728" w:rsidRPr="00BE596A">
              <w:t xml:space="preserve">LEO </w:t>
            </w:r>
            <w:r w:rsidRPr="00BE596A">
              <w:t xml:space="preserve">est en général plus </w:t>
            </w:r>
            <w:r w:rsidR="007B0478">
              <w:t>favorable</w:t>
            </w:r>
            <w:r w:rsidRPr="00BE596A">
              <w:t xml:space="preserve"> que le partage avec les stations terriennes mobiles </w:t>
            </w:r>
            <w:r w:rsidR="00E36728" w:rsidRPr="00BE596A">
              <w:t>(</w:t>
            </w:r>
            <w:r w:rsidRPr="00BE596A">
              <w:t>terrestres, maritimes et aéronautiques</w:t>
            </w:r>
            <w:r w:rsidR="00E36728" w:rsidRPr="00BE596A">
              <w:t xml:space="preserve">) </w:t>
            </w:r>
            <w:r w:rsidRPr="00BE596A">
              <w:t>et ne devrait donc pas poser de problème majeur</w:t>
            </w:r>
            <w:r w:rsidR="00E36728" w:rsidRPr="00BE596A">
              <w:t>.</w:t>
            </w:r>
          </w:p>
          <w:p w14:paraId="763C6AA2" w14:textId="068FB4C4" w:rsidR="00E36728" w:rsidRPr="00BE596A" w:rsidRDefault="00583F2A" w:rsidP="000510D1">
            <w:pPr>
              <w:spacing w:after="120"/>
              <w:rPr>
                <w:b/>
                <w:i/>
              </w:rPr>
            </w:pPr>
            <w:r w:rsidRPr="00BE596A">
              <w:t xml:space="preserve">Le partage avec les </w:t>
            </w:r>
            <w:r w:rsidR="00E36728" w:rsidRPr="00BE596A">
              <w:t>services</w:t>
            </w:r>
            <w:r w:rsidRPr="00BE596A">
              <w:t xml:space="preserve"> existants</w:t>
            </w:r>
            <w:r w:rsidR="00E36728" w:rsidRPr="00BE596A">
              <w:t xml:space="preserve">, </w:t>
            </w:r>
            <w:r w:rsidRPr="00BE596A">
              <w:t xml:space="preserve">y compris les </w:t>
            </w:r>
            <w:r w:rsidR="00E36728" w:rsidRPr="00BE596A">
              <w:t xml:space="preserve">applications </w:t>
            </w:r>
            <w:r w:rsidRPr="00BE596A">
              <w:t xml:space="preserve">du SMS </w:t>
            </w:r>
            <w:r w:rsidR="00E36728" w:rsidRPr="00BE596A">
              <w:t>(</w:t>
            </w:r>
            <w:r w:rsidRPr="00BE596A">
              <w:t>espace vers Terre et Terre vers espace</w:t>
            </w:r>
            <w:r w:rsidR="00E36728" w:rsidRPr="00BE596A">
              <w:t xml:space="preserve">) </w:t>
            </w:r>
            <w:r w:rsidRPr="00BE596A">
              <w:t>doit être étudié</w:t>
            </w:r>
            <w:r w:rsidR="00E36728" w:rsidRPr="00BE596A">
              <w:t>.</w:t>
            </w:r>
          </w:p>
        </w:tc>
      </w:tr>
      <w:tr w:rsidR="00E36728" w:rsidRPr="00BE596A" w14:paraId="2B922EC1" w14:textId="77777777" w:rsidTr="002E5FC7">
        <w:tc>
          <w:tcPr>
            <w:tcW w:w="9723" w:type="dxa"/>
            <w:gridSpan w:val="2"/>
          </w:tcPr>
          <w:p w14:paraId="06284C03" w14:textId="7DFCC975" w:rsidR="00E36728" w:rsidRPr="00BE596A" w:rsidRDefault="00E36728" w:rsidP="000510D1">
            <w:r w:rsidRPr="00BE596A">
              <w:rPr>
                <w:b/>
                <w:bCs/>
                <w:i/>
                <w:iCs/>
              </w:rPr>
              <w:t>Études précédentes ou en cours sur la question</w:t>
            </w:r>
            <w:r w:rsidRPr="00BE596A">
              <w:rPr>
                <w:b/>
                <w:bCs/>
              </w:rPr>
              <w:t>:</w:t>
            </w:r>
          </w:p>
          <w:p w14:paraId="52F8BDB2" w14:textId="3C99B570" w:rsidR="00E36728" w:rsidRPr="00BE596A" w:rsidRDefault="005A504F" w:rsidP="000510D1">
            <w:pPr>
              <w:spacing w:after="120"/>
              <w:rPr>
                <w:b/>
                <w:i/>
              </w:rPr>
            </w:pPr>
            <w:r w:rsidRPr="00BE596A">
              <w:rPr>
                <w:bCs/>
                <w:iCs/>
              </w:rPr>
              <w:t xml:space="preserve">Le Groupe de travail 4C a élaboré un avant-projet de nouveau Rapport UIT-R visant à décrire cette </w:t>
            </w:r>
            <w:r w:rsidR="00E36728" w:rsidRPr="00BE596A">
              <w:rPr>
                <w:bCs/>
                <w:iCs/>
              </w:rPr>
              <w:t>application.</w:t>
            </w:r>
          </w:p>
        </w:tc>
      </w:tr>
      <w:tr w:rsidR="00E36728" w:rsidRPr="00BE596A" w14:paraId="45440E71" w14:textId="77777777" w:rsidTr="002E5FC7">
        <w:tc>
          <w:tcPr>
            <w:tcW w:w="4627" w:type="dxa"/>
          </w:tcPr>
          <w:p w14:paraId="22187AD5" w14:textId="7FC9F072" w:rsidR="00E36728" w:rsidRPr="00BE596A" w:rsidRDefault="00E36728" w:rsidP="000510D1">
            <w:r w:rsidRPr="00BE596A">
              <w:rPr>
                <w:b/>
                <w:bCs/>
                <w:i/>
                <w:iCs/>
              </w:rPr>
              <w:t>Études devant être réalisées par</w:t>
            </w:r>
            <w:r w:rsidRPr="00BE596A">
              <w:rPr>
                <w:b/>
                <w:bCs/>
              </w:rPr>
              <w:t>:</w:t>
            </w:r>
          </w:p>
          <w:p w14:paraId="202CF341" w14:textId="2638C13E" w:rsidR="00E36728" w:rsidRPr="00BE596A" w:rsidRDefault="00E36728" w:rsidP="000510D1">
            <w:pPr>
              <w:spacing w:after="120"/>
              <w:rPr>
                <w:b/>
                <w:i/>
                <w:color w:val="000000"/>
              </w:rPr>
            </w:pPr>
            <w:r w:rsidRPr="00BE596A">
              <w:t xml:space="preserve">Administrations </w:t>
            </w:r>
            <w:r w:rsidR="003C3EBC" w:rsidRPr="00BE596A">
              <w:t xml:space="preserve">et Membres du </w:t>
            </w:r>
            <w:r w:rsidRPr="00BE596A">
              <w:t>Sect</w:t>
            </w:r>
            <w:r w:rsidR="003C3EBC" w:rsidRPr="00BE596A">
              <w:t>eur</w:t>
            </w:r>
            <w:r w:rsidRPr="00BE596A">
              <w:t xml:space="preserve"> </w:t>
            </w:r>
            <w:r w:rsidR="003C3EBC" w:rsidRPr="00BE596A">
              <w:t>de l'UIT</w:t>
            </w:r>
            <w:r w:rsidRPr="00BE596A">
              <w:t>-R</w:t>
            </w:r>
            <w:r w:rsidR="00544C08">
              <w:t>.</w:t>
            </w:r>
          </w:p>
        </w:tc>
        <w:tc>
          <w:tcPr>
            <w:tcW w:w="5096" w:type="dxa"/>
          </w:tcPr>
          <w:p w14:paraId="777CCF17" w14:textId="77777777" w:rsidR="00E36728" w:rsidRPr="00BE596A" w:rsidRDefault="00E36728" w:rsidP="000510D1">
            <w:pPr>
              <w:rPr>
                <w:b/>
                <w:bCs/>
              </w:rPr>
            </w:pPr>
            <w:r w:rsidRPr="00BE596A">
              <w:rPr>
                <w:b/>
                <w:bCs/>
                <w:i/>
                <w:iCs/>
              </w:rPr>
              <w:t>avec la participation de</w:t>
            </w:r>
            <w:r w:rsidRPr="00BE596A">
              <w:rPr>
                <w:b/>
                <w:bCs/>
              </w:rPr>
              <w:t>:</w:t>
            </w:r>
          </w:p>
          <w:p w14:paraId="0A219454" w14:textId="6A5A3512" w:rsidR="00E36728" w:rsidRPr="00BE596A" w:rsidRDefault="003C3EBC" w:rsidP="000510D1">
            <w:pPr>
              <w:spacing w:after="120"/>
              <w:rPr>
                <w:b/>
                <w:i/>
                <w:color w:val="000000"/>
              </w:rPr>
            </w:pPr>
            <w:r w:rsidRPr="00BE596A">
              <w:t>Opérateurs de s</w:t>
            </w:r>
            <w:r w:rsidR="00E36728" w:rsidRPr="00BE596A">
              <w:t>atellite</w:t>
            </w:r>
            <w:r w:rsidRPr="00BE596A">
              <w:t>s</w:t>
            </w:r>
            <w:r w:rsidR="00E36728" w:rsidRPr="00BE596A">
              <w:t xml:space="preserve">, </w:t>
            </w:r>
            <w:r w:rsidRPr="00BE596A">
              <w:t>OACI</w:t>
            </w:r>
            <w:r w:rsidR="00E36728" w:rsidRPr="00BE596A">
              <w:t xml:space="preserve">, </w:t>
            </w:r>
            <w:r w:rsidRPr="00BE596A">
              <w:t>OMI</w:t>
            </w:r>
            <w:r w:rsidR="00544C08">
              <w:t>.</w:t>
            </w:r>
          </w:p>
        </w:tc>
      </w:tr>
      <w:tr w:rsidR="00E36728" w:rsidRPr="00BE596A" w14:paraId="5F93D2C7" w14:textId="77777777" w:rsidTr="002E5FC7">
        <w:tc>
          <w:tcPr>
            <w:tcW w:w="9723" w:type="dxa"/>
            <w:gridSpan w:val="2"/>
          </w:tcPr>
          <w:p w14:paraId="5EEADA2B" w14:textId="77777777" w:rsidR="00E36728" w:rsidRPr="00BE596A" w:rsidRDefault="00E36728" w:rsidP="000510D1">
            <w:r w:rsidRPr="00BE596A">
              <w:rPr>
                <w:b/>
                <w:bCs/>
                <w:i/>
                <w:iCs/>
              </w:rPr>
              <w:t>Commissions d'études de l'UIT-R concernées</w:t>
            </w:r>
            <w:r w:rsidRPr="00BE596A">
              <w:rPr>
                <w:b/>
                <w:bCs/>
              </w:rPr>
              <w:t>:</w:t>
            </w:r>
          </w:p>
          <w:p w14:paraId="72C08AA5" w14:textId="21B2F3AB" w:rsidR="00E36728" w:rsidRPr="00BE596A" w:rsidRDefault="007972DE" w:rsidP="000510D1">
            <w:pPr>
              <w:spacing w:after="120"/>
              <w:rPr>
                <w:b/>
                <w:i/>
              </w:rPr>
            </w:pPr>
            <w:r w:rsidRPr="00BE596A">
              <w:rPr>
                <w:iCs/>
                <w:color w:val="000000"/>
              </w:rPr>
              <w:t>Commission d'études</w:t>
            </w:r>
            <w:r w:rsidR="00E36728" w:rsidRPr="00BE596A">
              <w:rPr>
                <w:iCs/>
                <w:color w:val="000000"/>
              </w:rPr>
              <w:t xml:space="preserve"> 4</w:t>
            </w:r>
            <w:r w:rsidR="00544C08">
              <w:rPr>
                <w:iCs/>
                <w:color w:val="000000"/>
              </w:rPr>
              <w:t>.</w:t>
            </w:r>
          </w:p>
        </w:tc>
      </w:tr>
      <w:tr w:rsidR="00E36728" w:rsidRPr="00BE596A" w14:paraId="26D61AC3" w14:textId="77777777" w:rsidTr="002E5FC7">
        <w:tc>
          <w:tcPr>
            <w:tcW w:w="9723" w:type="dxa"/>
            <w:gridSpan w:val="2"/>
          </w:tcPr>
          <w:p w14:paraId="4509F96E" w14:textId="77777777" w:rsidR="00E36728" w:rsidRPr="00BE596A" w:rsidRDefault="00E36728" w:rsidP="000510D1">
            <w:r w:rsidRPr="00BE596A">
              <w:rPr>
                <w:b/>
                <w:bCs/>
                <w:i/>
                <w:iCs/>
              </w:rPr>
              <w:lastRenderedPageBreak/>
              <w:t>Répercussions au niveau des ressources de l'UIT, y compris incidences financières</w:t>
            </w:r>
            <w:r w:rsidRPr="00BE596A">
              <w:rPr>
                <w:b/>
                <w:bCs/>
                <w:i/>
                <w:iCs/>
              </w:rPr>
              <w:br/>
              <w:t>(voir le numéro 126 de la Convention)</w:t>
            </w:r>
            <w:r w:rsidRPr="00BE596A">
              <w:rPr>
                <w:b/>
                <w:bCs/>
              </w:rPr>
              <w:t>:</w:t>
            </w:r>
          </w:p>
          <w:p w14:paraId="2AB2C256" w14:textId="77777777" w:rsidR="00E36728" w:rsidRPr="00BE596A" w:rsidRDefault="00E36728" w:rsidP="000510D1">
            <w:pPr>
              <w:spacing w:after="120"/>
              <w:rPr>
                <w:b/>
                <w:i/>
              </w:rPr>
            </w:pPr>
            <w:r w:rsidRPr="00BE596A">
              <w:rPr>
                <w:rStyle w:val="BRNormal"/>
                <w:rFonts w:eastAsiaTheme="minorEastAsia"/>
              </w:rPr>
              <w:t xml:space="preserve">Ce </w:t>
            </w:r>
            <w:r w:rsidRPr="00BE596A">
              <w:t>point</w:t>
            </w:r>
            <w:r w:rsidRPr="00BE596A">
              <w:rPr>
                <w:rStyle w:val="BRNormal"/>
                <w:rFonts w:eastAsiaTheme="minorEastAsia"/>
              </w:rPr>
              <w:t xml:space="preserve"> de l'ordre du jour proposé sera étudié dans le cadre des procédures normales et du budget prévu de l'UIT</w:t>
            </w:r>
            <w:r w:rsidRPr="00BE596A">
              <w:rPr>
                <w:rStyle w:val="BRNormal"/>
                <w:rFonts w:eastAsiaTheme="minorEastAsia"/>
              </w:rPr>
              <w:noBreakHyphen/>
              <w:t>R.</w:t>
            </w:r>
          </w:p>
        </w:tc>
      </w:tr>
      <w:tr w:rsidR="00E36728" w:rsidRPr="00BE596A" w14:paraId="6EADFED9" w14:textId="77777777" w:rsidTr="002E5FC7">
        <w:tc>
          <w:tcPr>
            <w:tcW w:w="4627" w:type="dxa"/>
          </w:tcPr>
          <w:p w14:paraId="7ECD632F" w14:textId="715BA331" w:rsidR="00E36728" w:rsidRPr="00BE596A" w:rsidRDefault="00E36728" w:rsidP="000510D1">
            <w:pPr>
              <w:rPr>
                <w:b/>
                <w:iCs/>
              </w:rPr>
            </w:pPr>
            <w:r w:rsidRPr="00BE596A">
              <w:rPr>
                <w:b/>
                <w:bCs/>
                <w:i/>
                <w:iCs/>
              </w:rPr>
              <w:t>Proposition régionale commune</w:t>
            </w:r>
            <w:r w:rsidRPr="00BE596A">
              <w:rPr>
                <w:b/>
                <w:bCs/>
              </w:rPr>
              <w:t xml:space="preserve">: </w:t>
            </w:r>
            <w:r w:rsidRPr="00BE596A">
              <w:t>Non</w:t>
            </w:r>
          </w:p>
        </w:tc>
        <w:tc>
          <w:tcPr>
            <w:tcW w:w="5096" w:type="dxa"/>
          </w:tcPr>
          <w:p w14:paraId="2862F2B1" w14:textId="33CFE429" w:rsidR="00E36728" w:rsidRPr="00BE596A" w:rsidRDefault="00E36728" w:rsidP="000510D1">
            <w:r w:rsidRPr="00BE596A">
              <w:rPr>
                <w:b/>
                <w:bCs/>
                <w:i/>
                <w:iCs/>
              </w:rPr>
              <w:t>Proposition soumise par plusieurs pays</w:t>
            </w:r>
            <w:r w:rsidRPr="00BE596A">
              <w:rPr>
                <w:b/>
                <w:bCs/>
              </w:rPr>
              <w:t xml:space="preserve">: </w:t>
            </w:r>
            <w:r w:rsidRPr="00BE596A">
              <w:t>Non</w:t>
            </w:r>
          </w:p>
          <w:p w14:paraId="77054A70" w14:textId="77777777" w:rsidR="00E36728" w:rsidRPr="00BE596A" w:rsidRDefault="00E36728" w:rsidP="000510D1">
            <w:r w:rsidRPr="00BE596A">
              <w:rPr>
                <w:b/>
                <w:bCs/>
                <w:i/>
                <w:iCs/>
              </w:rPr>
              <w:t>Nombre de pays</w:t>
            </w:r>
            <w:r w:rsidRPr="00BE596A">
              <w:rPr>
                <w:b/>
                <w:bCs/>
              </w:rPr>
              <w:t>:</w:t>
            </w:r>
          </w:p>
          <w:p w14:paraId="2105983C" w14:textId="77777777" w:rsidR="00E36728" w:rsidRPr="00BE596A" w:rsidRDefault="00E36728" w:rsidP="000510D1">
            <w:pPr>
              <w:rPr>
                <w:b/>
                <w:i/>
              </w:rPr>
            </w:pPr>
          </w:p>
        </w:tc>
      </w:tr>
      <w:tr w:rsidR="00E36728" w:rsidRPr="00BE596A" w14:paraId="2063741C" w14:textId="77777777" w:rsidTr="002E5FC7">
        <w:tc>
          <w:tcPr>
            <w:tcW w:w="9723" w:type="dxa"/>
            <w:gridSpan w:val="2"/>
          </w:tcPr>
          <w:p w14:paraId="2416CEDC" w14:textId="77777777" w:rsidR="00E36728" w:rsidRPr="00BE596A" w:rsidRDefault="00E36728" w:rsidP="000510D1">
            <w:r w:rsidRPr="00BE596A">
              <w:rPr>
                <w:b/>
                <w:bCs/>
                <w:i/>
                <w:iCs/>
              </w:rPr>
              <w:t>Observations</w:t>
            </w:r>
          </w:p>
          <w:p w14:paraId="1A0A8380" w14:textId="77777777" w:rsidR="00E36728" w:rsidRPr="00BE596A" w:rsidRDefault="00E36728" w:rsidP="000510D1"/>
        </w:tc>
      </w:tr>
    </w:tbl>
    <w:p w14:paraId="42842E76" w14:textId="77777777" w:rsidR="00EE6FC2" w:rsidRPr="00BE596A" w:rsidRDefault="00EE6FC2" w:rsidP="001E4B8B">
      <w:bookmarkStart w:id="7" w:name="_GoBack"/>
      <w:bookmarkEnd w:id="7"/>
    </w:p>
    <w:p w14:paraId="2310F57B" w14:textId="28F7085F" w:rsidR="007912F6" w:rsidRPr="00BE596A" w:rsidRDefault="00EE6FC2" w:rsidP="000510D1">
      <w:pPr>
        <w:jc w:val="center"/>
      </w:pPr>
      <w:r w:rsidRPr="00BE596A">
        <w:t>______________</w:t>
      </w:r>
    </w:p>
    <w:sectPr w:rsidR="007912F6" w:rsidRPr="00BE596A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398F8" w14:textId="77777777" w:rsidR="002E5FC7" w:rsidRDefault="002E5FC7">
      <w:r>
        <w:separator/>
      </w:r>
    </w:p>
  </w:endnote>
  <w:endnote w:type="continuationSeparator" w:id="0">
    <w:p w14:paraId="0C1B931C" w14:textId="77777777" w:rsidR="002E5FC7" w:rsidRDefault="002E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836A0" w14:textId="21482C64" w:rsidR="002E5FC7" w:rsidRDefault="002E5FC7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25785">
      <w:rPr>
        <w:noProof/>
        <w:lang w:val="en-US"/>
      </w:rPr>
      <w:t>P:\FRA\ITU-R\CONF-R\CMR19\000\050ADD24F.docx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4B8B">
      <w:rPr>
        <w:noProof/>
      </w:rPr>
      <w:t>20.10.19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25785">
      <w:rPr>
        <w:noProof/>
      </w:rPr>
      <w:t>20.10.19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8B0A1" w14:textId="3D061100" w:rsidR="002E5FC7" w:rsidRDefault="002E5FC7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25785">
      <w:rPr>
        <w:lang w:val="en-US"/>
      </w:rPr>
      <w:t>P:\FRA\ITU-R\CONF-R\CMR19\000\050ADD24F.docx</w:t>
    </w:r>
    <w:r>
      <w:fldChar w:fldCharType="end"/>
    </w:r>
    <w:r w:rsidRPr="007A5D5D">
      <w:rPr>
        <w:lang w:val="en-GB"/>
      </w:rPr>
      <w:t xml:space="preserve"> (462029)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1E968" w14:textId="6BB44863" w:rsidR="002E5FC7" w:rsidRDefault="002E5FC7" w:rsidP="00EE6FC2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25785">
      <w:rPr>
        <w:lang w:val="en-US"/>
      </w:rPr>
      <w:t>P:\FRA\ITU-R\CONF-R\CMR19\000\050ADD24F.docx</w:t>
    </w:r>
    <w:r>
      <w:fldChar w:fldCharType="end"/>
    </w:r>
    <w:r w:rsidRPr="007A5D5D">
      <w:rPr>
        <w:lang w:val="en-GB"/>
      </w:rPr>
      <w:t xml:space="preserve"> (462029)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0C4CF" w14:textId="77777777" w:rsidR="002E5FC7" w:rsidRDefault="002E5FC7">
      <w:r>
        <w:rPr>
          <w:b/>
        </w:rPr>
        <w:t>_______________</w:t>
      </w:r>
    </w:p>
  </w:footnote>
  <w:footnote w:type="continuationSeparator" w:id="0">
    <w:p w14:paraId="461C5978" w14:textId="77777777" w:rsidR="002E5FC7" w:rsidRDefault="002E5FC7">
      <w:r>
        <w:continuationSeparator/>
      </w:r>
    </w:p>
  </w:footnote>
  <w:footnote w:id="1">
    <w:p w14:paraId="06D5A854" w14:textId="0625A80D" w:rsidR="002E5FC7" w:rsidRPr="007A5D5D" w:rsidRDefault="002E5FC7" w:rsidP="000510D1">
      <w:pPr>
        <w:pStyle w:val="FootnoteText"/>
      </w:pPr>
      <w:r w:rsidRPr="00691125">
        <w:rPr>
          <w:rStyle w:val="FootnoteReference"/>
        </w:rPr>
        <w:t>*</w:t>
      </w:r>
      <w:r>
        <w:tab/>
      </w:r>
      <w:r w:rsidRPr="007A5D5D">
        <w:t xml:space="preserve">Note du Secrétariat: </w:t>
      </w:r>
      <w:r>
        <w:t>identique au paragraphe</w:t>
      </w:r>
      <w:r w:rsidRPr="00691125">
        <w:t xml:space="preserve"> 3.1.3.2 </w:t>
      </w:r>
      <w:r>
        <w:t xml:space="preserve">du </w:t>
      </w:r>
      <w:r w:rsidRPr="00691125">
        <w:t>Document 4(Add.2)</w:t>
      </w:r>
      <w:r>
        <w:t xml:space="preserve"> de la CMR-19</w:t>
      </w:r>
      <w:r w:rsidRPr="00691125">
        <w:t>.</w:t>
      </w:r>
    </w:p>
  </w:footnote>
  <w:footnote w:id="2">
    <w:p w14:paraId="4DA756C9" w14:textId="440F75F1" w:rsidR="002E5FC7" w:rsidRPr="004C09DE" w:rsidRDefault="002E5FC7" w:rsidP="000510D1">
      <w:pPr>
        <w:pStyle w:val="FootnoteText"/>
        <w:ind w:left="255" w:hanging="255"/>
      </w:pPr>
      <w:r w:rsidRPr="004C09DE">
        <w:rPr>
          <w:rStyle w:val="FootnoteReference"/>
        </w:rPr>
        <w:t>**</w:t>
      </w:r>
      <w:r w:rsidRPr="004C09DE">
        <w:tab/>
        <w:t>Note du Secrétariat: la version la pl</w:t>
      </w:r>
      <w:r>
        <w:t>us récente de ce document</w:t>
      </w:r>
      <w:r w:rsidRPr="004C09DE">
        <w:t xml:space="preserve"> </w:t>
      </w:r>
      <w:r>
        <w:t>est disponible dans l'</w:t>
      </w:r>
      <w:r w:rsidRPr="004C09DE">
        <w:t>Annex</w:t>
      </w:r>
      <w:r>
        <w:t>e</w:t>
      </w:r>
      <w:r w:rsidRPr="004C09DE">
        <w:t xml:space="preserve"> 6 </w:t>
      </w:r>
      <w:r>
        <w:t>du Document</w:t>
      </w:r>
      <w:r w:rsidR="000510D1">
        <w:t> </w:t>
      </w:r>
      <w:r w:rsidRPr="004C09DE">
        <w:t>4C/472.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BBEEA" w14:textId="77777777" w:rsidR="002E5FC7" w:rsidRDefault="002E5FC7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26D81989" w14:textId="77777777" w:rsidR="002E5FC7" w:rsidRDefault="002E5FC7" w:rsidP="00FD7AA3">
    <w:pPr>
      <w:pStyle w:val="Header"/>
    </w:pPr>
    <w:r>
      <w:t>CMR19/50(Add.24)-</w:t>
    </w:r>
    <w:r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ormier-Ribout, Kevin">
    <w15:presenceInfo w15:providerId="AD" w15:userId="S-1-5-21-8740799-900759487-1415713722-70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510D1"/>
    <w:rsid w:val="00063A1F"/>
    <w:rsid w:val="000661F1"/>
    <w:rsid w:val="00080E2C"/>
    <w:rsid w:val="00081366"/>
    <w:rsid w:val="000863B3"/>
    <w:rsid w:val="00090F77"/>
    <w:rsid w:val="000A4755"/>
    <w:rsid w:val="000A55AE"/>
    <w:rsid w:val="000B2E0C"/>
    <w:rsid w:val="000B3D0C"/>
    <w:rsid w:val="001167B9"/>
    <w:rsid w:val="001267A0"/>
    <w:rsid w:val="00144FFA"/>
    <w:rsid w:val="0015203F"/>
    <w:rsid w:val="00160C64"/>
    <w:rsid w:val="0018169B"/>
    <w:rsid w:val="0019352B"/>
    <w:rsid w:val="001960D0"/>
    <w:rsid w:val="001A11F6"/>
    <w:rsid w:val="001D271C"/>
    <w:rsid w:val="001E4B8B"/>
    <w:rsid w:val="001F17E8"/>
    <w:rsid w:val="00204306"/>
    <w:rsid w:val="00232FD2"/>
    <w:rsid w:val="0026554E"/>
    <w:rsid w:val="00272A39"/>
    <w:rsid w:val="00292A27"/>
    <w:rsid w:val="002A4622"/>
    <w:rsid w:val="002A6F8F"/>
    <w:rsid w:val="002B17E5"/>
    <w:rsid w:val="002C0EBF"/>
    <w:rsid w:val="002C28A4"/>
    <w:rsid w:val="002C4A66"/>
    <w:rsid w:val="002D7E0A"/>
    <w:rsid w:val="002E5FC7"/>
    <w:rsid w:val="00315AFE"/>
    <w:rsid w:val="0035347D"/>
    <w:rsid w:val="003606A6"/>
    <w:rsid w:val="0036650C"/>
    <w:rsid w:val="00393ACD"/>
    <w:rsid w:val="003A4EF7"/>
    <w:rsid w:val="003A583E"/>
    <w:rsid w:val="003C3EBC"/>
    <w:rsid w:val="003C6F26"/>
    <w:rsid w:val="003E112B"/>
    <w:rsid w:val="003E1D1C"/>
    <w:rsid w:val="003E7B05"/>
    <w:rsid w:val="003F3719"/>
    <w:rsid w:val="003F6F2D"/>
    <w:rsid w:val="00427CB8"/>
    <w:rsid w:val="00456894"/>
    <w:rsid w:val="00466211"/>
    <w:rsid w:val="00483196"/>
    <w:rsid w:val="004834A9"/>
    <w:rsid w:val="004C09DE"/>
    <w:rsid w:val="004D01FC"/>
    <w:rsid w:val="004D1D06"/>
    <w:rsid w:val="004E28C3"/>
    <w:rsid w:val="004F1F8E"/>
    <w:rsid w:val="005103AA"/>
    <w:rsid w:val="00512A32"/>
    <w:rsid w:val="005343DA"/>
    <w:rsid w:val="00544C08"/>
    <w:rsid w:val="00560874"/>
    <w:rsid w:val="00583F2A"/>
    <w:rsid w:val="00586CF2"/>
    <w:rsid w:val="005A504F"/>
    <w:rsid w:val="005A7C75"/>
    <w:rsid w:val="005C3768"/>
    <w:rsid w:val="005C6C3F"/>
    <w:rsid w:val="00613635"/>
    <w:rsid w:val="006176C6"/>
    <w:rsid w:val="0062093D"/>
    <w:rsid w:val="00637ECF"/>
    <w:rsid w:val="00646B2B"/>
    <w:rsid w:val="00647B59"/>
    <w:rsid w:val="0065439D"/>
    <w:rsid w:val="00662075"/>
    <w:rsid w:val="00690C7B"/>
    <w:rsid w:val="006A4B45"/>
    <w:rsid w:val="006D4724"/>
    <w:rsid w:val="006E2863"/>
    <w:rsid w:val="006F4B77"/>
    <w:rsid w:val="006F5FA2"/>
    <w:rsid w:val="0070076C"/>
    <w:rsid w:val="0070155D"/>
    <w:rsid w:val="00701BAE"/>
    <w:rsid w:val="00721F04"/>
    <w:rsid w:val="00725785"/>
    <w:rsid w:val="00730E95"/>
    <w:rsid w:val="007426B9"/>
    <w:rsid w:val="0076378A"/>
    <w:rsid w:val="00764342"/>
    <w:rsid w:val="00774362"/>
    <w:rsid w:val="00786598"/>
    <w:rsid w:val="00790C74"/>
    <w:rsid w:val="007912F6"/>
    <w:rsid w:val="007972DE"/>
    <w:rsid w:val="007A04E8"/>
    <w:rsid w:val="007A3E29"/>
    <w:rsid w:val="007A5A90"/>
    <w:rsid w:val="007A5D5D"/>
    <w:rsid w:val="007B0478"/>
    <w:rsid w:val="007B2C34"/>
    <w:rsid w:val="007B7803"/>
    <w:rsid w:val="007E4497"/>
    <w:rsid w:val="00826C93"/>
    <w:rsid w:val="00830086"/>
    <w:rsid w:val="00851625"/>
    <w:rsid w:val="00863C0A"/>
    <w:rsid w:val="008700DB"/>
    <w:rsid w:val="00892E0C"/>
    <w:rsid w:val="008A3120"/>
    <w:rsid w:val="008A4B97"/>
    <w:rsid w:val="008B196E"/>
    <w:rsid w:val="008C5B8E"/>
    <w:rsid w:val="008C5DD5"/>
    <w:rsid w:val="008C6EE4"/>
    <w:rsid w:val="008D2EC9"/>
    <w:rsid w:val="008D41BE"/>
    <w:rsid w:val="008D58D3"/>
    <w:rsid w:val="008D7388"/>
    <w:rsid w:val="008E3BC9"/>
    <w:rsid w:val="00923064"/>
    <w:rsid w:val="0092727C"/>
    <w:rsid w:val="00930FFD"/>
    <w:rsid w:val="00936D25"/>
    <w:rsid w:val="00941EA5"/>
    <w:rsid w:val="00964700"/>
    <w:rsid w:val="00966C16"/>
    <w:rsid w:val="0098732F"/>
    <w:rsid w:val="00992A07"/>
    <w:rsid w:val="009A045F"/>
    <w:rsid w:val="009A6A2B"/>
    <w:rsid w:val="009B0C22"/>
    <w:rsid w:val="009C7E7C"/>
    <w:rsid w:val="00A00473"/>
    <w:rsid w:val="00A03C9B"/>
    <w:rsid w:val="00A37105"/>
    <w:rsid w:val="00A43945"/>
    <w:rsid w:val="00A606C3"/>
    <w:rsid w:val="00A83B09"/>
    <w:rsid w:val="00A84541"/>
    <w:rsid w:val="00A87D6D"/>
    <w:rsid w:val="00AE36A0"/>
    <w:rsid w:val="00AF639A"/>
    <w:rsid w:val="00B00294"/>
    <w:rsid w:val="00B209A2"/>
    <w:rsid w:val="00B30FE3"/>
    <w:rsid w:val="00B3749C"/>
    <w:rsid w:val="00B63701"/>
    <w:rsid w:val="00B64FD0"/>
    <w:rsid w:val="00BA5BD0"/>
    <w:rsid w:val="00BB1D82"/>
    <w:rsid w:val="00BD51C5"/>
    <w:rsid w:val="00BE596A"/>
    <w:rsid w:val="00BF26E7"/>
    <w:rsid w:val="00C53FCA"/>
    <w:rsid w:val="00C76BAF"/>
    <w:rsid w:val="00C814B9"/>
    <w:rsid w:val="00CC5047"/>
    <w:rsid w:val="00CD516F"/>
    <w:rsid w:val="00CF3FA9"/>
    <w:rsid w:val="00D0251B"/>
    <w:rsid w:val="00D119A7"/>
    <w:rsid w:val="00D25FBA"/>
    <w:rsid w:val="00D32B28"/>
    <w:rsid w:val="00D42954"/>
    <w:rsid w:val="00D66EAC"/>
    <w:rsid w:val="00D730DF"/>
    <w:rsid w:val="00D772F0"/>
    <w:rsid w:val="00D77BDC"/>
    <w:rsid w:val="00D84828"/>
    <w:rsid w:val="00DC402B"/>
    <w:rsid w:val="00DC7607"/>
    <w:rsid w:val="00DE0932"/>
    <w:rsid w:val="00E03A27"/>
    <w:rsid w:val="00E049F1"/>
    <w:rsid w:val="00E36728"/>
    <w:rsid w:val="00E37A25"/>
    <w:rsid w:val="00E537FF"/>
    <w:rsid w:val="00E6539B"/>
    <w:rsid w:val="00E70A31"/>
    <w:rsid w:val="00E723A7"/>
    <w:rsid w:val="00EA3F38"/>
    <w:rsid w:val="00EA5AB6"/>
    <w:rsid w:val="00EB1120"/>
    <w:rsid w:val="00EC7615"/>
    <w:rsid w:val="00ED16AA"/>
    <w:rsid w:val="00ED6B8D"/>
    <w:rsid w:val="00EE3D7B"/>
    <w:rsid w:val="00EE6FC2"/>
    <w:rsid w:val="00EF662E"/>
    <w:rsid w:val="00F10064"/>
    <w:rsid w:val="00F106C4"/>
    <w:rsid w:val="00F148F1"/>
    <w:rsid w:val="00F55AF2"/>
    <w:rsid w:val="00F711A7"/>
    <w:rsid w:val="00FA3BBF"/>
    <w:rsid w:val="00FC41F8"/>
    <w:rsid w:val="00FD6311"/>
    <w:rsid w:val="00FD7AA3"/>
    <w:rsid w:val="00FE471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24C7220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link w:val="AnnexNoCar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link w:val="AnnextitleChar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qFormat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8C6EE4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7912F6"/>
    <w:rPr>
      <w:rFonts w:ascii="Times New Roman" w:hAnsi="Times New Roman"/>
      <w:i/>
      <w:sz w:val="24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E36728"/>
    <w:rPr>
      <w:rFonts w:ascii="Times New Roman" w:hAnsi="Times New Roman"/>
      <w:sz w:val="24"/>
      <w:lang w:val="fr-FR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E36728"/>
    <w:rPr>
      <w:rFonts w:ascii="Times New Roman Bold" w:hAnsi="Times New Roman Bold"/>
      <w:b/>
      <w:sz w:val="28"/>
      <w:lang w:val="fr-FR" w:eastAsia="en-US"/>
    </w:rPr>
  </w:style>
  <w:style w:type="character" w:customStyle="1" w:styleId="AnnexNoCar">
    <w:name w:val="Annex_No Car"/>
    <w:basedOn w:val="DefaultParagraphFont"/>
    <w:link w:val="AnnexNo"/>
    <w:rsid w:val="00E36728"/>
    <w:rPr>
      <w:rFonts w:ascii="Times New Roman" w:hAnsi="Times New Roman"/>
      <w:caps/>
      <w:sz w:val="28"/>
      <w:lang w:val="fr-FR" w:eastAsia="en-US"/>
    </w:rPr>
  </w:style>
  <w:style w:type="character" w:customStyle="1" w:styleId="BRNormal">
    <w:name w:val="BR_Normal"/>
    <w:basedOn w:val="DefaultParagraphFont"/>
    <w:uiPriority w:val="1"/>
    <w:qFormat/>
    <w:rsid w:val="00E36728"/>
  </w:style>
  <w:style w:type="character" w:styleId="CommentReference">
    <w:name w:val="annotation reference"/>
    <w:basedOn w:val="DefaultParagraphFont"/>
    <w:semiHidden/>
    <w:unhideWhenUsed/>
    <w:rsid w:val="003C6F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6F2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6F26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6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6F26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3C6F26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3C6F2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6F26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R16-WRC19-C-0050!A24!MSW-F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796CA-14C6-4653-BB61-1585936DD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7AB1CD-568C-4300-92F1-74CE91D8E76A}">
  <ds:schemaRefs>
    <ds:schemaRef ds:uri="996b2e75-67fd-4955-a3b0-5ab9934cb50b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32a1a8c5-2265-4ebc-b7a0-2071e2c5c9bb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94D3BFE-9C9A-4CB8-84F1-F765443C56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1835</Words>
  <Characters>10261</Characters>
  <Application>Microsoft Office Word</Application>
  <DocSecurity>0</DocSecurity>
  <Lines>270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R16-WRC19-C-0050!A24!MSW-F</vt:lpstr>
    </vt:vector>
  </TitlesOfParts>
  <Manager>Secrétariat général - Pool</Manager>
  <Company>Union internationale des télécommunications (UIT)</Company>
  <LinksUpToDate>false</LinksUpToDate>
  <CharactersWithSpaces>11947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R16-WRC19-C-0050!A24!MSW-F</dc:title>
  <dc:subject>Conférence mondiale des radiocommunications - 2019</dc:subject>
  <dc:creator>Documents Proposals Manager (DPM)</dc:creator>
  <cp:keywords>DPM_v2019.10.3.1_prod</cp:keywords>
  <dc:description/>
  <cp:lastModifiedBy>Murphy, Margaret</cp:lastModifiedBy>
  <cp:revision>18</cp:revision>
  <cp:lastPrinted>2019-10-20T12:35:00Z</cp:lastPrinted>
  <dcterms:created xsi:type="dcterms:W3CDTF">2019-10-20T11:36:00Z</dcterms:created>
  <dcterms:modified xsi:type="dcterms:W3CDTF">2019-10-20T14:16:00Z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