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46873" w14:paraId="478786C8" w14:textId="77777777">
        <w:trPr>
          <w:cantSplit/>
        </w:trPr>
        <w:tc>
          <w:tcPr>
            <w:tcW w:w="6911" w:type="dxa"/>
          </w:tcPr>
          <w:p w14:paraId="65DE5911" w14:textId="77777777" w:rsidR="00A066F1" w:rsidRPr="00446873" w:rsidRDefault="00241FA2" w:rsidP="00116C7A">
            <w:pPr>
              <w:spacing w:before="400" w:after="48" w:line="240" w:lineRule="atLeast"/>
              <w:rPr>
                <w:rFonts w:ascii="Verdana" w:hAnsi="Verdana"/>
                <w:position w:val="6"/>
              </w:rPr>
            </w:pPr>
            <w:r w:rsidRPr="00446873">
              <w:rPr>
                <w:rFonts w:ascii="Verdana" w:hAnsi="Verdana" w:cs="Times"/>
                <w:b/>
                <w:position w:val="6"/>
                <w:sz w:val="22"/>
                <w:szCs w:val="22"/>
              </w:rPr>
              <w:t>World Radiocommunication Conference (WRC-1</w:t>
            </w:r>
            <w:r w:rsidR="000E463E" w:rsidRPr="00446873">
              <w:rPr>
                <w:rFonts w:ascii="Verdana" w:hAnsi="Verdana" w:cs="Times"/>
                <w:b/>
                <w:position w:val="6"/>
                <w:sz w:val="22"/>
                <w:szCs w:val="22"/>
              </w:rPr>
              <w:t>9</w:t>
            </w:r>
            <w:r w:rsidRPr="00446873">
              <w:rPr>
                <w:rFonts w:ascii="Verdana" w:hAnsi="Verdana" w:cs="Times"/>
                <w:b/>
                <w:position w:val="6"/>
                <w:sz w:val="22"/>
                <w:szCs w:val="22"/>
              </w:rPr>
              <w:t>)</w:t>
            </w:r>
            <w:r w:rsidRPr="00446873">
              <w:rPr>
                <w:rFonts w:ascii="Verdana" w:hAnsi="Verdana" w:cs="Times"/>
                <w:b/>
                <w:position w:val="6"/>
                <w:sz w:val="26"/>
                <w:szCs w:val="26"/>
              </w:rPr>
              <w:br/>
            </w:r>
            <w:r w:rsidR="00116C7A" w:rsidRPr="00446873">
              <w:rPr>
                <w:rFonts w:ascii="Verdana" w:hAnsi="Verdana"/>
                <w:b/>
                <w:bCs/>
                <w:position w:val="6"/>
                <w:sz w:val="18"/>
                <w:szCs w:val="18"/>
              </w:rPr>
              <w:t>Sharm el-Sheikh, Egypt</w:t>
            </w:r>
            <w:r w:rsidRPr="00446873">
              <w:rPr>
                <w:rFonts w:ascii="Verdana" w:hAnsi="Verdana"/>
                <w:b/>
                <w:bCs/>
                <w:position w:val="6"/>
                <w:sz w:val="18"/>
                <w:szCs w:val="18"/>
              </w:rPr>
              <w:t xml:space="preserve">, </w:t>
            </w:r>
            <w:r w:rsidR="000E463E" w:rsidRPr="00446873">
              <w:rPr>
                <w:rFonts w:ascii="Verdana" w:hAnsi="Verdana"/>
                <w:b/>
                <w:bCs/>
                <w:position w:val="6"/>
                <w:sz w:val="18"/>
                <w:szCs w:val="18"/>
              </w:rPr>
              <w:t xml:space="preserve">28 October </w:t>
            </w:r>
            <w:r w:rsidRPr="00446873">
              <w:rPr>
                <w:rFonts w:ascii="Verdana" w:hAnsi="Verdana"/>
                <w:b/>
                <w:bCs/>
                <w:position w:val="6"/>
                <w:sz w:val="18"/>
                <w:szCs w:val="18"/>
              </w:rPr>
              <w:t>–</w:t>
            </w:r>
            <w:r w:rsidR="000E463E" w:rsidRPr="00446873">
              <w:rPr>
                <w:rFonts w:ascii="Verdana" w:hAnsi="Verdana"/>
                <w:b/>
                <w:bCs/>
                <w:position w:val="6"/>
                <w:sz w:val="18"/>
                <w:szCs w:val="18"/>
              </w:rPr>
              <w:t xml:space="preserve"> </w:t>
            </w:r>
            <w:r w:rsidRPr="00446873">
              <w:rPr>
                <w:rFonts w:ascii="Verdana" w:hAnsi="Verdana"/>
                <w:b/>
                <w:bCs/>
                <w:position w:val="6"/>
                <w:sz w:val="18"/>
                <w:szCs w:val="18"/>
              </w:rPr>
              <w:t>2</w:t>
            </w:r>
            <w:r w:rsidR="000E463E" w:rsidRPr="00446873">
              <w:rPr>
                <w:rFonts w:ascii="Verdana" w:hAnsi="Verdana"/>
                <w:b/>
                <w:bCs/>
                <w:position w:val="6"/>
                <w:sz w:val="18"/>
                <w:szCs w:val="18"/>
              </w:rPr>
              <w:t>2</w:t>
            </w:r>
            <w:r w:rsidRPr="00446873">
              <w:rPr>
                <w:rFonts w:ascii="Verdana" w:hAnsi="Verdana"/>
                <w:b/>
                <w:bCs/>
                <w:position w:val="6"/>
                <w:sz w:val="18"/>
                <w:szCs w:val="18"/>
              </w:rPr>
              <w:t xml:space="preserve"> November 201</w:t>
            </w:r>
            <w:r w:rsidR="000E463E" w:rsidRPr="00446873">
              <w:rPr>
                <w:rFonts w:ascii="Verdana" w:hAnsi="Verdana"/>
                <w:b/>
                <w:bCs/>
                <w:position w:val="6"/>
                <w:sz w:val="18"/>
                <w:szCs w:val="18"/>
              </w:rPr>
              <w:t>9</w:t>
            </w:r>
          </w:p>
        </w:tc>
        <w:tc>
          <w:tcPr>
            <w:tcW w:w="3120" w:type="dxa"/>
          </w:tcPr>
          <w:p w14:paraId="1E0BD8C4" w14:textId="77777777" w:rsidR="00A066F1" w:rsidRPr="00446873" w:rsidRDefault="005F04D8" w:rsidP="003B2284">
            <w:pPr>
              <w:spacing w:before="0" w:line="240" w:lineRule="atLeast"/>
              <w:jc w:val="right"/>
            </w:pPr>
            <w:bookmarkStart w:id="0" w:name="ditulogo"/>
            <w:bookmarkEnd w:id="0"/>
            <w:r w:rsidRPr="00446873">
              <w:rPr>
                <w:noProof/>
                <w:lang w:eastAsia="zh-CN"/>
              </w:rPr>
              <w:drawing>
                <wp:inline distT="0" distB="0" distL="0" distR="0" wp14:anchorId="354FC564" wp14:editId="505453AF">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446873" w14:paraId="6A149674" w14:textId="77777777">
        <w:trPr>
          <w:cantSplit/>
        </w:trPr>
        <w:tc>
          <w:tcPr>
            <w:tcW w:w="6911" w:type="dxa"/>
            <w:tcBorders>
              <w:bottom w:val="single" w:sz="12" w:space="0" w:color="auto"/>
            </w:tcBorders>
          </w:tcPr>
          <w:p w14:paraId="354A8D9C" w14:textId="77777777" w:rsidR="00A066F1" w:rsidRPr="00446873"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0827632E" w14:textId="77777777" w:rsidR="00A066F1" w:rsidRPr="00446873" w:rsidRDefault="00A066F1" w:rsidP="00A066F1">
            <w:pPr>
              <w:spacing w:before="0" w:line="240" w:lineRule="atLeast"/>
              <w:rPr>
                <w:rFonts w:ascii="Verdana" w:hAnsi="Verdana"/>
                <w:szCs w:val="24"/>
              </w:rPr>
            </w:pPr>
          </w:p>
        </w:tc>
      </w:tr>
      <w:tr w:rsidR="00A066F1" w:rsidRPr="00446873" w14:paraId="7CEBEB34" w14:textId="77777777">
        <w:trPr>
          <w:cantSplit/>
        </w:trPr>
        <w:tc>
          <w:tcPr>
            <w:tcW w:w="6911" w:type="dxa"/>
            <w:tcBorders>
              <w:top w:val="single" w:sz="12" w:space="0" w:color="auto"/>
            </w:tcBorders>
          </w:tcPr>
          <w:p w14:paraId="32DCC991" w14:textId="77777777" w:rsidR="00A066F1" w:rsidRPr="00446873"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B2D88F4" w14:textId="77777777" w:rsidR="00A066F1" w:rsidRPr="00446873" w:rsidRDefault="00A066F1" w:rsidP="00A066F1">
            <w:pPr>
              <w:spacing w:before="0" w:line="240" w:lineRule="atLeast"/>
              <w:rPr>
                <w:rFonts w:ascii="Verdana" w:hAnsi="Verdana"/>
                <w:sz w:val="20"/>
              </w:rPr>
            </w:pPr>
          </w:p>
        </w:tc>
      </w:tr>
      <w:tr w:rsidR="00A066F1" w:rsidRPr="00446873" w14:paraId="02F8D2EC" w14:textId="77777777">
        <w:trPr>
          <w:cantSplit/>
          <w:trHeight w:val="23"/>
        </w:trPr>
        <w:tc>
          <w:tcPr>
            <w:tcW w:w="6911" w:type="dxa"/>
            <w:shd w:val="clear" w:color="auto" w:fill="auto"/>
          </w:tcPr>
          <w:p w14:paraId="01AB1FAF" w14:textId="77777777" w:rsidR="00A066F1" w:rsidRPr="00446873"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446873">
              <w:rPr>
                <w:rFonts w:ascii="Verdana" w:hAnsi="Verdana"/>
                <w:sz w:val="20"/>
                <w:szCs w:val="20"/>
              </w:rPr>
              <w:t>PLENARY MEETING</w:t>
            </w:r>
          </w:p>
        </w:tc>
        <w:tc>
          <w:tcPr>
            <w:tcW w:w="3120" w:type="dxa"/>
          </w:tcPr>
          <w:p w14:paraId="1CEB1E5F" w14:textId="77777777" w:rsidR="00A066F1" w:rsidRPr="00446873" w:rsidRDefault="00E55816" w:rsidP="00AA666F">
            <w:pPr>
              <w:tabs>
                <w:tab w:val="left" w:pos="851"/>
              </w:tabs>
              <w:spacing w:before="0" w:line="240" w:lineRule="atLeast"/>
              <w:rPr>
                <w:rFonts w:ascii="Verdana" w:hAnsi="Verdana"/>
                <w:sz w:val="20"/>
              </w:rPr>
            </w:pPr>
            <w:r w:rsidRPr="00446873">
              <w:rPr>
                <w:rFonts w:ascii="Verdana" w:hAnsi="Verdana"/>
                <w:b/>
                <w:sz w:val="20"/>
              </w:rPr>
              <w:t>Addendum 24 to</w:t>
            </w:r>
            <w:r w:rsidRPr="00446873">
              <w:rPr>
                <w:rFonts w:ascii="Verdana" w:hAnsi="Verdana"/>
                <w:b/>
                <w:sz w:val="20"/>
              </w:rPr>
              <w:br/>
              <w:t>Document 50</w:t>
            </w:r>
            <w:r w:rsidR="00A066F1" w:rsidRPr="00446873">
              <w:rPr>
                <w:rFonts w:ascii="Verdana" w:hAnsi="Verdana"/>
                <w:b/>
                <w:sz w:val="20"/>
              </w:rPr>
              <w:t>-</w:t>
            </w:r>
            <w:r w:rsidR="005E10C9" w:rsidRPr="00446873">
              <w:rPr>
                <w:rFonts w:ascii="Verdana" w:hAnsi="Verdana"/>
                <w:b/>
                <w:sz w:val="20"/>
              </w:rPr>
              <w:t>E</w:t>
            </w:r>
          </w:p>
        </w:tc>
      </w:tr>
      <w:tr w:rsidR="00A066F1" w:rsidRPr="00446873" w14:paraId="3EF64CAA" w14:textId="77777777">
        <w:trPr>
          <w:cantSplit/>
          <w:trHeight w:val="23"/>
        </w:trPr>
        <w:tc>
          <w:tcPr>
            <w:tcW w:w="6911" w:type="dxa"/>
            <w:shd w:val="clear" w:color="auto" w:fill="auto"/>
          </w:tcPr>
          <w:p w14:paraId="1EC058E4" w14:textId="77777777" w:rsidR="00A066F1" w:rsidRPr="00446873"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541EDC4D" w14:textId="77777777" w:rsidR="00A066F1" w:rsidRPr="00446873" w:rsidRDefault="00420873" w:rsidP="00A066F1">
            <w:pPr>
              <w:tabs>
                <w:tab w:val="left" w:pos="993"/>
              </w:tabs>
              <w:spacing w:before="0"/>
              <w:rPr>
                <w:rFonts w:ascii="Verdana" w:hAnsi="Verdana"/>
                <w:sz w:val="20"/>
              </w:rPr>
            </w:pPr>
            <w:r w:rsidRPr="00446873">
              <w:rPr>
                <w:rFonts w:ascii="Verdana" w:hAnsi="Verdana"/>
                <w:b/>
                <w:sz w:val="20"/>
              </w:rPr>
              <w:t>7 October 2019</w:t>
            </w:r>
          </w:p>
        </w:tc>
      </w:tr>
      <w:tr w:rsidR="00A066F1" w:rsidRPr="00446873" w14:paraId="7D422225" w14:textId="77777777">
        <w:trPr>
          <w:cantSplit/>
          <w:trHeight w:val="23"/>
        </w:trPr>
        <w:tc>
          <w:tcPr>
            <w:tcW w:w="6911" w:type="dxa"/>
            <w:shd w:val="clear" w:color="auto" w:fill="auto"/>
          </w:tcPr>
          <w:p w14:paraId="09E7F5AB" w14:textId="77777777" w:rsidR="00A066F1" w:rsidRPr="00446873"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22C867C8" w14:textId="77777777" w:rsidR="00A066F1" w:rsidRPr="00446873" w:rsidRDefault="00E55816" w:rsidP="00A066F1">
            <w:pPr>
              <w:tabs>
                <w:tab w:val="left" w:pos="993"/>
              </w:tabs>
              <w:spacing w:before="0"/>
              <w:rPr>
                <w:rFonts w:ascii="Verdana" w:hAnsi="Verdana"/>
                <w:b/>
                <w:sz w:val="20"/>
              </w:rPr>
            </w:pPr>
            <w:r w:rsidRPr="00446873">
              <w:rPr>
                <w:rFonts w:ascii="Verdana" w:hAnsi="Verdana"/>
                <w:b/>
                <w:sz w:val="20"/>
              </w:rPr>
              <w:t>Original: English</w:t>
            </w:r>
          </w:p>
        </w:tc>
      </w:tr>
      <w:tr w:rsidR="00A066F1" w:rsidRPr="00446873" w14:paraId="38999E93" w14:textId="77777777" w:rsidTr="00025864">
        <w:trPr>
          <w:cantSplit/>
          <w:trHeight w:val="23"/>
        </w:trPr>
        <w:tc>
          <w:tcPr>
            <w:tcW w:w="10031" w:type="dxa"/>
            <w:gridSpan w:val="2"/>
            <w:shd w:val="clear" w:color="auto" w:fill="auto"/>
          </w:tcPr>
          <w:p w14:paraId="6D24D203" w14:textId="77777777" w:rsidR="00A066F1" w:rsidRPr="00446873" w:rsidRDefault="00A066F1" w:rsidP="00A066F1">
            <w:pPr>
              <w:tabs>
                <w:tab w:val="left" w:pos="993"/>
              </w:tabs>
              <w:spacing w:before="0"/>
              <w:rPr>
                <w:rFonts w:ascii="Verdana" w:hAnsi="Verdana"/>
                <w:b/>
                <w:sz w:val="20"/>
              </w:rPr>
            </w:pPr>
          </w:p>
        </w:tc>
      </w:tr>
      <w:tr w:rsidR="00E55816" w:rsidRPr="00446873" w14:paraId="5C7CD475" w14:textId="77777777" w:rsidTr="00025864">
        <w:trPr>
          <w:cantSplit/>
          <w:trHeight w:val="23"/>
        </w:trPr>
        <w:tc>
          <w:tcPr>
            <w:tcW w:w="10031" w:type="dxa"/>
            <w:gridSpan w:val="2"/>
            <w:shd w:val="clear" w:color="auto" w:fill="auto"/>
          </w:tcPr>
          <w:p w14:paraId="78652D03" w14:textId="77777777" w:rsidR="00E55816" w:rsidRPr="00446873" w:rsidRDefault="00884D60" w:rsidP="00E55816">
            <w:pPr>
              <w:pStyle w:val="Source"/>
            </w:pPr>
            <w:r w:rsidRPr="00446873">
              <w:t>Singapore (Republic of)</w:t>
            </w:r>
          </w:p>
        </w:tc>
      </w:tr>
      <w:tr w:rsidR="00E55816" w:rsidRPr="00446873" w14:paraId="6D9468D7" w14:textId="77777777" w:rsidTr="00025864">
        <w:trPr>
          <w:cantSplit/>
          <w:trHeight w:val="23"/>
        </w:trPr>
        <w:tc>
          <w:tcPr>
            <w:tcW w:w="10031" w:type="dxa"/>
            <w:gridSpan w:val="2"/>
            <w:shd w:val="clear" w:color="auto" w:fill="auto"/>
          </w:tcPr>
          <w:p w14:paraId="3BEF7CD2" w14:textId="77777777" w:rsidR="00E55816" w:rsidRPr="00446873" w:rsidRDefault="007D5320" w:rsidP="00E55816">
            <w:pPr>
              <w:pStyle w:val="Title1"/>
            </w:pPr>
            <w:r w:rsidRPr="00446873">
              <w:t>Proposals for the work of the conference</w:t>
            </w:r>
          </w:p>
        </w:tc>
      </w:tr>
      <w:tr w:rsidR="00E55816" w:rsidRPr="00446873" w14:paraId="61C4F839" w14:textId="77777777" w:rsidTr="00025864">
        <w:trPr>
          <w:cantSplit/>
          <w:trHeight w:val="23"/>
        </w:trPr>
        <w:tc>
          <w:tcPr>
            <w:tcW w:w="10031" w:type="dxa"/>
            <w:gridSpan w:val="2"/>
            <w:shd w:val="clear" w:color="auto" w:fill="auto"/>
          </w:tcPr>
          <w:p w14:paraId="7186F72A" w14:textId="77777777" w:rsidR="00E55816" w:rsidRPr="00446873" w:rsidRDefault="00E55816" w:rsidP="00E55816">
            <w:pPr>
              <w:pStyle w:val="Title2"/>
            </w:pPr>
          </w:p>
        </w:tc>
      </w:tr>
      <w:tr w:rsidR="00A538A6" w:rsidRPr="00446873" w14:paraId="5716062A" w14:textId="77777777" w:rsidTr="00025864">
        <w:trPr>
          <w:cantSplit/>
          <w:trHeight w:val="23"/>
        </w:trPr>
        <w:tc>
          <w:tcPr>
            <w:tcW w:w="10031" w:type="dxa"/>
            <w:gridSpan w:val="2"/>
            <w:shd w:val="clear" w:color="auto" w:fill="auto"/>
          </w:tcPr>
          <w:p w14:paraId="5C73872F" w14:textId="77777777" w:rsidR="00A538A6" w:rsidRPr="00446873" w:rsidRDefault="004B13CB" w:rsidP="004B13CB">
            <w:pPr>
              <w:pStyle w:val="Agendaitem"/>
              <w:rPr>
                <w:lang w:val="en-GB"/>
              </w:rPr>
            </w:pPr>
            <w:r w:rsidRPr="00446873">
              <w:rPr>
                <w:lang w:val="en-GB"/>
              </w:rPr>
              <w:t>Agenda item 10</w:t>
            </w:r>
          </w:p>
        </w:tc>
      </w:tr>
    </w:tbl>
    <w:bookmarkEnd w:id="6"/>
    <w:bookmarkEnd w:id="7"/>
    <w:p w14:paraId="02F76F46" w14:textId="77777777" w:rsidR="005118F7" w:rsidRPr="00446873" w:rsidRDefault="00101FEF" w:rsidP="00167FA6">
      <w:pPr>
        <w:overflowPunct/>
        <w:autoSpaceDE/>
        <w:autoSpaceDN/>
        <w:adjustRightInd/>
        <w:textAlignment w:val="auto"/>
      </w:pPr>
      <w:r w:rsidRPr="00446873">
        <w:t>10</w:t>
      </w:r>
      <w:r w:rsidRPr="00446873">
        <w:tab/>
        <w:t>to recommend to the Council items for inclusion in the agenda for the next WRC, and to give its views on the preliminary agenda for the subsequent conference and on possible agenda items for future conferences, in accordance with Article 7 of the Convention.</w:t>
      </w:r>
    </w:p>
    <w:p w14:paraId="69748720" w14:textId="7CDA1714" w:rsidR="00135BA9" w:rsidRPr="00446873" w:rsidRDefault="00135BA9" w:rsidP="00135BA9">
      <w:pPr>
        <w:pStyle w:val="Title4"/>
        <w:rPr>
          <w:sz w:val="24"/>
          <w:szCs w:val="24"/>
        </w:rPr>
      </w:pPr>
      <w:r w:rsidRPr="00446873">
        <w:rPr>
          <w:sz w:val="24"/>
          <w:szCs w:val="24"/>
        </w:rPr>
        <w:t>Proposal to consider an allocation to the mobile-satellite service (space-to-space) in the frequency bands 1</w:t>
      </w:r>
      <w:r w:rsidR="00674ABD" w:rsidRPr="00446873">
        <w:rPr>
          <w:sz w:val="24"/>
          <w:szCs w:val="24"/>
        </w:rPr>
        <w:t xml:space="preserve"> </w:t>
      </w:r>
      <w:r w:rsidRPr="00446873">
        <w:rPr>
          <w:sz w:val="24"/>
          <w:szCs w:val="24"/>
        </w:rPr>
        <w:t>518</w:t>
      </w:r>
      <w:r w:rsidR="00674ABD" w:rsidRPr="00446873">
        <w:rPr>
          <w:sz w:val="24"/>
          <w:szCs w:val="24"/>
        </w:rPr>
        <w:t>-</w:t>
      </w:r>
      <w:r w:rsidRPr="00446873">
        <w:rPr>
          <w:sz w:val="24"/>
          <w:szCs w:val="24"/>
        </w:rPr>
        <w:t>1</w:t>
      </w:r>
      <w:r w:rsidR="00674ABD" w:rsidRPr="00446873">
        <w:rPr>
          <w:sz w:val="24"/>
          <w:szCs w:val="24"/>
        </w:rPr>
        <w:t xml:space="preserve"> </w:t>
      </w:r>
      <w:r w:rsidRPr="00446873">
        <w:rPr>
          <w:sz w:val="24"/>
          <w:szCs w:val="24"/>
        </w:rPr>
        <w:t>559 MHz, 1</w:t>
      </w:r>
      <w:r w:rsidR="00674ABD" w:rsidRPr="00446873">
        <w:rPr>
          <w:sz w:val="24"/>
          <w:szCs w:val="24"/>
        </w:rPr>
        <w:t xml:space="preserve"> </w:t>
      </w:r>
      <w:r w:rsidRPr="00446873">
        <w:rPr>
          <w:sz w:val="24"/>
          <w:szCs w:val="24"/>
        </w:rPr>
        <w:t>626.5</w:t>
      </w:r>
      <w:r w:rsidR="00674ABD" w:rsidRPr="00446873">
        <w:rPr>
          <w:sz w:val="24"/>
          <w:szCs w:val="24"/>
        </w:rPr>
        <w:t>-</w:t>
      </w:r>
      <w:r w:rsidRPr="00446873">
        <w:rPr>
          <w:sz w:val="24"/>
          <w:szCs w:val="24"/>
        </w:rPr>
        <w:t>1</w:t>
      </w:r>
      <w:r w:rsidR="00674ABD" w:rsidRPr="00446873">
        <w:rPr>
          <w:sz w:val="24"/>
          <w:szCs w:val="24"/>
        </w:rPr>
        <w:t xml:space="preserve"> </w:t>
      </w:r>
      <w:r w:rsidRPr="00446873">
        <w:rPr>
          <w:sz w:val="24"/>
          <w:szCs w:val="24"/>
        </w:rPr>
        <w:t>660.5 MHz and 1</w:t>
      </w:r>
      <w:r w:rsidR="00674ABD" w:rsidRPr="00446873">
        <w:rPr>
          <w:sz w:val="24"/>
          <w:szCs w:val="24"/>
        </w:rPr>
        <w:t xml:space="preserve"> </w:t>
      </w:r>
      <w:r w:rsidRPr="00446873">
        <w:rPr>
          <w:sz w:val="24"/>
          <w:szCs w:val="24"/>
        </w:rPr>
        <w:t>668</w:t>
      </w:r>
      <w:r w:rsidR="00674ABD" w:rsidRPr="00446873">
        <w:rPr>
          <w:sz w:val="24"/>
          <w:szCs w:val="24"/>
        </w:rPr>
        <w:t>-</w:t>
      </w:r>
      <w:r w:rsidRPr="00446873">
        <w:rPr>
          <w:sz w:val="24"/>
          <w:szCs w:val="24"/>
        </w:rPr>
        <w:t>1</w:t>
      </w:r>
      <w:r w:rsidR="00674ABD" w:rsidRPr="00446873">
        <w:rPr>
          <w:sz w:val="24"/>
          <w:szCs w:val="24"/>
        </w:rPr>
        <w:t xml:space="preserve"> </w:t>
      </w:r>
      <w:r w:rsidRPr="00446873">
        <w:rPr>
          <w:sz w:val="24"/>
          <w:szCs w:val="24"/>
        </w:rPr>
        <w:t>675 MHz</w:t>
      </w:r>
    </w:p>
    <w:p w14:paraId="3670C765" w14:textId="77777777" w:rsidR="00135BA9" w:rsidRPr="00446873" w:rsidRDefault="00135BA9" w:rsidP="00135BA9">
      <w:pPr>
        <w:pStyle w:val="Headingb"/>
        <w:rPr>
          <w:lang w:val="en-GB"/>
        </w:rPr>
      </w:pPr>
      <w:r w:rsidRPr="00446873">
        <w:rPr>
          <w:lang w:val="en-GB"/>
        </w:rPr>
        <w:t>Background</w:t>
      </w:r>
    </w:p>
    <w:p w14:paraId="1F9E4655" w14:textId="7CD15944" w:rsidR="00135BA9" w:rsidRPr="00446873" w:rsidRDefault="00135BA9" w:rsidP="00135BA9">
      <w:pPr>
        <w:rPr>
          <w:iCs/>
        </w:rPr>
      </w:pPr>
      <w:r w:rsidRPr="00446873">
        <w:rPr>
          <w:iCs/>
        </w:rPr>
        <w:t xml:space="preserve">Many </w:t>
      </w:r>
      <w:r w:rsidRPr="00446873">
        <w:t>low</w:t>
      </w:r>
      <w:r w:rsidR="00674ABD" w:rsidRPr="00446873">
        <w:t xml:space="preserve">-Earth </w:t>
      </w:r>
      <w:r w:rsidRPr="00446873">
        <w:t xml:space="preserve">orbit (LEO) satellites operate today and are planned to operate in the near future, providing a broad range of </w:t>
      </w:r>
      <w:r w:rsidR="00674ABD" w:rsidRPr="00446873">
        <w:t xml:space="preserve">Earth </w:t>
      </w:r>
      <w:r w:rsidRPr="00446873">
        <w:t>observation and communication applications; for governments, the scientific community and commercial customers.</w:t>
      </w:r>
      <w:r w:rsidR="00F42FC3" w:rsidRPr="00446873">
        <w:t xml:space="preserve"> </w:t>
      </w:r>
      <w:r w:rsidRPr="00446873">
        <w:t>LEO satellites typically operate with limited and non-real-time connectivity through a number of earth stations located around the globe.</w:t>
      </w:r>
      <w:r w:rsidR="00F42FC3" w:rsidRPr="00446873">
        <w:t xml:space="preserve"> </w:t>
      </w:r>
      <w:r w:rsidRPr="00446873">
        <w:t xml:space="preserve">The </w:t>
      </w:r>
      <w:r w:rsidR="00674ABD" w:rsidRPr="00446873">
        <w:t>low-Earth</w:t>
      </w:r>
      <w:r w:rsidRPr="00446873">
        <w:t xml:space="preserve"> orbit means that an earth station has visibility of the LEO spacecraft for only a short period of time, and satellites must spend much of their orbit outside of the visibility of any earth station and hence without connectivity to the ground.</w:t>
      </w:r>
      <w:r w:rsidR="00F42FC3" w:rsidRPr="00446873">
        <w:t xml:space="preserve"> </w:t>
      </w:r>
      <w:r w:rsidRPr="00446873">
        <w:t>Aside from the limited time for which connectivity is available, the cost of the ground infrastructure can be prohibitive for new low-cost space applications such as “cubesats”.</w:t>
      </w:r>
      <w:r w:rsidR="0012271C" w:rsidRPr="00446873">
        <w:t xml:space="preserve"> </w:t>
      </w:r>
      <w:r w:rsidRPr="00446873">
        <w:t>A more effective and economic means of communication can be provided between existing GSO MSS satellites and LEO satellites within the frequency bands 1</w:t>
      </w:r>
      <w:r w:rsidR="00674ABD" w:rsidRPr="00446873">
        <w:t> </w:t>
      </w:r>
      <w:r w:rsidRPr="00446873">
        <w:t>518-1</w:t>
      </w:r>
      <w:r w:rsidR="00674ABD" w:rsidRPr="00446873">
        <w:t xml:space="preserve"> </w:t>
      </w:r>
      <w:r w:rsidRPr="00446873">
        <w:t>559 MHz, 1</w:t>
      </w:r>
      <w:r w:rsidR="00674ABD" w:rsidRPr="00446873">
        <w:t xml:space="preserve"> </w:t>
      </w:r>
      <w:r w:rsidRPr="00446873">
        <w:t>626.5-1</w:t>
      </w:r>
      <w:r w:rsidR="00674ABD" w:rsidRPr="00446873">
        <w:t xml:space="preserve"> </w:t>
      </w:r>
      <w:r w:rsidRPr="00446873">
        <w:t>660.5 MHz and 1</w:t>
      </w:r>
      <w:r w:rsidR="00674ABD" w:rsidRPr="00446873">
        <w:t xml:space="preserve"> </w:t>
      </w:r>
      <w:r w:rsidRPr="00446873">
        <w:t>668-1</w:t>
      </w:r>
      <w:r w:rsidR="00674ABD" w:rsidRPr="00446873">
        <w:t xml:space="preserve"> </w:t>
      </w:r>
      <w:r w:rsidRPr="00446873">
        <w:t>675 MHz.</w:t>
      </w:r>
      <w:r w:rsidR="00F42FC3" w:rsidRPr="00446873">
        <w:t xml:space="preserve"> </w:t>
      </w:r>
      <w:r w:rsidRPr="00446873">
        <w:t>By using specially modified mobile earth station equipment installed on the LEO spacecraft, communications can be provided and maintained between the LEO satellite and the GSO MSS satellites.</w:t>
      </w:r>
      <w:r w:rsidR="00F42FC3" w:rsidRPr="00446873">
        <w:t xml:space="preserve"> </w:t>
      </w:r>
      <w:r w:rsidRPr="00446873">
        <w:t>The GSO satellites have permanent connectivity to the ground via their feeder links and gateway earth stations, which relay the data to and from the LEO spacecraft.</w:t>
      </w:r>
      <w:r w:rsidR="00F42FC3" w:rsidRPr="00446873">
        <w:t xml:space="preserve"> </w:t>
      </w:r>
      <w:r w:rsidRPr="00446873">
        <w:t>Three or more GSO satellites can provide connectivity to LEO satellites for almost 100% of a typical LEO orbit.</w:t>
      </w:r>
      <w:r w:rsidR="00F42FC3" w:rsidRPr="00446873">
        <w:t xml:space="preserve"> </w:t>
      </w:r>
      <w:r w:rsidRPr="00446873">
        <w:t>These communications links would therefore provide an effective means for continuous monitoring and control of such LEO satellites.</w:t>
      </w:r>
    </w:p>
    <w:p w14:paraId="15FD0026" w14:textId="77777777" w:rsidR="00135BA9" w:rsidRPr="00446873" w:rsidRDefault="00135BA9" w:rsidP="00135BA9">
      <w:r w:rsidRPr="00446873">
        <w:t xml:space="preserve">Discussions with LEO satellite operators have revealed that the addition of space-to-space communications within the MSS will enable a near real-time, on-demand and uninterrupted means for monitoring and control of such LEO satellites. This will not only enhance security and efficiency of operations for the LEO satellites but also enable new use cases for LEO satellite </w:t>
      </w:r>
      <w:r w:rsidRPr="00446873">
        <w:lastRenderedPageBreak/>
        <w:t>missions, thereby greatly liberating the use of LEO satellites for many innovative and important applications and level the playing field for new players from countries around the world.</w:t>
      </w:r>
    </w:p>
    <w:p w14:paraId="25FB8068" w14:textId="5ABE7C5E" w:rsidR="00135BA9" w:rsidRPr="00446873" w:rsidRDefault="00135BA9">
      <w:r w:rsidRPr="00446873">
        <w:t>Size and power are important design considerations for many LEO spacecraft and the use of the bands around 1.5/1.6 GHz allows for the use of small terminals on the LEO spacecraft, with low power requirements.</w:t>
      </w:r>
      <w:r w:rsidR="00F42FC3" w:rsidRPr="00446873">
        <w:t xml:space="preserve"> </w:t>
      </w:r>
      <w:r w:rsidRPr="00446873">
        <w:t>Such operations between GSO MSS satellite and LEO satellites are technically feasible today and some trial systems have been operated,</w:t>
      </w:r>
      <w:r w:rsidR="00F42FC3" w:rsidRPr="00446873">
        <w:t xml:space="preserve"> </w:t>
      </w:r>
      <w:r w:rsidRPr="00446873">
        <w:t xml:space="preserve">However the current allocations in these frequency bands do not support space-to-space links, and hence today any such use can only operate under provision No. </w:t>
      </w:r>
      <w:r w:rsidRPr="00446873">
        <w:rPr>
          <w:b/>
          <w:bCs/>
        </w:rPr>
        <w:t>4.4</w:t>
      </w:r>
      <w:r w:rsidRPr="00446873">
        <w:t xml:space="preserve"> of the RR.</w:t>
      </w:r>
      <w:r w:rsidR="00F42FC3" w:rsidRPr="00446873">
        <w:t xml:space="preserve"> </w:t>
      </w:r>
      <w:r w:rsidRPr="00446873">
        <w:t xml:space="preserve">The use of No. </w:t>
      </w:r>
      <w:r w:rsidRPr="00446873">
        <w:rPr>
          <w:b/>
          <w:bCs/>
        </w:rPr>
        <w:t>4.4</w:t>
      </w:r>
      <w:r w:rsidRPr="00446873">
        <w:t xml:space="preserve"> to accommodate such use has been referred to by the Director, BR, in the </w:t>
      </w:r>
      <w:r w:rsidR="0012271C" w:rsidRPr="00446873">
        <w:t>p</w:t>
      </w:r>
      <w:r w:rsidRPr="00446873">
        <w:t xml:space="preserve">reliminary </w:t>
      </w:r>
      <w:r w:rsidR="0012271C" w:rsidRPr="00446873">
        <w:t>d</w:t>
      </w:r>
      <w:r w:rsidRPr="00446873">
        <w:t xml:space="preserve">raft Report of the Director to WRC-19 on the Activities of the Radiocommunication Sector (see section 3.1.3.2 of </w:t>
      </w:r>
      <w:r w:rsidR="00674ABD" w:rsidRPr="00446873">
        <w:t xml:space="preserve">Document </w:t>
      </w:r>
      <w:r w:rsidRPr="00446873">
        <w:t>CPM19-2/17</w:t>
      </w:r>
      <w:r w:rsidR="0012271C" w:rsidRPr="00446873">
        <w:rPr>
          <w:rStyle w:val="FootnoteReference"/>
        </w:rPr>
        <w:footnoteReference w:customMarkFollows="1" w:id="1"/>
        <w:t>*</w:t>
      </w:r>
      <w:r w:rsidRPr="00446873">
        <w:t>).</w:t>
      </w:r>
    </w:p>
    <w:p w14:paraId="3C79DE03" w14:textId="5B11EDBE" w:rsidR="00135BA9" w:rsidRPr="00446873" w:rsidRDefault="00135BA9">
      <w:r w:rsidRPr="00446873">
        <w:t xml:space="preserve">ITU-R Working Party 4C has conducted preliminary studies of this issue and has developed a </w:t>
      </w:r>
      <w:r w:rsidR="0012271C" w:rsidRPr="00446873">
        <w:t>p</w:t>
      </w:r>
      <w:r w:rsidRPr="00446873">
        <w:t xml:space="preserve">reliminary </w:t>
      </w:r>
      <w:r w:rsidR="0012271C" w:rsidRPr="00446873">
        <w:t>d</w:t>
      </w:r>
      <w:r w:rsidRPr="00446873">
        <w:t xml:space="preserve">raft new ITU-R Report on this topic (see Annex 8 to </w:t>
      </w:r>
      <w:r w:rsidR="00674ABD" w:rsidRPr="00446873">
        <w:t xml:space="preserve">Document </w:t>
      </w:r>
      <w:r w:rsidRPr="00446873">
        <w:t>4C/417</w:t>
      </w:r>
      <w:r w:rsidR="0012271C" w:rsidRPr="00446873">
        <w:rPr>
          <w:rStyle w:val="FootnoteReference"/>
        </w:rPr>
        <w:footnoteReference w:customMarkFollows="1" w:id="2"/>
        <w:t>**</w:t>
      </w:r>
      <w:r w:rsidRPr="00446873">
        <w:t>).</w:t>
      </w:r>
    </w:p>
    <w:p w14:paraId="2A46F6D4" w14:textId="01E09C2C" w:rsidR="00135BA9" w:rsidRPr="00446873" w:rsidRDefault="00135BA9" w:rsidP="00135BA9">
      <w:r w:rsidRPr="00446873">
        <w:t xml:space="preserve">The use of radiocommunication links between MSS space stations falls within the definition of the MSS in accordance with No. </w:t>
      </w:r>
      <w:r w:rsidRPr="00446873">
        <w:rPr>
          <w:b/>
          <w:bCs/>
        </w:rPr>
        <w:t>1.25</w:t>
      </w:r>
      <w:r w:rsidRPr="00446873">
        <w:t xml:space="preserve"> of the Radio Regulations and could be applied to any given frequency band with an allocation to the MSS (space-to-space).</w:t>
      </w:r>
      <w:r w:rsidR="00F42FC3" w:rsidRPr="00446873">
        <w:t xml:space="preserve"> </w:t>
      </w:r>
      <w:r w:rsidRPr="00446873">
        <w:t>However the current allocations in the bands 1 518-1 559 MHz, 1 626.5-1 660.5 MHz and 1 668-1 675 MHz are for MSS (space-to-Earth) or MSS (Earth-to-space), and so do not accommodate MSS (space-to-space) applications.</w:t>
      </w:r>
    </w:p>
    <w:p w14:paraId="7F77DF67" w14:textId="77777777" w:rsidR="00135BA9" w:rsidRPr="00446873" w:rsidRDefault="00135BA9" w:rsidP="00135BA9">
      <w:pPr>
        <w:pStyle w:val="Headingb"/>
        <w:rPr>
          <w:lang w:val="en-GB"/>
        </w:rPr>
      </w:pPr>
      <w:r w:rsidRPr="00446873">
        <w:rPr>
          <w:lang w:val="en-GB"/>
        </w:rPr>
        <w:t>Proposal</w:t>
      </w:r>
    </w:p>
    <w:p w14:paraId="34C2820E" w14:textId="226C351F" w:rsidR="008A06CA" w:rsidRPr="00446873" w:rsidRDefault="00135BA9" w:rsidP="00135BA9">
      <w:r w:rsidRPr="00446873">
        <w:t>An agenda item for WRC-23 is proposed below by Singapore with a draft of the WRC Resolution for the allocation of the frequency bands 1</w:t>
      </w:r>
      <w:r w:rsidR="0074425B" w:rsidRPr="00446873">
        <w:t> </w:t>
      </w:r>
      <w:r w:rsidRPr="00446873">
        <w:t>518</w:t>
      </w:r>
      <w:r w:rsidR="0074425B" w:rsidRPr="00446873">
        <w:t>-</w:t>
      </w:r>
      <w:r w:rsidRPr="00446873">
        <w:t>1</w:t>
      </w:r>
      <w:r w:rsidR="0074425B" w:rsidRPr="00446873">
        <w:t> </w:t>
      </w:r>
      <w:r w:rsidRPr="00446873">
        <w:t>559 MHz, 1</w:t>
      </w:r>
      <w:r w:rsidR="0074425B" w:rsidRPr="00446873">
        <w:t> </w:t>
      </w:r>
      <w:r w:rsidRPr="00446873">
        <w:t>626.5</w:t>
      </w:r>
      <w:r w:rsidR="0074425B" w:rsidRPr="00446873">
        <w:t>-</w:t>
      </w:r>
      <w:r w:rsidRPr="00446873">
        <w:t>1</w:t>
      </w:r>
      <w:r w:rsidR="0074425B" w:rsidRPr="00446873">
        <w:t> </w:t>
      </w:r>
      <w:r w:rsidRPr="00446873">
        <w:t>660.5 MHz and 1</w:t>
      </w:r>
      <w:r w:rsidR="0074425B" w:rsidRPr="00446873">
        <w:t> </w:t>
      </w:r>
      <w:r w:rsidRPr="00446873">
        <w:t>668</w:t>
      </w:r>
      <w:r w:rsidR="0074425B" w:rsidRPr="00446873">
        <w:t>-</w:t>
      </w:r>
      <w:r w:rsidRPr="00446873">
        <w:t>1</w:t>
      </w:r>
      <w:r w:rsidR="0074425B" w:rsidRPr="00446873">
        <w:t> </w:t>
      </w:r>
      <w:r w:rsidRPr="00446873">
        <w:t>675</w:t>
      </w:r>
      <w:r w:rsidR="0074425B" w:rsidRPr="00446873">
        <w:t> </w:t>
      </w:r>
      <w:r w:rsidRPr="00446873">
        <w:t xml:space="preserve">MHz. Using the template provided in Annex 2 of Resolution </w:t>
      </w:r>
      <w:r w:rsidRPr="00446873">
        <w:rPr>
          <w:b/>
        </w:rPr>
        <w:t>804</w:t>
      </w:r>
      <w:r w:rsidRPr="00446873">
        <w:t xml:space="preserve"> (</w:t>
      </w:r>
      <w:r w:rsidRPr="00446873">
        <w:rPr>
          <w:b/>
        </w:rPr>
        <w:t>Rev.WRC-12</w:t>
      </w:r>
      <w:r w:rsidRPr="00446873">
        <w:t>), the proposal is appended as follows</w:t>
      </w:r>
      <w:r w:rsidRPr="00446873">
        <w:rPr>
          <w:i/>
        </w:rPr>
        <w:t>.</w:t>
      </w:r>
    </w:p>
    <w:p w14:paraId="250434DF" w14:textId="77777777" w:rsidR="00187BD9" w:rsidRPr="00446873" w:rsidRDefault="00187BD9" w:rsidP="00187BD9">
      <w:pPr>
        <w:tabs>
          <w:tab w:val="clear" w:pos="1134"/>
          <w:tab w:val="clear" w:pos="1871"/>
          <w:tab w:val="clear" w:pos="2268"/>
        </w:tabs>
        <w:overflowPunct/>
        <w:autoSpaceDE/>
        <w:autoSpaceDN/>
        <w:adjustRightInd/>
        <w:spacing w:before="0"/>
        <w:textAlignment w:val="auto"/>
      </w:pPr>
      <w:r w:rsidRPr="00446873">
        <w:br w:type="page"/>
      </w:r>
    </w:p>
    <w:p w14:paraId="2D6D0410" w14:textId="77777777" w:rsidR="00C9552A" w:rsidRPr="00446873" w:rsidRDefault="00101FEF">
      <w:pPr>
        <w:pStyle w:val="Proposal"/>
      </w:pPr>
      <w:r w:rsidRPr="00446873">
        <w:lastRenderedPageBreak/>
        <w:t>ADD</w:t>
      </w:r>
      <w:r w:rsidRPr="00446873">
        <w:tab/>
        <w:t>SNG/50A24/1</w:t>
      </w:r>
    </w:p>
    <w:p w14:paraId="4A41A45E" w14:textId="77777777" w:rsidR="00C9552A" w:rsidRPr="00446873" w:rsidRDefault="00135BA9">
      <w:pPr>
        <w:pStyle w:val="ResNo"/>
      </w:pPr>
      <w:r w:rsidRPr="00446873">
        <w:t>Draft New Resolution [SNG/</w:t>
      </w:r>
      <w:r w:rsidR="00101FEF" w:rsidRPr="00446873">
        <w:t>A</w:t>
      </w:r>
      <w:r w:rsidR="005233BB" w:rsidRPr="00446873">
        <w:t>10</w:t>
      </w:r>
      <w:r w:rsidR="00101FEF" w:rsidRPr="00446873">
        <w:t>/MSS SPACE-TO-SPACE L-BAND]</w:t>
      </w:r>
      <w:r w:rsidRPr="00446873">
        <w:t xml:space="preserve"> (WRC-19)</w:t>
      </w:r>
    </w:p>
    <w:p w14:paraId="534B79B9" w14:textId="0AB1BEDF" w:rsidR="00C9552A" w:rsidRPr="00446873" w:rsidRDefault="00135BA9">
      <w:pPr>
        <w:pStyle w:val="Restitle"/>
      </w:pPr>
      <w:r w:rsidRPr="00446873">
        <w:t>Allocations to the mobile-satellite service (space-to-space) in the frequency bands 1</w:t>
      </w:r>
      <w:r w:rsidR="00674ABD" w:rsidRPr="00446873">
        <w:t xml:space="preserve"> </w:t>
      </w:r>
      <w:r w:rsidRPr="00446873">
        <w:t>518</w:t>
      </w:r>
      <w:r w:rsidR="005233BB" w:rsidRPr="00446873">
        <w:t>-</w:t>
      </w:r>
      <w:r w:rsidRPr="00446873">
        <w:t>1</w:t>
      </w:r>
      <w:r w:rsidR="00674ABD" w:rsidRPr="00446873">
        <w:t xml:space="preserve"> </w:t>
      </w:r>
      <w:r w:rsidRPr="00446873">
        <w:t>559 MHz, 1</w:t>
      </w:r>
      <w:r w:rsidR="00674ABD" w:rsidRPr="00446873">
        <w:t xml:space="preserve"> </w:t>
      </w:r>
      <w:r w:rsidRPr="00446873">
        <w:t>626.5</w:t>
      </w:r>
      <w:r w:rsidR="005233BB" w:rsidRPr="00446873">
        <w:t>-</w:t>
      </w:r>
      <w:r w:rsidRPr="00446873">
        <w:t>1</w:t>
      </w:r>
      <w:r w:rsidR="00674ABD" w:rsidRPr="00446873">
        <w:t xml:space="preserve"> </w:t>
      </w:r>
      <w:r w:rsidRPr="00446873">
        <w:t>660.5 MHz and 1</w:t>
      </w:r>
      <w:r w:rsidR="00674ABD" w:rsidRPr="00446873">
        <w:t xml:space="preserve"> </w:t>
      </w:r>
      <w:r w:rsidRPr="00446873">
        <w:t>668</w:t>
      </w:r>
      <w:r w:rsidR="005233BB" w:rsidRPr="00446873">
        <w:t>-</w:t>
      </w:r>
      <w:r w:rsidRPr="00446873">
        <w:t>1</w:t>
      </w:r>
      <w:r w:rsidR="00674ABD" w:rsidRPr="00446873">
        <w:t xml:space="preserve"> </w:t>
      </w:r>
      <w:r w:rsidRPr="00446873">
        <w:t>675 MHz</w:t>
      </w:r>
    </w:p>
    <w:p w14:paraId="1189844E" w14:textId="5FF41BF2" w:rsidR="00C9552A" w:rsidRPr="00446873" w:rsidRDefault="00135BA9" w:rsidP="00135BA9">
      <w:pPr>
        <w:pStyle w:val="Normalaftertitle"/>
      </w:pPr>
      <w:r w:rsidRPr="00446873">
        <w:t>The World Radiocommunication Conference (Sharm el-Sheik</w:t>
      </w:r>
      <w:r w:rsidR="00674ABD" w:rsidRPr="00446873">
        <w:t>h</w:t>
      </w:r>
      <w:r w:rsidRPr="00446873">
        <w:t>, 2019),</w:t>
      </w:r>
    </w:p>
    <w:p w14:paraId="63A54C7F" w14:textId="77777777" w:rsidR="00135BA9" w:rsidRPr="00446873" w:rsidRDefault="00135BA9" w:rsidP="00135BA9">
      <w:pPr>
        <w:pStyle w:val="Call"/>
      </w:pPr>
      <w:r w:rsidRPr="00446873">
        <w:t>considering</w:t>
      </w:r>
    </w:p>
    <w:p w14:paraId="57748BC3" w14:textId="77777777" w:rsidR="00135BA9" w:rsidRPr="00446873" w:rsidRDefault="00135BA9" w:rsidP="00135BA9">
      <w:pPr>
        <w:rPr>
          <w:rFonts w:asciiTheme="majorBidi" w:hAnsiTheme="majorBidi" w:cstheme="majorBidi"/>
          <w:i/>
          <w:szCs w:val="24"/>
        </w:rPr>
      </w:pPr>
      <w:r w:rsidRPr="00446873">
        <w:rPr>
          <w:rFonts w:asciiTheme="majorBidi" w:hAnsiTheme="majorBidi" w:cstheme="majorBidi"/>
          <w:i/>
          <w:szCs w:val="24"/>
        </w:rPr>
        <w:t>a)</w:t>
      </w:r>
      <w:r w:rsidRPr="00446873">
        <w:rPr>
          <w:rFonts w:asciiTheme="majorBidi" w:hAnsiTheme="majorBidi" w:cstheme="majorBidi"/>
          <w:i/>
          <w:szCs w:val="24"/>
        </w:rPr>
        <w:tab/>
      </w:r>
      <w:r w:rsidRPr="00446873">
        <w:rPr>
          <w:rFonts w:asciiTheme="majorBidi" w:hAnsiTheme="majorBidi" w:cstheme="majorBidi"/>
          <w:szCs w:val="24"/>
        </w:rPr>
        <w:t xml:space="preserve">that the </w:t>
      </w:r>
      <w:r w:rsidRPr="00446873">
        <w:rPr>
          <w:color w:val="000000"/>
        </w:rPr>
        <w:t xml:space="preserve">definition of mobile-satellite service (MSS) in No. </w:t>
      </w:r>
      <w:r w:rsidRPr="00446873">
        <w:rPr>
          <w:b/>
          <w:color w:val="000000"/>
        </w:rPr>
        <w:t>1.25</w:t>
      </w:r>
      <w:r w:rsidRPr="00446873">
        <w:rPr>
          <w:color w:val="000000"/>
        </w:rPr>
        <w:t xml:space="preserve"> of the Radio Regulations includes communication between space stations;</w:t>
      </w:r>
    </w:p>
    <w:p w14:paraId="2D2299B3" w14:textId="77777777" w:rsidR="00135BA9" w:rsidRPr="00446873" w:rsidRDefault="00135BA9" w:rsidP="00135BA9">
      <w:pPr>
        <w:rPr>
          <w:rFonts w:asciiTheme="majorBidi" w:hAnsiTheme="majorBidi" w:cstheme="majorBidi"/>
          <w:szCs w:val="24"/>
        </w:rPr>
      </w:pPr>
      <w:r w:rsidRPr="00446873">
        <w:rPr>
          <w:rFonts w:asciiTheme="majorBidi" w:hAnsiTheme="majorBidi" w:cstheme="majorBidi"/>
          <w:i/>
          <w:szCs w:val="24"/>
        </w:rPr>
        <w:t>b)</w:t>
      </w:r>
      <w:r w:rsidRPr="00446873">
        <w:rPr>
          <w:rFonts w:asciiTheme="majorBidi" w:hAnsiTheme="majorBidi" w:cstheme="majorBidi"/>
          <w:szCs w:val="24"/>
        </w:rPr>
        <w:tab/>
        <w:t xml:space="preserve">that </w:t>
      </w:r>
      <w:r w:rsidRPr="00446873">
        <w:rPr>
          <w:color w:val="000000"/>
        </w:rPr>
        <w:t>many non-GSO satellites operate with limited and non-real-time connectivity to earth stations</w:t>
      </w:r>
      <w:r w:rsidRPr="00446873">
        <w:rPr>
          <w:rFonts w:asciiTheme="majorBidi" w:hAnsiTheme="majorBidi" w:cstheme="majorBidi"/>
          <w:szCs w:val="24"/>
        </w:rPr>
        <w:t>;</w:t>
      </w:r>
    </w:p>
    <w:p w14:paraId="236F240C" w14:textId="77777777" w:rsidR="00135BA9" w:rsidRPr="00446873" w:rsidRDefault="00135BA9" w:rsidP="00135BA9">
      <w:r w:rsidRPr="00446873">
        <w:rPr>
          <w:i/>
        </w:rPr>
        <w:t>c)</w:t>
      </w:r>
      <w:r w:rsidRPr="00446873">
        <w:rPr>
          <w:i/>
        </w:rPr>
        <w:tab/>
      </w:r>
      <w:r w:rsidRPr="00446873">
        <w:t xml:space="preserve">that </w:t>
      </w:r>
      <w:r w:rsidRPr="00446873">
        <w:rPr>
          <w:color w:val="000000"/>
        </w:rPr>
        <w:t>space-to-space communication between such non-GSO satellites and geostationary (GSO) MSS satellites would enhance the security and efficiency of operations</w:t>
      </w:r>
      <w:r w:rsidRPr="00446873">
        <w:t>;</w:t>
      </w:r>
    </w:p>
    <w:p w14:paraId="79C6A6CA" w14:textId="5CCC3CE6" w:rsidR="00135BA9" w:rsidRPr="00446873" w:rsidRDefault="00135BA9">
      <w:pPr>
        <w:rPr>
          <w:rFonts w:asciiTheme="majorBidi" w:hAnsiTheme="majorBidi" w:cstheme="majorBidi"/>
          <w:szCs w:val="24"/>
        </w:rPr>
      </w:pPr>
      <w:r w:rsidRPr="00446873">
        <w:rPr>
          <w:rFonts w:asciiTheme="majorBidi" w:hAnsiTheme="majorBidi" w:cstheme="majorBidi"/>
          <w:i/>
          <w:iCs/>
          <w:szCs w:val="24"/>
        </w:rPr>
        <w:t>d)</w:t>
      </w:r>
      <w:r w:rsidRPr="00446873">
        <w:rPr>
          <w:rFonts w:asciiTheme="majorBidi" w:hAnsiTheme="majorBidi" w:cstheme="majorBidi"/>
          <w:szCs w:val="24"/>
        </w:rPr>
        <w:tab/>
        <w:t xml:space="preserve">that </w:t>
      </w:r>
      <w:r w:rsidRPr="00446873">
        <w:rPr>
          <w:color w:val="000000"/>
        </w:rPr>
        <w:t>GSO MSS satellites operating in the frequency bands 1</w:t>
      </w:r>
      <w:r w:rsidR="0074425B" w:rsidRPr="00446873">
        <w:rPr>
          <w:color w:val="000000"/>
        </w:rPr>
        <w:t> </w:t>
      </w:r>
      <w:r w:rsidRPr="00446873">
        <w:rPr>
          <w:color w:val="000000"/>
        </w:rPr>
        <w:t>518</w:t>
      </w:r>
      <w:r w:rsidR="005233BB" w:rsidRPr="00446873">
        <w:rPr>
          <w:color w:val="000000"/>
        </w:rPr>
        <w:t>-</w:t>
      </w:r>
      <w:r w:rsidRPr="00446873">
        <w:rPr>
          <w:color w:val="000000"/>
        </w:rPr>
        <w:t>1</w:t>
      </w:r>
      <w:r w:rsidR="0074425B" w:rsidRPr="00446873">
        <w:rPr>
          <w:color w:val="000000"/>
        </w:rPr>
        <w:t> </w:t>
      </w:r>
      <w:r w:rsidRPr="00446873">
        <w:rPr>
          <w:color w:val="000000"/>
        </w:rPr>
        <w:t>559 MHz, 1</w:t>
      </w:r>
      <w:r w:rsidR="0074425B" w:rsidRPr="00446873">
        <w:rPr>
          <w:color w:val="000000"/>
        </w:rPr>
        <w:t> </w:t>
      </w:r>
      <w:r w:rsidRPr="00446873">
        <w:rPr>
          <w:color w:val="000000"/>
        </w:rPr>
        <w:t>626.5</w:t>
      </w:r>
      <w:r w:rsidR="005233BB" w:rsidRPr="00446873">
        <w:rPr>
          <w:color w:val="000000"/>
        </w:rPr>
        <w:t>-</w:t>
      </w:r>
      <w:r w:rsidRPr="00446873">
        <w:rPr>
          <w:color w:val="000000"/>
        </w:rPr>
        <w:t>1 660.5 MHz and 1</w:t>
      </w:r>
      <w:r w:rsidR="0074425B" w:rsidRPr="00446873">
        <w:rPr>
          <w:color w:val="000000"/>
        </w:rPr>
        <w:t> </w:t>
      </w:r>
      <w:r w:rsidRPr="00446873">
        <w:rPr>
          <w:color w:val="000000"/>
        </w:rPr>
        <w:t>668</w:t>
      </w:r>
      <w:r w:rsidR="005233BB" w:rsidRPr="00446873">
        <w:rPr>
          <w:color w:val="000000"/>
        </w:rPr>
        <w:t>-</w:t>
      </w:r>
      <w:r w:rsidRPr="00446873">
        <w:rPr>
          <w:color w:val="000000"/>
        </w:rPr>
        <w:t>1</w:t>
      </w:r>
      <w:r w:rsidR="0074425B" w:rsidRPr="00446873">
        <w:rPr>
          <w:color w:val="000000"/>
        </w:rPr>
        <w:t> </w:t>
      </w:r>
      <w:r w:rsidRPr="00446873">
        <w:rPr>
          <w:color w:val="000000"/>
        </w:rPr>
        <w:t>675 MHz can support these types of operation</w:t>
      </w:r>
      <w:r w:rsidRPr="00446873">
        <w:rPr>
          <w:rFonts w:asciiTheme="majorBidi" w:hAnsiTheme="majorBidi" w:cstheme="majorBidi"/>
          <w:szCs w:val="24"/>
        </w:rPr>
        <w:t>;</w:t>
      </w:r>
    </w:p>
    <w:p w14:paraId="54F989B2" w14:textId="77777777" w:rsidR="00135BA9" w:rsidRPr="00446873" w:rsidRDefault="00135BA9" w:rsidP="00135BA9">
      <w:pPr>
        <w:rPr>
          <w:rFonts w:asciiTheme="majorBidi" w:hAnsiTheme="majorBidi" w:cstheme="majorBidi"/>
          <w:szCs w:val="24"/>
        </w:rPr>
      </w:pPr>
      <w:r w:rsidRPr="00446873">
        <w:rPr>
          <w:rFonts w:asciiTheme="majorBidi" w:hAnsiTheme="majorBidi" w:cstheme="majorBidi"/>
          <w:i/>
          <w:iCs/>
          <w:szCs w:val="24"/>
        </w:rPr>
        <w:t>e)</w:t>
      </w:r>
      <w:r w:rsidRPr="00446873">
        <w:rPr>
          <w:rFonts w:asciiTheme="majorBidi" w:hAnsiTheme="majorBidi" w:cstheme="majorBidi"/>
          <w:szCs w:val="24"/>
        </w:rPr>
        <w:tab/>
        <w:t xml:space="preserve">that </w:t>
      </w:r>
      <w:r w:rsidRPr="00446873">
        <w:rPr>
          <w:color w:val="000000"/>
        </w:rPr>
        <w:t>the above frequency bands are currently allocated to MSS (space-to-Earth) or MSS (Earth-to-space) but not to MSS (space-to-space)</w:t>
      </w:r>
      <w:r w:rsidRPr="00446873">
        <w:rPr>
          <w:rFonts w:asciiTheme="majorBidi" w:hAnsiTheme="majorBidi" w:cstheme="majorBidi"/>
          <w:szCs w:val="24"/>
        </w:rPr>
        <w:t>;</w:t>
      </w:r>
    </w:p>
    <w:p w14:paraId="04244450" w14:textId="77777777" w:rsidR="00135BA9" w:rsidRPr="00446873" w:rsidRDefault="00135BA9">
      <w:pPr>
        <w:rPr>
          <w:rFonts w:asciiTheme="majorBidi" w:hAnsiTheme="majorBidi" w:cstheme="majorBidi"/>
          <w:szCs w:val="24"/>
        </w:rPr>
      </w:pPr>
      <w:r w:rsidRPr="00446873">
        <w:rPr>
          <w:rFonts w:asciiTheme="majorBidi" w:hAnsiTheme="majorBidi" w:cstheme="majorBidi"/>
          <w:i/>
          <w:iCs/>
          <w:szCs w:val="24"/>
        </w:rPr>
        <w:t>f)</w:t>
      </w:r>
      <w:r w:rsidRPr="00446873">
        <w:rPr>
          <w:rFonts w:asciiTheme="majorBidi" w:hAnsiTheme="majorBidi" w:cstheme="majorBidi"/>
          <w:szCs w:val="24"/>
        </w:rPr>
        <w:tab/>
        <w:t xml:space="preserve">that </w:t>
      </w:r>
      <w:r w:rsidRPr="00446873">
        <w:t>the ITU-R has begun preliminary studies on the technical and operational issues associated with the operation of space-to-space links between non-GSO satellites and GSO MSS satellites in the above frequency bands</w:t>
      </w:r>
      <w:r w:rsidR="005233BB" w:rsidRPr="00446873">
        <w:t>,</w:t>
      </w:r>
    </w:p>
    <w:p w14:paraId="7E5D71F2" w14:textId="77777777" w:rsidR="00135BA9" w:rsidRPr="00446873" w:rsidRDefault="00135BA9" w:rsidP="00135BA9">
      <w:pPr>
        <w:pStyle w:val="Call"/>
      </w:pPr>
      <w:r w:rsidRPr="00446873">
        <w:t>recognizing</w:t>
      </w:r>
    </w:p>
    <w:p w14:paraId="61E95CA7" w14:textId="77777777" w:rsidR="00135BA9" w:rsidRPr="00446873" w:rsidRDefault="00135BA9">
      <w:pPr>
        <w:rPr>
          <w:rFonts w:asciiTheme="majorBidi" w:hAnsiTheme="majorBidi" w:cstheme="majorBidi"/>
          <w:szCs w:val="24"/>
        </w:rPr>
      </w:pPr>
      <w:r w:rsidRPr="00446873">
        <w:rPr>
          <w:rFonts w:asciiTheme="majorBidi" w:hAnsiTheme="majorBidi" w:cstheme="majorBidi"/>
          <w:szCs w:val="24"/>
        </w:rPr>
        <w:t xml:space="preserve">that </w:t>
      </w:r>
      <w:r w:rsidRPr="00446873">
        <w:t>it is necessary to study the potential operation of MSS (space-to-space) in the above frequency bands to ensure compatibility with all allocated services in these bands and avoid harmful interference</w:t>
      </w:r>
      <w:r w:rsidRPr="00446873">
        <w:rPr>
          <w:rFonts w:asciiTheme="majorBidi" w:hAnsiTheme="majorBidi" w:cstheme="majorBidi"/>
          <w:szCs w:val="24"/>
        </w:rPr>
        <w:t>,</w:t>
      </w:r>
    </w:p>
    <w:p w14:paraId="509469BA" w14:textId="22492EA1" w:rsidR="00135BA9" w:rsidRPr="00446873" w:rsidRDefault="00135BA9" w:rsidP="0074425B">
      <w:pPr>
        <w:pStyle w:val="Call"/>
      </w:pPr>
      <w:r w:rsidRPr="00446873">
        <w:t>noting</w:t>
      </w:r>
    </w:p>
    <w:p w14:paraId="68A8F676" w14:textId="77777777" w:rsidR="00135BA9" w:rsidRPr="00446873" w:rsidRDefault="00135BA9">
      <w:pPr>
        <w:rPr>
          <w:rFonts w:asciiTheme="majorBidi" w:hAnsiTheme="majorBidi" w:cstheme="majorBidi"/>
          <w:szCs w:val="24"/>
        </w:rPr>
      </w:pPr>
      <w:r w:rsidRPr="00446873">
        <w:rPr>
          <w:rFonts w:asciiTheme="majorBidi" w:hAnsiTheme="majorBidi" w:cstheme="majorBidi"/>
          <w:i/>
          <w:szCs w:val="24"/>
        </w:rPr>
        <w:t>a)</w:t>
      </w:r>
      <w:r w:rsidRPr="00446873">
        <w:rPr>
          <w:rFonts w:asciiTheme="majorBidi" w:hAnsiTheme="majorBidi" w:cstheme="majorBidi"/>
          <w:i/>
          <w:szCs w:val="24"/>
        </w:rPr>
        <w:tab/>
      </w:r>
      <w:r w:rsidRPr="00446873">
        <w:rPr>
          <w:rFonts w:asciiTheme="majorBidi" w:hAnsiTheme="majorBidi" w:cstheme="majorBidi"/>
          <w:szCs w:val="24"/>
        </w:rPr>
        <w:t xml:space="preserve">that </w:t>
      </w:r>
      <w:r w:rsidRPr="00446873">
        <w:t xml:space="preserve">Section 3.1.3.2 of the Director’s Report to WRC-19 on the activities of the Radiocommunication Sector highlights that the Bureau has received an increased number of Advanced Publication Information (API) for non-geostationary satellite networks in frequency bands which are not allocated by Article </w:t>
      </w:r>
      <w:r w:rsidRPr="00446873">
        <w:rPr>
          <w:b/>
          <w:bCs/>
        </w:rPr>
        <w:t>5</w:t>
      </w:r>
      <w:r w:rsidRPr="00446873">
        <w:t xml:space="preserve"> of the Radio Regulations for the type of foreseen service, including satellite network filings for inter-satellite applications in bands allocated only in the Earth-to-space or space-to-Earth directions;</w:t>
      </w:r>
    </w:p>
    <w:p w14:paraId="3503EA4E" w14:textId="77777777" w:rsidR="00135BA9" w:rsidRPr="00446873" w:rsidRDefault="00135BA9">
      <w:pPr>
        <w:rPr>
          <w:rFonts w:asciiTheme="majorBidi" w:hAnsiTheme="majorBidi" w:cstheme="majorBidi"/>
          <w:i/>
          <w:szCs w:val="24"/>
        </w:rPr>
      </w:pPr>
      <w:r w:rsidRPr="00446873">
        <w:rPr>
          <w:rFonts w:asciiTheme="majorBidi" w:hAnsiTheme="majorBidi" w:cstheme="majorBidi"/>
          <w:i/>
          <w:szCs w:val="24"/>
        </w:rPr>
        <w:t>b)</w:t>
      </w:r>
      <w:r w:rsidRPr="00446873">
        <w:rPr>
          <w:rFonts w:asciiTheme="majorBidi" w:hAnsiTheme="majorBidi" w:cstheme="majorBidi"/>
          <w:i/>
          <w:szCs w:val="24"/>
        </w:rPr>
        <w:tab/>
      </w:r>
      <w:r w:rsidRPr="00446873">
        <w:rPr>
          <w:rFonts w:asciiTheme="majorBidi" w:hAnsiTheme="majorBidi" w:cstheme="majorBidi"/>
          <w:szCs w:val="24"/>
        </w:rPr>
        <w:t xml:space="preserve">that </w:t>
      </w:r>
      <w:r w:rsidRPr="00446873">
        <w:t>the same Director’s Report concludes that in view of recent technical developments and the increasing number of submissions of inter-satellite links in frequency bands not allocated to the inter-satellite service or to a space service in the space-to-space direction, the Conference may wish to consider means to give recognition to these uses based on the conditions derived from studies by ITU-R Working Parties 4A and 4C in order to avoid interfering with existing systems operating in the same frequency bands</w:t>
      </w:r>
      <w:r w:rsidR="005233BB" w:rsidRPr="00446873">
        <w:t>,</w:t>
      </w:r>
    </w:p>
    <w:p w14:paraId="72407937" w14:textId="77777777" w:rsidR="00135BA9" w:rsidRPr="00446873" w:rsidRDefault="00135BA9" w:rsidP="00135BA9">
      <w:pPr>
        <w:pStyle w:val="Call"/>
      </w:pPr>
      <w:r w:rsidRPr="00446873">
        <w:lastRenderedPageBreak/>
        <w:t>resolves to invite ITU</w:t>
      </w:r>
      <w:r w:rsidRPr="00446873">
        <w:noBreakHyphen/>
        <w:t>R</w:t>
      </w:r>
    </w:p>
    <w:p w14:paraId="2E772CBE" w14:textId="7DB0DC98" w:rsidR="00135BA9" w:rsidRPr="00446873" w:rsidRDefault="00135BA9">
      <w:pPr>
        <w:rPr>
          <w:rFonts w:asciiTheme="majorBidi" w:hAnsiTheme="majorBidi" w:cstheme="majorBidi"/>
          <w:szCs w:val="24"/>
        </w:rPr>
      </w:pPr>
      <w:r w:rsidRPr="00446873">
        <w:rPr>
          <w:rFonts w:asciiTheme="majorBidi" w:hAnsiTheme="majorBidi" w:cstheme="majorBidi"/>
          <w:szCs w:val="24"/>
        </w:rPr>
        <w:t>1</w:t>
      </w:r>
      <w:r w:rsidRPr="00446873">
        <w:rPr>
          <w:rFonts w:asciiTheme="majorBidi" w:hAnsiTheme="majorBidi" w:cstheme="majorBidi"/>
          <w:szCs w:val="24"/>
        </w:rPr>
        <w:tab/>
        <w:t xml:space="preserve">to </w:t>
      </w:r>
      <w:r w:rsidRPr="00446873">
        <w:t>study the technical and operational characteristics of different types of non-GSO space stations that operate or plan to operate space-to-space links with GSO MSS networks in the bands 1 518</w:t>
      </w:r>
      <w:r w:rsidR="005233BB" w:rsidRPr="00446873">
        <w:t>-</w:t>
      </w:r>
      <w:r w:rsidRPr="00446873">
        <w:t>1</w:t>
      </w:r>
      <w:r w:rsidR="0074425B" w:rsidRPr="00446873">
        <w:t> </w:t>
      </w:r>
      <w:r w:rsidRPr="00446873">
        <w:t>559 MHz, 1</w:t>
      </w:r>
      <w:r w:rsidR="0074425B" w:rsidRPr="00446873">
        <w:t> </w:t>
      </w:r>
      <w:r w:rsidRPr="00446873">
        <w:t>626.5</w:t>
      </w:r>
      <w:r w:rsidR="005233BB" w:rsidRPr="00446873">
        <w:t>-</w:t>
      </w:r>
      <w:r w:rsidRPr="00446873">
        <w:t>1</w:t>
      </w:r>
      <w:r w:rsidR="0074425B" w:rsidRPr="00446873">
        <w:t> </w:t>
      </w:r>
      <w:r w:rsidRPr="00446873">
        <w:t>660.5 MHz and 1</w:t>
      </w:r>
      <w:r w:rsidR="0074425B" w:rsidRPr="00446873">
        <w:t> </w:t>
      </w:r>
      <w:r w:rsidRPr="00446873">
        <w:t>668</w:t>
      </w:r>
      <w:r w:rsidR="005233BB" w:rsidRPr="00446873">
        <w:t>-</w:t>
      </w:r>
      <w:r w:rsidRPr="00446873">
        <w:t>1</w:t>
      </w:r>
      <w:r w:rsidR="0074425B" w:rsidRPr="00446873">
        <w:t> </w:t>
      </w:r>
      <w:r w:rsidRPr="00446873">
        <w:t>675 MHz</w:t>
      </w:r>
      <w:r w:rsidRPr="00446873">
        <w:rPr>
          <w:rFonts w:asciiTheme="majorBidi" w:hAnsiTheme="majorBidi" w:cstheme="majorBidi"/>
          <w:szCs w:val="24"/>
        </w:rPr>
        <w:t>;</w:t>
      </w:r>
    </w:p>
    <w:p w14:paraId="2CFC2EF2" w14:textId="77777777" w:rsidR="00135BA9" w:rsidRPr="00446873" w:rsidRDefault="00135BA9" w:rsidP="00135BA9">
      <w:pPr>
        <w:rPr>
          <w:rFonts w:asciiTheme="majorBidi" w:hAnsiTheme="majorBidi" w:cstheme="majorBidi"/>
          <w:szCs w:val="24"/>
        </w:rPr>
      </w:pPr>
      <w:r w:rsidRPr="00446873">
        <w:rPr>
          <w:rFonts w:asciiTheme="majorBidi" w:hAnsiTheme="majorBidi" w:cstheme="majorBidi"/>
          <w:szCs w:val="24"/>
        </w:rPr>
        <w:t>2</w:t>
      </w:r>
      <w:r w:rsidRPr="00446873">
        <w:rPr>
          <w:rFonts w:asciiTheme="majorBidi" w:hAnsiTheme="majorBidi" w:cstheme="majorBidi"/>
          <w:szCs w:val="24"/>
        </w:rPr>
        <w:tab/>
        <w:t xml:space="preserve">to </w:t>
      </w:r>
      <w:r w:rsidRPr="00446873">
        <w:t>study sharing and compatibility between space-to-space links between non-GSO and GSO space stations in the above frequency bands and current and planned stations of existing services allocated in the same frequency bands to ensure technical compatibility</w:t>
      </w:r>
      <w:r w:rsidRPr="00446873">
        <w:rPr>
          <w:rFonts w:asciiTheme="majorBidi" w:hAnsiTheme="majorBidi" w:cstheme="majorBidi"/>
          <w:szCs w:val="24"/>
        </w:rPr>
        <w:t>;</w:t>
      </w:r>
    </w:p>
    <w:p w14:paraId="61A1BD0C" w14:textId="77777777" w:rsidR="00135BA9" w:rsidRPr="00446873" w:rsidRDefault="00135BA9" w:rsidP="00135BA9">
      <w:pPr>
        <w:rPr>
          <w:i/>
        </w:rPr>
      </w:pPr>
      <w:r w:rsidRPr="00446873">
        <w:rPr>
          <w:rFonts w:asciiTheme="majorBidi" w:hAnsiTheme="majorBidi" w:cstheme="majorBidi"/>
          <w:szCs w:val="24"/>
        </w:rPr>
        <w:t>3</w:t>
      </w:r>
      <w:r w:rsidRPr="00446873">
        <w:rPr>
          <w:rFonts w:asciiTheme="majorBidi" w:hAnsiTheme="majorBidi" w:cstheme="majorBidi"/>
          <w:szCs w:val="24"/>
        </w:rPr>
        <w:tab/>
        <w:t xml:space="preserve">to </w:t>
      </w:r>
      <w:r w:rsidRPr="00446873">
        <w:t xml:space="preserve">develop technical conditions and regulatory provisions for operation of space-to-space links in these bands, including new or revised allocations as appropriate, taking into account the results of the studies called for in </w:t>
      </w:r>
      <w:r w:rsidRPr="00446873">
        <w:rPr>
          <w:i/>
        </w:rPr>
        <w:t xml:space="preserve">resolves to invite ITU-R </w:t>
      </w:r>
      <w:r w:rsidRPr="00446873">
        <w:rPr>
          <w:iCs/>
        </w:rPr>
        <w:t>1</w:t>
      </w:r>
      <w:r w:rsidRPr="00446873">
        <w:rPr>
          <w:i/>
        </w:rPr>
        <w:t xml:space="preserve"> </w:t>
      </w:r>
      <w:r w:rsidRPr="00446873">
        <w:t xml:space="preserve">and </w:t>
      </w:r>
      <w:r w:rsidRPr="00446873">
        <w:rPr>
          <w:iCs/>
        </w:rPr>
        <w:t>2</w:t>
      </w:r>
      <w:r w:rsidRPr="00446873">
        <w:rPr>
          <w:i/>
        </w:rPr>
        <w:t xml:space="preserve"> above,</w:t>
      </w:r>
    </w:p>
    <w:p w14:paraId="14DE6BF9" w14:textId="050BB6B9" w:rsidR="00135BA9" w:rsidRPr="00446873" w:rsidRDefault="00135BA9" w:rsidP="0074425B">
      <w:pPr>
        <w:pStyle w:val="Call"/>
      </w:pPr>
      <w:r w:rsidRPr="00446873">
        <w:t>further resolves</w:t>
      </w:r>
    </w:p>
    <w:p w14:paraId="33E0F78A" w14:textId="77777777" w:rsidR="00135BA9" w:rsidRPr="00446873" w:rsidRDefault="00135BA9" w:rsidP="00135BA9">
      <w:r w:rsidRPr="00446873">
        <w:t>to invite WRC-23 to consider the results of the above studies and take appropriate action,</w:t>
      </w:r>
    </w:p>
    <w:p w14:paraId="588538EE" w14:textId="77777777" w:rsidR="00135BA9" w:rsidRPr="00446873" w:rsidRDefault="00135BA9" w:rsidP="00135BA9">
      <w:pPr>
        <w:pStyle w:val="Call"/>
      </w:pPr>
      <w:r w:rsidRPr="00446873">
        <w:t>invites administrations</w:t>
      </w:r>
    </w:p>
    <w:p w14:paraId="09E5ED76" w14:textId="77777777" w:rsidR="00135BA9" w:rsidRPr="00446873" w:rsidRDefault="00135BA9" w:rsidP="00135BA9">
      <w:r w:rsidRPr="00446873">
        <w:t>to participate in the studies by submitting contributions to ITU-R.</w:t>
      </w:r>
    </w:p>
    <w:p w14:paraId="54D38A07" w14:textId="77777777" w:rsidR="00C9552A" w:rsidRPr="00446873" w:rsidRDefault="00101FEF">
      <w:pPr>
        <w:pStyle w:val="Reasons"/>
      </w:pPr>
      <w:r w:rsidRPr="00446873">
        <w:rPr>
          <w:b/>
        </w:rPr>
        <w:t>Reasons:</w:t>
      </w:r>
      <w:r w:rsidRPr="00446873">
        <w:tab/>
      </w:r>
      <w:r w:rsidR="00135BA9" w:rsidRPr="00446873">
        <w:t>To supplement the inclusion of this new agenda item for WRC-23.</w:t>
      </w:r>
    </w:p>
    <w:p w14:paraId="3E816F8A" w14:textId="77777777" w:rsidR="00135BA9" w:rsidRPr="00446873" w:rsidRDefault="00135BA9">
      <w:pPr>
        <w:tabs>
          <w:tab w:val="clear" w:pos="1134"/>
          <w:tab w:val="clear" w:pos="1871"/>
          <w:tab w:val="clear" w:pos="2268"/>
        </w:tabs>
        <w:overflowPunct/>
        <w:autoSpaceDE/>
        <w:autoSpaceDN/>
        <w:adjustRightInd/>
        <w:spacing w:before="0"/>
        <w:textAlignment w:val="auto"/>
      </w:pPr>
      <w:bookmarkStart w:id="8" w:name="_GoBack"/>
      <w:bookmarkEnd w:id="8"/>
      <w:r w:rsidRPr="00446873">
        <w:br w:type="page"/>
      </w:r>
    </w:p>
    <w:p w14:paraId="06A0CC11" w14:textId="77777777" w:rsidR="00135BA9" w:rsidRPr="00446873" w:rsidRDefault="00135BA9" w:rsidP="00135BA9">
      <w:pPr>
        <w:pStyle w:val="AnnexNo"/>
      </w:pPr>
      <w:r w:rsidRPr="00446873">
        <w:lastRenderedPageBreak/>
        <w:t>ANNEX</w:t>
      </w:r>
    </w:p>
    <w:p w14:paraId="61C14DDD" w14:textId="77777777" w:rsidR="00135BA9" w:rsidRPr="00446873" w:rsidRDefault="00135BA9" w:rsidP="00135BA9"/>
    <w:tbl>
      <w:tblPr>
        <w:tblpPr w:leftFromText="180" w:rightFromText="180" w:vertAnchor="text" w:tblpX="-84" w:tblpY="1"/>
        <w:tblOverlap w:val="never"/>
        <w:tblW w:w="9728" w:type="dxa"/>
        <w:tblLayout w:type="fixed"/>
        <w:tblLook w:val="04A0" w:firstRow="1" w:lastRow="0" w:firstColumn="1" w:lastColumn="0" w:noHBand="0" w:noVBand="1"/>
      </w:tblPr>
      <w:tblGrid>
        <w:gridCol w:w="5098"/>
        <w:gridCol w:w="4630"/>
      </w:tblGrid>
      <w:tr w:rsidR="00135BA9" w:rsidRPr="00446873" w14:paraId="4E59D88D" w14:textId="77777777" w:rsidTr="00E03CD0">
        <w:trPr>
          <w:cantSplit/>
          <w:trHeight w:val="1408"/>
        </w:trPr>
        <w:tc>
          <w:tcPr>
            <w:tcW w:w="9728" w:type="dxa"/>
            <w:gridSpan w:val="2"/>
            <w:tcBorders>
              <w:top w:val="single" w:sz="4" w:space="0" w:color="auto"/>
              <w:left w:val="single" w:sz="4" w:space="0" w:color="auto"/>
              <w:bottom w:val="single" w:sz="4" w:space="0" w:color="auto"/>
              <w:right w:val="single" w:sz="4" w:space="0" w:color="auto"/>
            </w:tcBorders>
          </w:tcPr>
          <w:p w14:paraId="4FD4FF23" w14:textId="77777777" w:rsidR="00135BA9" w:rsidRPr="00446873" w:rsidRDefault="00135BA9" w:rsidP="00EA0E72">
            <w:pPr>
              <w:pStyle w:val="Headingb"/>
              <w:rPr>
                <w:lang w:val="en-GB"/>
              </w:rPr>
            </w:pPr>
            <w:r w:rsidRPr="00446873">
              <w:rPr>
                <w:lang w:val="en-GB"/>
              </w:rPr>
              <w:t xml:space="preserve">Subject: </w:t>
            </w:r>
          </w:p>
          <w:p w14:paraId="394CB21D" w14:textId="43D47BD5" w:rsidR="00135BA9" w:rsidRPr="00446873" w:rsidRDefault="00135BA9" w:rsidP="00EA0E72">
            <w:pPr>
              <w:keepNext/>
              <w:rPr>
                <w:bCs/>
              </w:rPr>
            </w:pPr>
            <w:r w:rsidRPr="00446873">
              <w:rPr>
                <w:bCs/>
              </w:rPr>
              <w:t xml:space="preserve">Allocations to the mobile-satellite service (space-to-space) in the frequency bands </w:t>
            </w:r>
            <w:r w:rsidRPr="00446873">
              <w:rPr>
                <w:szCs w:val="24"/>
              </w:rPr>
              <w:t>1</w:t>
            </w:r>
            <w:r w:rsidR="00EA0E72" w:rsidRPr="00446873">
              <w:rPr>
                <w:szCs w:val="24"/>
              </w:rPr>
              <w:t> </w:t>
            </w:r>
            <w:r w:rsidRPr="00446873">
              <w:rPr>
                <w:szCs w:val="24"/>
              </w:rPr>
              <w:t>518</w:t>
            </w:r>
            <w:r w:rsidR="005233BB" w:rsidRPr="00446873">
              <w:rPr>
                <w:szCs w:val="24"/>
              </w:rPr>
              <w:t>-</w:t>
            </w:r>
            <w:r w:rsidRPr="00446873">
              <w:rPr>
                <w:szCs w:val="24"/>
              </w:rPr>
              <w:t>1</w:t>
            </w:r>
            <w:r w:rsidR="00EA0E72" w:rsidRPr="00446873">
              <w:rPr>
                <w:szCs w:val="24"/>
              </w:rPr>
              <w:t> </w:t>
            </w:r>
            <w:r w:rsidRPr="00446873">
              <w:rPr>
                <w:szCs w:val="24"/>
              </w:rPr>
              <w:t>559</w:t>
            </w:r>
            <w:r w:rsidR="00EA0E72" w:rsidRPr="00446873">
              <w:rPr>
                <w:szCs w:val="24"/>
              </w:rPr>
              <w:t> </w:t>
            </w:r>
            <w:r w:rsidRPr="00446873">
              <w:rPr>
                <w:szCs w:val="24"/>
              </w:rPr>
              <w:t>MHz, 1</w:t>
            </w:r>
            <w:r w:rsidR="00674ABD" w:rsidRPr="00446873">
              <w:rPr>
                <w:szCs w:val="24"/>
              </w:rPr>
              <w:t xml:space="preserve"> </w:t>
            </w:r>
            <w:r w:rsidRPr="00446873">
              <w:rPr>
                <w:szCs w:val="24"/>
              </w:rPr>
              <w:t>626.5</w:t>
            </w:r>
            <w:r w:rsidR="005233BB" w:rsidRPr="00446873">
              <w:rPr>
                <w:szCs w:val="24"/>
              </w:rPr>
              <w:t>-</w:t>
            </w:r>
            <w:r w:rsidRPr="00446873">
              <w:rPr>
                <w:szCs w:val="24"/>
              </w:rPr>
              <w:t>1</w:t>
            </w:r>
            <w:r w:rsidR="00674ABD" w:rsidRPr="00446873">
              <w:rPr>
                <w:szCs w:val="24"/>
              </w:rPr>
              <w:t xml:space="preserve"> </w:t>
            </w:r>
            <w:r w:rsidRPr="00446873">
              <w:rPr>
                <w:szCs w:val="24"/>
              </w:rPr>
              <w:t>660.5 MHz and 1</w:t>
            </w:r>
            <w:r w:rsidR="00674ABD" w:rsidRPr="00446873">
              <w:rPr>
                <w:szCs w:val="24"/>
              </w:rPr>
              <w:t xml:space="preserve"> </w:t>
            </w:r>
            <w:r w:rsidRPr="00446873">
              <w:rPr>
                <w:szCs w:val="24"/>
              </w:rPr>
              <w:t>668</w:t>
            </w:r>
            <w:r w:rsidR="005233BB" w:rsidRPr="00446873">
              <w:rPr>
                <w:szCs w:val="24"/>
              </w:rPr>
              <w:t>-</w:t>
            </w:r>
            <w:r w:rsidRPr="00446873">
              <w:rPr>
                <w:szCs w:val="24"/>
              </w:rPr>
              <w:t>1</w:t>
            </w:r>
            <w:r w:rsidR="00674ABD" w:rsidRPr="00446873">
              <w:rPr>
                <w:szCs w:val="24"/>
              </w:rPr>
              <w:t xml:space="preserve"> </w:t>
            </w:r>
            <w:r w:rsidRPr="00446873">
              <w:rPr>
                <w:szCs w:val="24"/>
              </w:rPr>
              <w:t xml:space="preserve">675 MHz, in accordance with </w:t>
            </w:r>
            <w:r w:rsidR="005233BB" w:rsidRPr="00446873">
              <w:rPr>
                <w:szCs w:val="24"/>
              </w:rPr>
              <w:t>d</w:t>
            </w:r>
            <w:r w:rsidRPr="00446873">
              <w:rPr>
                <w:szCs w:val="24"/>
              </w:rPr>
              <w:t xml:space="preserve">raft </w:t>
            </w:r>
            <w:r w:rsidR="005233BB" w:rsidRPr="00446873">
              <w:rPr>
                <w:szCs w:val="24"/>
              </w:rPr>
              <w:t>n</w:t>
            </w:r>
            <w:r w:rsidRPr="00446873">
              <w:rPr>
                <w:szCs w:val="24"/>
              </w:rPr>
              <w:t xml:space="preserve">ew Resolution </w:t>
            </w:r>
            <w:r w:rsidRPr="00446873">
              <w:rPr>
                <w:b/>
                <w:szCs w:val="24"/>
              </w:rPr>
              <w:t>[</w:t>
            </w:r>
            <w:r w:rsidR="005233BB" w:rsidRPr="00446873">
              <w:rPr>
                <w:b/>
                <w:bCs/>
              </w:rPr>
              <w:t>SNG/A10/</w:t>
            </w:r>
            <w:r w:rsidRPr="00446873">
              <w:rPr>
                <w:b/>
                <w:szCs w:val="24"/>
              </w:rPr>
              <w:t>MSS SPACE-TO-SPACE L-BAND] (WRC-19)</w:t>
            </w:r>
          </w:p>
        </w:tc>
      </w:tr>
      <w:tr w:rsidR="00135BA9" w:rsidRPr="00446873" w14:paraId="05AE5BD4" w14:textId="77777777" w:rsidTr="00E03CD0">
        <w:trPr>
          <w:cantSplit/>
          <w:trHeight w:val="560"/>
        </w:trPr>
        <w:tc>
          <w:tcPr>
            <w:tcW w:w="9728" w:type="dxa"/>
            <w:gridSpan w:val="2"/>
            <w:tcBorders>
              <w:top w:val="single" w:sz="4" w:space="0" w:color="auto"/>
              <w:left w:val="single" w:sz="4" w:space="0" w:color="auto"/>
              <w:bottom w:val="single" w:sz="4" w:space="0" w:color="auto"/>
              <w:right w:val="single" w:sz="4" w:space="0" w:color="auto"/>
            </w:tcBorders>
          </w:tcPr>
          <w:p w14:paraId="67D58724" w14:textId="77777777" w:rsidR="00135BA9" w:rsidRPr="00446873" w:rsidRDefault="00135BA9" w:rsidP="00EA0E72">
            <w:pPr>
              <w:pStyle w:val="Headingb"/>
              <w:rPr>
                <w:lang w:val="en-GB"/>
              </w:rPr>
            </w:pPr>
            <w:r w:rsidRPr="00446873">
              <w:rPr>
                <w:lang w:val="en-GB"/>
              </w:rPr>
              <w:t>Origin: Singapore</w:t>
            </w:r>
          </w:p>
        </w:tc>
      </w:tr>
      <w:tr w:rsidR="00135BA9" w:rsidRPr="00446873" w14:paraId="214425A7" w14:textId="77777777" w:rsidTr="00E03CD0">
        <w:trPr>
          <w:cantSplit/>
          <w:trHeight w:val="1546"/>
        </w:trPr>
        <w:tc>
          <w:tcPr>
            <w:tcW w:w="9728" w:type="dxa"/>
            <w:gridSpan w:val="2"/>
            <w:tcBorders>
              <w:top w:val="single" w:sz="4" w:space="0" w:color="auto"/>
              <w:left w:val="single" w:sz="4" w:space="0" w:color="auto"/>
              <w:bottom w:val="single" w:sz="4" w:space="0" w:color="auto"/>
              <w:right w:val="single" w:sz="4" w:space="0" w:color="auto"/>
            </w:tcBorders>
          </w:tcPr>
          <w:p w14:paraId="0D058F23" w14:textId="77777777" w:rsidR="00135BA9" w:rsidRPr="00446873" w:rsidRDefault="00135BA9" w:rsidP="00EA0E72">
            <w:pPr>
              <w:pStyle w:val="Headingb"/>
              <w:rPr>
                <w:iCs/>
                <w:lang w:val="en-GB"/>
              </w:rPr>
            </w:pPr>
            <w:r w:rsidRPr="00446873">
              <w:rPr>
                <w:i/>
                <w:iCs/>
                <w:lang w:val="en-GB"/>
              </w:rPr>
              <w:t>Proposal</w:t>
            </w:r>
            <w:r w:rsidRPr="00446873">
              <w:rPr>
                <w:iCs/>
                <w:lang w:val="en-GB"/>
              </w:rPr>
              <w:t xml:space="preserve">: </w:t>
            </w:r>
          </w:p>
          <w:p w14:paraId="2950F141" w14:textId="4BB788D3" w:rsidR="00135BA9" w:rsidRPr="00446873" w:rsidRDefault="00135BA9" w:rsidP="00EA0E72">
            <w:pPr>
              <w:keepNext/>
              <w:rPr>
                <w:b/>
                <w:bCs/>
              </w:rPr>
            </w:pPr>
            <w:r w:rsidRPr="00446873">
              <w:rPr>
                <w:iCs/>
                <w:sz w:val="23"/>
                <w:szCs w:val="23"/>
              </w:rPr>
              <w:t>To consider an allocation to the mobile-satellite service (space-to-space) in the frequency bands 1</w:t>
            </w:r>
            <w:r w:rsidR="00EA0E72" w:rsidRPr="00446873">
              <w:rPr>
                <w:iCs/>
                <w:sz w:val="23"/>
                <w:szCs w:val="23"/>
              </w:rPr>
              <w:t> </w:t>
            </w:r>
            <w:r w:rsidRPr="00446873">
              <w:rPr>
                <w:iCs/>
                <w:sz w:val="23"/>
                <w:szCs w:val="23"/>
              </w:rPr>
              <w:t>518</w:t>
            </w:r>
            <w:r w:rsidR="005233BB" w:rsidRPr="00446873">
              <w:rPr>
                <w:iCs/>
                <w:sz w:val="23"/>
                <w:szCs w:val="23"/>
              </w:rPr>
              <w:t>-</w:t>
            </w:r>
            <w:r w:rsidRPr="00446873">
              <w:rPr>
                <w:iCs/>
                <w:sz w:val="23"/>
                <w:szCs w:val="23"/>
              </w:rPr>
              <w:t>1</w:t>
            </w:r>
            <w:r w:rsidR="00EA0E72" w:rsidRPr="00446873">
              <w:rPr>
                <w:iCs/>
                <w:sz w:val="23"/>
                <w:szCs w:val="23"/>
              </w:rPr>
              <w:t> </w:t>
            </w:r>
            <w:r w:rsidRPr="00446873">
              <w:rPr>
                <w:iCs/>
                <w:sz w:val="23"/>
                <w:szCs w:val="23"/>
              </w:rPr>
              <w:t>559 MHz, 1</w:t>
            </w:r>
            <w:r w:rsidR="00674ABD" w:rsidRPr="00446873">
              <w:rPr>
                <w:iCs/>
                <w:sz w:val="23"/>
                <w:szCs w:val="23"/>
              </w:rPr>
              <w:t xml:space="preserve"> </w:t>
            </w:r>
            <w:r w:rsidRPr="00446873">
              <w:rPr>
                <w:iCs/>
                <w:sz w:val="23"/>
                <w:szCs w:val="23"/>
              </w:rPr>
              <w:t>626.5</w:t>
            </w:r>
            <w:r w:rsidR="005233BB" w:rsidRPr="00446873">
              <w:rPr>
                <w:iCs/>
                <w:sz w:val="23"/>
                <w:szCs w:val="23"/>
              </w:rPr>
              <w:t>-</w:t>
            </w:r>
            <w:r w:rsidRPr="00446873">
              <w:rPr>
                <w:iCs/>
                <w:sz w:val="23"/>
                <w:szCs w:val="23"/>
              </w:rPr>
              <w:t>1</w:t>
            </w:r>
            <w:r w:rsidR="00674ABD" w:rsidRPr="00446873">
              <w:rPr>
                <w:iCs/>
                <w:sz w:val="23"/>
                <w:szCs w:val="23"/>
              </w:rPr>
              <w:t xml:space="preserve"> </w:t>
            </w:r>
            <w:r w:rsidRPr="00446873">
              <w:rPr>
                <w:iCs/>
                <w:sz w:val="23"/>
                <w:szCs w:val="23"/>
              </w:rPr>
              <w:t>660.5 MHz and 1</w:t>
            </w:r>
            <w:r w:rsidR="00674ABD" w:rsidRPr="00446873">
              <w:rPr>
                <w:iCs/>
                <w:sz w:val="23"/>
                <w:szCs w:val="23"/>
              </w:rPr>
              <w:t xml:space="preserve"> </w:t>
            </w:r>
            <w:r w:rsidRPr="00446873">
              <w:rPr>
                <w:iCs/>
                <w:sz w:val="23"/>
                <w:szCs w:val="23"/>
              </w:rPr>
              <w:t>668</w:t>
            </w:r>
            <w:r w:rsidR="005233BB" w:rsidRPr="00446873">
              <w:rPr>
                <w:iCs/>
                <w:sz w:val="23"/>
                <w:szCs w:val="23"/>
              </w:rPr>
              <w:t>-</w:t>
            </w:r>
            <w:r w:rsidRPr="00446873">
              <w:rPr>
                <w:iCs/>
                <w:sz w:val="23"/>
                <w:szCs w:val="23"/>
              </w:rPr>
              <w:t>1</w:t>
            </w:r>
            <w:r w:rsidR="00674ABD" w:rsidRPr="00446873">
              <w:rPr>
                <w:iCs/>
                <w:sz w:val="23"/>
                <w:szCs w:val="23"/>
              </w:rPr>
              <w:t xml:space="preserve"> </w:t>
            </w:r>
            <w:r w:rsidRPr="00446873">
              <w:rPr>
                <w:iCs/>
                <w:sz w:val="23"/>
                <w:szCs w:val="23"/>
              </w:rPr>
              <w:t xml:space="preserve">675 MHz, in accordance with </w:t>
            </w:r>
            <w:r w:rsidR="005233BB" w:rsidRPr="00446873">
              <w:rPr>
                <w:iCs/>
                <w:sz w:val="23"/>
                <w:szCs w:val="23"/>
              </w:rPr>
              <w:t>d</w:t>
            </w:r>
            <w:r w:rsidRPr="00446873">
              <w:rPr>
                <w:iCs/>
                <w:sz w:val="23"/>
                <w:szCs w:val="23"/>
              </w:rPr>
              <w:t xml:space="preserve">raft </w:t>
            </w:r>
            <w:r w:rsidR="005233BB" w:rsidRPr="00446873">
              <w:rPr>
                <w:iCs/>
                <w:sz w:val="23"/>
                <w:szCs w:val="23"/>
              </w:rPr>
              <w:t>n</w:t>
            </w:r>
            <w:r w:rsidRPr="00446873">
              <w:rPr>
                <w:iCs/>
                <w:sz w:val="23"/>
                <w:szCs w:val="23"/>
              </w:rPr>
              <w:t xml:space="preserve">ew </w:t>
            </w:r>
            <w:r w:rsidR="00EA0E72" w:rsidRPr="00446873">
              <w:rPr>
                <w:iCs/>
                <w:sz w:val="23"/>
                <w:szCs w:val="23"/>
              </w:rPr>
              <w:t xml:space="preserve">Resolution </w:t>
            </w:r>
            <w:r w:rsidRPr="00446873">
              <w:rPr>
                <w:b/>
                <w:iCs/>
                <w:sz w:val="23"/>
                <w:szCs w:val="23"/>
              </w:rPr>
              <w:t>[</w:t>
            </w:r>
            <w:r w:rsidR="005233BB" w:rsidRPr="00446873">
              <w:rPr>
                <w:b/>
                <w:iCs/>
                <w:sz w:val="23"/>
                <w:szCs w:val="23"/>
              </w:rPr>
              <w:t>SNG/A10/</w:t>
            </w:r>
            <w:r w:rsidRPr="00446873">
              <w:rPr>
                <w:b/>
                <w:iCs/>
                <w:sz w:val="23"/>
                <w:szCs w:val="23"/>
              </w:rPr>
              <w:t>MSS SPACE-TO-SPACE L-BAND] (WRC-19)</w:t>
            </w:r>
          </w:p>
        </w:tc>
      </w:tr>
      <w:tr w:rsidR="00135BA9" w:rsidRPr="00446873" w14:paraId="695D951C" w14:textId="77777777" w:rsidTr="00E03CD0">
        <w:trPr>
          <w:cantSplit/>
          <w:trHeight w:val="1836"/>
        </w:trPr>
        <w:tc>
          <w:tcPr>
            <w:tcW w:w="9728" w:type="dxa"/>
            <w:gridSpan w:val="2"/>
            <w:tcBorders>
              <w:top w:val="single" w:sz="4" w:space="0" w:color="auto"/>
              <w:left w:val="single" w:sz="4" w:space="0" w:color="auto"/>
              <w:bottom w:val="single" w:sz="4" w:space="0" w:color="auto"/>
              <w:right w:val="single" w:sz="4" w:space="0" w:color="auto"/>
            </w:tcBorders>
          </w:tcPr>
          <w:p w14:paraId="4E6545BE" w14:textId="77777777" w:rsidR="00135BA9" w:rsidRPr="00446873" w:rsidRDefault="00135BA9" w:rsidP="00EA0E72">
            <w:pPr>
              <w:pStyle w:val="Headingb"/>
              <w:rPr>
                <w:i/>
                <w:iCs/>
                <w:lang w:val="en-GB"/>
              </w:rPr>
            </w:pPr>
            <w:r w:rsidRPr="00446873">
              <w:rPr>
                <w:i/>
                <w:iCs/>
                <w:lang w:val="en-GB"/>
              </w:rPr>
              <w:t xml:space="preserve">Background/reason: </w:t>
            </w:r>
          </w:p>
          <w:p w14:paraId="1E316E34" w14:textId="7C6D96B2" w:rsidR="00135BA9" w:rsidRPr="00446873" w:rsidRDefault="00FD7054" w:rsidP="00EA0E72">
            <w:pPr>
              <w:pStyle w:val="Default"/>
              <w:keepNext/>
              <w:overflowPunct w:val="0"/>
              <w:spacing w:before="120"/>
              <w:textAlignment w:val="baseline"/>
              <w:rPr>
                <w:lang w:val="en-GB"/>
              </w:rPr>
            </w:pPr>
            <w:r w:rsidRPr="00446873">
              <w:rPr>
                <w:iCs/>
                <w:lang w:val="en-GB"/>
              </w:rPr>
              <w:t xml:space="preserve">Many LEO satellites operate with limited </w:t>
            </w:r>
            <w:r w:rsidRPr="00446873">
              <w:rPr>
                <w:rStyle w:val="BRNormal"/>
                <w:lang w:val="en-GB"/>
              </w:rPr>
              <w:t>non-real-time support through a network of earth stations. The addition of space-to-space communications within the MSS would provide an effective means for continuous monitoring and control of such LEO satellites, which would enhance security and efficiency of operations.</w:t>
            </w:r>
            <w:r w:rsidR="00F42FC3" w:rsidRPr="00446873">
              <w:rPr>
                <w:rStyle w:val="BRNormal"/>
                <w:lang w:val="en-GB"/>
              </w:rPr>
              <w:t xml:space="preserve"> </w:t>
            </w:r>
            <w:r w:rsidRPr="00446873">
              <w:rPr>
                <w:rStyle w:val="BRNormal"/>
                <w:lang w:val="en-GB"/>
              </w:rPr>
              <w:t>The links could also be used to provide real-time download of data from the LEO satellite.</w:t>
            </w:r>
          </w:p>
        </w:tc>
      </w:tr>
      <w:tr w:rsidR="00135BA9" w:rsidRPr="00446873" w14:paraId="5AA8DA0B" w14:textId="77777777" w:rsidTr="00E03CD0">
        <w:trPr>
          <w:cantSplit/>
          <w:trHeight w:val="984"/>
        </w:trPr>
        <w:tc>
          <w:tcPr>
            <w:tcW w:w="9728" w:type="dxa"/>
            <w:gridSpan w:val="2"/>
            <w:tcBorders>
              <w:top w:val="single" w:sz="4" w:space="0" w:color="auto"/>
              <w:left w:val="single" w:sz="4" w:space="0" w:color="auto"/>
              <w:bottom w:val="single" w:sz="4" w:space="0" w:color="auto"/>
              <w:right w:val="single" w:sz="4" w:space="0" w:color="auto"/>
            </w:tcBorders>
          </w:tcPr>
          <w:p w14:paraId="462E334E" w14:textId="77777777" w:rsidR="00135BA9" w:rsidRPr="00446873" w:rsidRDefault="00135BA9" w:rsidP="00EA0E72">
            <w:pPr>
              <w:keepNext/>
              <w:rPr>
                <w:b/>
                <w:iCs/>
              </w:rPr>
            </w:pPr>
            <w:r w:rsidRPr="00446873">
              <w:rPr>
                <w:b/>
                <w:i/>
              </w:rPr>
              <w:t>Radiocommunication services concerned</w:t>
            </w:r>
            <w:r w:rsidRPr="00446873">
              <w:rPr>
                <w:b/>
                <w:iCs/>
              </w:rPr>
              <w:t>:</w:t>
            </w:r>
          </w:p>
          <w:p w14:paraId="757312E5" w14:textId="77777777" w:rsidR="00135BA9" w:rsidRPr="00446873" w:rsidRDefault="00135BA9" w:rsidP="00EA0E72">
            <w:pPr>
              <w:keepNext/>
            </w:pPr>
            <w:r w:rsidRPr="00446873">
              <w:t>MSS, SOS, FS, MS, RAS, SRS (passive), MetAids, MetSat (space-to-Earth)</w:t>
            </w:r>
          </w:p>
        </w:tc>
      </w:tr>
      <w:tr w:rsidR="00135BA9" w:rsidRPr="00446873" w14:paraId="37923AB7" w14:textId="77777777" w:rsidTr="00E03CD0">
        <w:trPr>
          <w:cantSplit/>
          <w:trHeight w:val="984"/>
        </w:trPr>
        <w:tc>
          <w:tcPr>
            <w:tcW w:w="9728" w:type="dxa"/>
            <w:gridSpan w:val="2"/>
            <w:tcBorders>
              <w:top w:val="single" w:sz="4" w:space="0" w:color="auto"/>
              <w:left w:val="single" w:sz="4" w:space="0" w:color="auto"/>
              <w:bottom w:val="single" w:sz="4" w:space="0" w:color="auto"/>
              <w:right w:val="single" w:sz="4" w:space="0" w:color="auto"/>
            </w:tcBorders>
          </w:tcPr>
          <w:p w14:paraId="1AC1C5C5" w14:textId="77777777" w:rsidR="00135BA9" w:rsidRPr="00446873" w:rsidRDefault="00135BA9" w:rsidP="00EA0E72">
            <w:pPr>
              <w:keepNext/>
              <w:rPr>
                <w:b/>
                <w:iCs/>
              </w:rPr>
            </w:pPr>
            <w:r w:rsidRPr="00446873">
              <w:rPr>
                <w:b/>
                <w:i/>
              </w:rPr>
              <w:t>Indication of possible difficulties</w:t>
            </w:r>
            <w:r w:rsidRPr="00446873">
              <w:rPr>
                <w:b/>
                <w:iCs/>
              </w:rPr>
              <w:t xml:space="preserve">: </w:t>
            </w:r>
          </w:p>
          <w:p w14:paraId="16CCCE04" w14:textId="60BFEEC5" w:rsidR="00135BA9" w:rsidRPr="00446873" w:rsidRDefault="00135BA9" w:rsidP="00EA0E72">
            <w:pPr>
              <w:keepNext/>
            </w:pPr>
            <w:r w:rsidRPr="00446873">
              <w:t>There is use of some parts of the bands by terrestrial services and radio astronomy services.</w:t>
            </w:r>
            <w:r w:rsidR="00F42FC3" w:rsidRPr="00446873">
              <w:t xml:space="preserve"> </w:t>
            </w:r>
            <w:r w:rsidRPr="00446873">
              <w:t>Sharing between these services with LEO spacecrafts is generally more favourable than sharing with mobile earth stations (land, maritime or aeronautical) and so is not expected to be a significant issue.</w:t>
            </w:r>
          </w:p>
          <w:p w14:paraId="4A0832D0" w14:textId="77777777" w:rsidR="00135BA9" w:rsidRPr="00446873" w:rsidRDefault="00135BA9" w:rsidP="00EA0E72">
            <w:pPr>
              <w:keepNext/>
            </w:pPr>
            <w:r w:rsidRPr="00446873">
              <w:t>Sharing with existing services, including MSS applications (space-to-Earth and Earth-to-space) needs to be studied.</w:t>
            </w:r>
          </w:p>
        </w:tc>
      </w:tr>
      <w:tr w:rsidR="00135BA9" w:rsidRPr="00446873" w14:paraId="78F8EF3A" w14:textId="77777777" w:rsidTr="00E03CD0">
        <w:trPr>
          <w:cantSplit/>
          <w:trHeight w:val="1088"/>
        </w:trPr>
        <w:tc>
          <w:tcPr>
            <w:tcW w:w="9728" w:type="dxa"/>
            <w:gridSpan w:val="2"/>
            <w:tcBorders>
              <w:top w:val="single" w:sz="4" w:space="0" w:color="auto"/>
              <w:left w:val="single" w:sz="4" w:space="0" w:color="auto"/>
              <w:bottom w:val="single" w:sz="4" w:space="0" w:color="auto"/>
              <w:right w:val="single" w:sz="4" w:space="0" w:color="auto"/>
            </w:tcBorders>
          </w:tcPr>
          <w:p w14:paraId="7FE3608F" w14:textId="77777777" w:rsidR="00135BA9" w:rsidRPr="00446873" w:rsidRDefault="00135BA9" w:rsidP="00EA0E72">
            <w:pPr>
              <w:keepNext/>
              <w:rPr>
                <w:b/>
                <w:iCs/>
              </w:rPr>
            </w:pPr>
            <w:r w:rsidRPr="00446873">
              <w:rPr>
                <w:b/>
                <w:i/>
              </w:rPr>
              <w:t>Previous/ongoing studies on the issue</w:t>
            </w:r>
            <w:r w:rsidRPr="00446873">
              <w:rPr>
                <w:b/>
                <w:iCs/>
              </w:rPr>
              <w:t xml:space="preserve">: </w:t>
            </w:r>
          </w:p>
          <w:p w14:paraId="50FC453C" w14:textId="77777777" w:rsidR="00135BA9" w:rsidRPr="00446873" w:rsidRDefault="00972EF6" w:rsidP="00EA0E72">
            <w:pPr>
              <w:pStyle w:val="Default"/>
              <w:keepNext/>
              <w:overflowPunct w:val="0"/>
              <w:spacing w:before="120"/>
              <w:textAlignment w:val="baseline"/>
              <w:rPr>
                <w:b/>
                <w:iCs/>
                <w:lang w:val="en-GB"/>
              </w:rPr>
            </w:pPr>
            <w:r w:rsidRPr="00446873">
              <w:rPr>
                <w:bCs/>
                <w:iCs/>
                <w:lang w:val="en-GB"/>
              </w:rPr>
              <w:t>WP4C has developed a preliminary draft new ITU-R Report to describe this application.</w:t>
            </w:r>
          </w:p>
        </w:tc>
      </w:tr>
      <w:tr w:rsidR="00135BA9" w:rsidRPr="00446873" w14:paraId="13E4744C" w14:textId="77777777" w:rsidTr="00E03CD0">
        <w:trPr>
          <w:cantSplit/>
          <w:trHeight w:val="1140"/>
        </w:trPr>
        <w:tc>
          <w:tcPr>
            <w:tcW w:w="5098" w:type="dxa"/>
            <w:tcBorders>
              <w:top w:val="single" w:sz="4" w:space="0" w:color="auto"/>
              <w:left w:val="single" w:sz="4" w:space="0" w:color="auto"/>
              <w:bottom w:val="single" w:sz="4" w:space="0" w:color="auto"/>
              <w:right w:val="single" w:sz="4" w:space="0" w:color="auto"/>
            </w:tcBorders>
          </w:tcPr>
          <w:p w14:paraId="00FE7B83" w14:textId="77777777" w:rsidR="00135BA9" w:rsidRPr="00446873" w:rsidRDefault="00135BA9" w:rsidP="00EA0E72">
            <w:pPr>
              <w:keepNext/>
              <w:rPr>
                <w:b/>
                <w:iCs/>
                <w:color w:val="000000"/>
              </w:rPr>
            </w:pPr>
            <w:r w:rsidRPr="00446873">
              <w:rPr>
                <w:b/>
                <w:i/>
                <w:color w:val="000000"/>
              </w:rPr>
              <w:t>Studies to be carried out by</w:t>
            </w:r>
            <w:r w:rsidRPr="00446873">
              <w:rPr>
                <w:b/>
                <w:iCs/>
                <w:color w:val="000000"/>
              </w:rPr>
              <w:t xml:space="preserve">: </w:t>
            </w:r>
          </w:p>
          <w:p w14:paraId="3DD4F262" w14:textId="77777777" w:rsidR="00135BA9" w:rsidRPr="00446873" w:rsidRDefault="00135BA9" w:rsidP="00EA0E72">
            <w:pPr>
              <w:keepNext/>
            </w:pPr>
            <w:r w:rsidRPr="00446873">
              <w:t>Administrations and Sector members of the ITU-R</w:t>
            </w:r>
          </w:p>
        </w:tc>
        <w:tc>
          <w:tcPr>
            <w:tcW w:w="4630" w:type="dxa"/>
            <w:tcBorders>
              <w:top w:val="single" w:sz="4" w:space="0" w:color="auto"/>
              <w:left w:val="single" w:sz="4" w:space="0" w:color="auto"/>
              <w:bottom w:val="single" w:sz="4" w:space="0" w:color="auto"/>
              <w:right w:val="single" w:sz="4" w:space="0" w:color="auto"/>
            </w:tcBorders>
          </w:tcPr>
          <w:p w14:paraId="2D63705F" w14:textId="77777777" w:rsidR="00135BA9" w:rsidRPr="00446873" w:rsidRDefault="00135BA9" w:rsidP="00EA0E72">
            <w:pPr>
              <w:keepNext/>
              <w:rPr>
                <w:b/>
                <w:iCs/>
                <w:color w:val="000000"/>
              </w:rPr>
            </w:pPr>
            <w:r w:rsidRPr="00446873">
              <w:rPr>
                <w:b/>
                <w:i/>
                <w:color w:val="000000"/>
              </w:rPr>
              <w:t>with the participation of</w:t>
            </w:r>
            <w:r w:rsidRPr="00446873">
              <w:rPr>
                <w:b/>
                <w:iCs/>
                <w:color w:val="000000"/>
              </w:rPr>
              <w:t xml:space="preserve">: </w:t>
            </w:r>
          </w:p>
          <w:p w14:paraId="5ADAB87D" w14:textId="77777777" w:rsidR="00135BA9" w:rsidRPr="00446873" w:rsidRDefault="00135BA9" w:rsidP="00EA0E72">
            <w:pPr>
              <w:keepNext/>
              <w:rPr>
                <w:color w:val="000000"/>
              </w:rPr>
            </w:pPr>
            <w:r w:rsidRPr="00446873">
              <w:rPr>
                <w:color w:val="000000"/>
              </w:rPr>
              <w:t>Satellite operators, ICAO, IMO</w:t>
            </w:r>
          </w:p>
        </w:tc>
      </w:tr>
      <w:tr w:rsidR="00135BA9" w:rsidRPr="00446873" w14:paraId="70C2D0E8" w14:textId="77777777" w:rsidTr="00E03CD0">
        <w:trPr>
          <w:cantSplit/>
          <w:trHeight w:val="824"/>
        </w:trPr>
        <w:tc>
          <w:tcPr>
            <w:tcW w:w="9728" w:type="dxa"/>
            <w:gridSpan w:val="2"/>
            <w:tcBorders>
              <w:top w:val="single" w:sz="4" w:space="0" w:color="auto"/>
              <w:left w:val="single" w:sz="4" w:space="0" w:color="auto"/>
              <w:bottom w:val="single" w:sz="4" w:space="0" w:color="auto"/>
              <w:right w:val="single" w:sz="4" w:space="0" w:color="auto"/>
            </w:tcBorders>
          </w:tcPr>
          <w:p w14:paraId="3E4E35C4" w14:textId="77777777" w:rsidR="00135BA9" w:rsidRPr="00446873" w:rsidRDefault="00135BA9" w:rsidP="00EA0E72">
            <w:pPr>
              <w:keepNext/>
              <w:rPr>
                <w:b/>
                <w:iCs/>
                <w:color w:val="000000"/>
              </w:rPr>
            </w:pPr>
            <w:r w:rsidRPr="00446873">
              <w:rPr>
                <w:b/>
                <w:i/>
                <w:color w:val="000000"/>
              </w:rPr>
              <w:t>ITU</w:t>
            </w:r>
            <w:r w:rsidRPr="00446873">
              <w:rPr>
                <w:b/>
                <w:i/>
                <w:color w:val="000000"/>
              </w:rPr>
              <w:noBreakHyphen/>
              <w:t>R Study Groups concerned</w:t>
            </w:r>
            <w:r w:rsidRPr="00446873">
              <w:rPr>
                <w:b/>
                <w:iCs/>
                <w:color w:val="000000"/>
              </w:rPr>
              <w:t xml:space="preserve">: </w:t>
            </w:r>
          </w:p>
          <w:p w14:paraId="597175D8" w14:textId="77777777" w:rsidR="00135BA9" w:rsidRPr="00446873" w:rsidRDefault="00135BA9" w:rsidP="00EA0E72">
            <w:pPr>
              <w:keepNext/>
            </w:pPr>
            <w:r w:rsidRPr="00446873">
              <w:t>Study Group 4</w:t>
            </w:r>
          </w:p>
        </w:tc>
      </w:tr>
      <w:tr w:rsidR="00135BA9" w:rsidRPr="00446873" w14:paraId="29C721F6" w14:textId="77777777" w:rsidTr="00E03CD0">
        <w:trPr>
          <w:cantSplit/>
          <w:trHeight w:val="1270"/>
        </w:trPr>
        <w:tc>
          <w:tcPr>
            <w:tcW w:w="9728" w:type="dxa"/>
            <w:gridSpan w:val="2"/>
            <w:tcBorders>
              <w:top w:val="single" w:sz="4" w:space="0" w:color="auto"/>
              <w:left w:val="single" w:sz="4" w:space="0" w:color="auto"/>
              <w:bottom w:val="single" w:sz="4" w:space="0" w:color="auto"/>
              <w:right w:val="single" w:sz="4" w:space="0" w:color="auto"/>
            </w:tcBorders>
          </w:tcPr>
          <w:p w14:paraId="7CD554A1" w14:textId="77777777" w:rsidR="00135BA9" w:rsidRPr="00446873" w:rsidRDefault="00135BA9" w:rsidP="00EA0E72">
            <w:pPr>
              <w:keepNext/>
              <w:rPr>
                <w:b/>
                <w:i/>
              </w:rPr>
            </w:pPr>
            <w:r w:rsidRPr="00446873">
              <w:rPr>
                <w:b/>
                <w:i/>
              </w:rPr>
              <w:t>ITU resource implications, including financial implications (refer to CV126)</w:t>
            </w:r>
            <w:r w:rsidRPr="00446873">
              <w:rPr>
                <w:b/>
                <w:iCs/>
              </w:rPr>
              <w:t>:</w:t>
            </w:r>
          </w:p>
          <w:p w14:paraId="1F1CAA8A" w14:textId="77777777" w:rsidR="00135BA9" w:rsidRPr="00446873" w:rsidRDefault="00135BA9" w:rsidP="00EA0E72">
            <w:pPr>
              <w:keepNext/>
            </w:pPr>
            <w:r w:rsidRPr="00446873">
              <w:t>This proposed agenda item will be studied as part of the regular ITU-R procedures and planned budget.</w:t>
            </w:r>
          </w:p>
        </w:tc>
      </w:tr>
      <w:tr w:rsidR="00135BA9" w:rsidRPr="00446873" w14:paraId="2AE9A2F1" w14:textId="77777777" w:rsidTr="00E03CD0">
        <w:trPr>
          <w:cantSplit/>
        </w:trPr>
        <w:tc>
          <w:tcPr>
            <w:tcW w:w="5098" w:type="dxa"/>
            <w:tcBorders>
              <w:top w:val="single" w:sz="4" w:space="0" w:color="auto"/>
              <w:left w:val="single" w:sz="4" w:space="0" w:color="auto"/>
              <w:bottom w:val="single" w:sz="4" w:space="0" w:color="auto"/>
              <w:right w:val="single" w:sz="4" w:space="0" w:color="auto"/>
            </w:tcBorders>
          </w:tcPr>
          <w:p w14:paraId="576EAC30" w14:textId="2C89AC7F" w:rsidR="00135BA9" w:rsidRPr="00446873" w:rsidRDefault="00135BA9" w:rsidP="00EA0E72">
            <w:pPr>
              <w:keepNext/>
              <w:rPr>
                <w:b/>
                <w:iCs/>
              </w:rPr>
            </w:pPr>
            <w:r w:rsidRPr="00446873">
              <w:rPr>
                <w:b/>
                <w:i/>
              </w:rPr>
              <w:lastRenderedPageBreak/>
              <w:t>Common regional proposal</w:t>
            </w:r>
            <w:r w:rsidRPr="00446873">
              <w:rPr>
                <w:b/>
                <w:iCs/>
              </w:rPr>
              <w:t xml:space="preserve">: </w:t>
            </w:r>
            <w:r w:rsidRPr="00446873">
              <w:rPr>
                <w:bCs/>
                <w:iCs/>
              </w:rPr>
              <w:t>No</w:t>
            </w:r>
          </w:p>
        </w:tc>
        <w:tc>
          <w:tcPr>
            <w:tcW w:w="4630" w:type="dxa"/>
            <w:tcBorders>
              <w:top w:val="single" w:sz="4" w:space="0" w:color="auto"/>
              <w:left w:val="single" w:sz="4" w:space="0" w:color="auto"/>
              <w:bottom w:val="single" w:sz="4" w:space="0" w:color="auto"/>
              <w:right w:val="single" w:sz="4" w:space="0" w:color="auto"/>
            </w:tcBorders>
          </w:tcPr>
          <w:p w14:paraId="4BD094C3" w14:textId="1477B021" w:rsidR="00135BA9" w:rsidRPr="00446873" w:rsidRDefault="00135BA9" w:rsidP="00EA0E72">
            <w:pPr>
              <w:keepNext/>
              <w:rPr>
                <w:b/>
                <w:iCs/>
              </w:rPr>
            </w:pPr>
            <w:r w:rsidRPr="00446873">
              <w:rPr>
                <w:b/>
                <w:i/>
              </w:rPr>
              <w:t>Multicountry proposal</w:t>
            </w:r>
            <w:r w:rsidRPr="00446873">
              <w:rPr>
                <w:b/>
                <w:iCs/>
              </w:rPr>
              <w:t xml:space="preserve">: </w:t>
            </w:r>
            <w:r w:rsidRPr="00446873">
              <w:rPr>
                <w:bCs/>
                <w:iCs/>
              </w:rPr>
              <w:t>No</w:t>
            </w:r>
          </w:p>
          <w:p w14:paraId="1BE7E930" w14:textId="4EACA4D3" w:rsidR="00135BA9" w:rsidRPr="00446873" w:rsidRDefault="00135BA9" w:rsidP="00EA0E72">
            <w:pPr>
              <w:keepNext/>
              <w:rPr>
                <w:b/>
                <w:i/>
              </w:rPr>
            </w:pPr>
            <w:r w:rsidRPr="00446873">
              <w:rPr>
                <w:b/>
                <w:i/>
              </w:rPr>
              <w:t>Number of countries</w:t>
            </w:r>
            <w:r w:rsidRPr="00446873">
              <w:rPr>
                <w:b/>
                <w:iCs/>
              </w:rPr>
              <w:t xml:space="preserve">: </w:t>
            </w:r>
          </w:p>
        </w:tc>
      </w:tr>
      <w:tr w:rsidR="00135BA9" w:rsidRPr="00446873" w14:paraId="4977BF15" w14:textId="77777777" w:rsidTr="00E03CD0">
        <w:trPr>
          <w:cantSplit/>
          <w:trHeight w:val="610"/>
        </w:trPr>
        <w:tc>
          <w:tcPr>
            <w:tcW w:w="9728" w:type="dxa"/>
            <w:gridSpan w:val="2"/>
            <w:tcBorders>
              <w:top w:val="single" w:sz="4" w:space="0" w:color="auto"/>
              <w:left w:val="single" w:sz="4" w:space="0" w:color="auto"/>
              <w:bottom w:val="single" w:sz="4" w:space="0" w:color="auto"/>
              <w:right w:val="single" w:sz="4" w:space="0" w:color="auto"/>
            </w:tcBorders>
          </w:tcPr>
          <w:p w14:paraId="601CBC7C" w14:textId="77777777" w:rsidR="00135BA9" w:rsidRPr="00446873" w:rsidRDefault="00135BA9" w:rsidP="00EA0E72">
            <w:pPr>
              <w:rPr>
                <w:b/>
                <w:i/>
              </w:rPr>
            </w:pPr>
            <w:r w:rsidRPr="00446873">
              <w:rPr>
                <w:b/>
                <w:i/>
              </w:rPr>
              <w:t>Remarks</w:t>
            </w:r>
          </w:p>
        </w:tc>
      </w:tr>
    </w:tbl>
    <w:p w14:paraId="11EA60E6" w14:textId="77777777" w:rsidR="00135BA9" w:rsidRPr="00446873" w:rsidRDefault="00135BA9" w:rsidP="00135BA9"/>
    <w:p w14:paraId="679409FB" w14:textId="77777777" w:rsidR="00135BA9" w:rsidRDefault="00135BA9" w:rsidP="00135BA9">
      <w:pPr>
        <w:jc w:val="center"/>
      </w:pPr>
      <w:r w:rsidRPr="00446873">
        <w:t>____________</w:t>
      </w:r>
    </w:p>
    <w:sectPr w:rsidR="00135BA9"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11824" w14:textId="77777777" w:rsidR="00C62E45" w:rsidRDefault="00C62E45">
      <w:r>
        <w:separator/>
      </w:r>
    </w:p>
  </w:endnote>
  <w:endnote w:type="continuationSeparator" w:id="0">
    <w:p w14:paraId="394D08AB" w14:textId="77777777" w:rsidR="00C62E45" w:rsidRDefault="00C6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287"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EB2C5" w14:textId="77777777" w:rsidR="00E45D05" w:rsidRDefault="00E45D05">
    <w:pPr>
      <w:framePr w:wrap="around" w:vAnchor="text" w:hAnchor="margin" w:xAlign="right" w:y="1"/>
    </w:pPr>
    <w:r>
      <w:fldChar w:fldCharType="begin"/>
    </w:r>
    <w:r>
      <w:instrText xml:space="preserve">PAGE  </w:instrText>
    </w:r>
    <w:r>
      <w:fldChar w:fldCharType="end"/>
    </w:r>
  </w:p>
  <w:p w14:paraId="273CF5C7" w14:textId="4F6BED5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252BE">
      <w:rPr>
        <w:noProof/>
        <w:lang w:val="en-US"/>
      </w:rPr>
      <w:t>P:\ENG\ITU-R\CONF-R\CMR19\000\050ADD24E.docx</w:t>
    </w:r>
    <w:r>
      <w:fldChar w:fldCharType="end"/>
    </w:r>
    <w:r w:rsidRPr="0041348E">
      <w:rPr>
        <w:lang w:val="en-US"/>
      </w:rPr>
      <w:tab/>
    </w:r>
    <w:r>
      <w:fldChar w:fldCharType="begin"/>
    </w:r>
    <w:r>
      <w:instrText xml:space="preserve"> SAVEDATE \@ DD.MM.YY </w:instrText>
    </w:r>
    <w:r>
      <w:fldChar w:fldCharType="separate"/>
    </w:r>
    <w:r w:rsidR="005252BE">
      <w:rPr>
        <w:noProof/>
      </w:rPr>
      <w:t>15.10.19</w:t>
    </w:r>
    <w:r>
      <w:fldChar w:fldCharType="end"/>
    </w:r>
    <w:r w:rsidRPr="0041348E">
      <w:rPr>
        <w:lang w:val="en-US"/>
      </w:rPr>
      <w:tab/>
    </w:r>
    <w:r>
      <w:fldChar w:fldCharType="begin"/>
    </w:r>
    <w:r>
      <w:instrText xml:space="preserve"> PRINTDATE \@ DD.MM.YY </w:instrText>
    </w:r>
    <w:r>
      <w:fldChar w:fldCharType="separate"/>
    </w:r>
    <w:r w:rsidR="005252BE">
      <w:rPr>
        <w:noProof/>
      </w:rPr>
      <w:t>15.10.19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A582D" w14:textId="1601C17E" w:rsidR="00E45D05" w:rsidRDefault="00E45D05" w:rsidP="009B1EA1">
    <w:pPr>
      <w:pStyle w:val="Footer"/>
    </w:pPr>
    <w:r>
      <w:fldChar w:fldCharType="begin"/>
    </w:r>
    <w:r w:rsidRPr="0041348E">
      <w:rPr>
        <w:lang w:val="en-US"/>
      </w:rPr>
      <w:instrText xml:space="preserve"> FILENAME \p  \* MERGEFORMAT </w:instrText>
    </w:r>
    <w:r>
      <w:fldChar w:fldCharType="separate"/>
    </w:r>
    <w:r w:rsidR="005252BE">
      <w:rPr>
        <w:lang w:val="en-US"/>
      </w:rPr>
      <w:t>P:\ENG\ITU-R\CONF-R\CMR19\000\050ADD24E.docx</w:t>
    </w:r>
    <w:r>
      <w:fldChar w:fldCharType="end"/>
    </w:r>
    <w:r w:rsidR="0074425B">
      <w:t xml:space="preserve"> (462029)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569EE" w14:textId="3A0EF5F4"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252BE">
      <w:rPr>
        <w:lang w:val="en-US"/>
      </w:rPr>
      <w:t>P:\ENG\ITU-R\CONF-R\CMR19\000\050ADD24E.docx</w:t>
    </w:r>
    <w:r>
      <w:fldChar w:fldCharType="end"/>
    </w:r>
    <w:r w:rsidR="0074425B">
      <w:t xml:space="preserve"> (462029)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B4FEB" w14:textId="77777777" w:rsidR="00C62E45" w:rsidRDefault="00C62E45">
      <w:r>
        <w:rPr>
          <w:b/>
        </w:rPr>
        <w:t>_______________</w:t>
      </w:r>
    </w:p>
  </w:footnote>
  <w:footnote w:type="continuationSeparator" w:id="0">
    <w:p w14:paraId="0B5C62B9" w14:textId="77777777" w:rsidR="00C62E45" w:rsidRDefault="00C62E45">
      <w:r>
        <w:continuationSeparator/>
      </w:r>
    </w:p>
  </w:footnote>
  <w:footnote w:id="1">
    <w:p w14:paraId="71CE1115" w14:textId="59DA6D23" w:rsidR="0012271C" w:rsidRPr="00691125" w:rsidRDefault="0012271C" w:rsidP="00082B6E">
      <w:pPr>
        <w:pStyle w:val="FootnoteText"/>
        <w:rPr>
          <w:lang w:val="en-US"/>
        </w:rPr>
      </w:pPr>
      <w:r w:rsidRPr="00691125">
        <w:rPr>
          <w:rStyle w:val="FootnoteReference"/>
        </w:rPr>
        <w:t>*</w:t>
      </w:r>
      <w:r w:rsidRPr="00691125">
        <w:t xml:space="preserve"> </w:t>
      </w:r>
      <w:r w:rsidR="00674ABD">
        <w:tab/>
      </w:r>
      <w:r w:rsidRPr="00691125">
        <w:rPr>
          <w:lang w:val="en-US"/>
        </w:rPr>
        <w:t xml:space="preserve">Note by the Secretariat: </w:t>
      </w:r>
      <w:r w:rsidR="00082B6E" w:rsidRPr="00691125">
        <w:t xml:space="preserve">same </w:t>
      </w:r>
      <w:r w:rsidRPr="00691125">
        <w:t xml:space="preserve">section 3.1.3.2 </w:t>
      </w:r>
      <w:r w:rsidR="00082B6E" w:rsidRPr="00691125">
        <w:t xml:space="preserve">in </w:t>
      </w:r>
      <w:r w:rsidRPr="00691125">
        <w:t>WRC-19 Document 4(Add.2).</w:t>
      </w:r>
    </w:p>
  </w:footnote>
  <w:footnote w:id="2">
    <w:p w14:paraId="09723FCE" w14:textId="41856E89" w:rsidR="0012271C" w:rsidRPr="00C20D1A" w:rsidRDefault="0012271C" w:rsidP="0012271C">
      <w:pPr>
        <w:pStyle w:val="FootnoteText"/>
        <w:rPr>
          <w:lang w:val="en-US"/>
        </w:rPr>
      </w:pPr>
      <w:r w:rsidRPr="00691125">
        <w:rPr>
          <w:rStyle w:val="FootnoteReference"/>
        </w:rPr>
        <w:t>**</w:t>
      </w:r>
      <w:r w:rsidR="00674ABD">
        <w:tab/>
      </w:r>
      <w:r w:rsidRPr="00691125">
        <w:rPr>
          <w:lang w:val="en-US"/>
        </w:rPr>
        <w:t>Note by the Secretariat: the latest version of this document is available in Annex 6 to Doc.</w:t>
      </w:r>
      <w:r w:rsidR="0074425B">
        <w:rPr>
          <w:lang w:val="en-US"/>
        </w:rPr>
        <w:t> </w:t>
      </w:r>
      <w:r w:rsidRPr="00691125">
        <w:rPr>
          <w:lang w:val="en-US"/>
        </w:rPr>
        <w:t>4C/472.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1F137" w14:textId="77777777" w:rsidR="00E45D05" w:rsidRDefault="00A066F1" w:rsidP="00187BD9">
    <w:pPr>
      <w:pStyle w:val="Header"/>
    </w:pPr>
    <w:r>
      <w:fldChar w:fldCharType="begin"/>
    </w:r>
    <w:r>
      <w:instrText xml:space="preserve"> PAGE  \* MERGEFORMAT </w:instrText>
    </w:r>
    <w:r>
      <w:fldChar w:fldCharType="separate"/>
    </w:r>
    <w:r w:rsidR="00D129AF">
      <w:rPr>
        <w:noProof/>
      </w:rPr>
      <w:t>4</w:t>
    </w:r>
    <w:r>
      <w:fldChar w:fldCharType="end"/>
    </w:r>
  </w:p>
  <w:p w14:paraId="055F8966"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50(Add.24)</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2"/>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2B6E"/>
    <w:rsid w:val="00086491"/>
    <w:rsid w:val="00091346"/>
    <w:rsid w:val="0009706C"/>
    <w:rsid w:val="000D154B"/>
    <w:rsid w:val="000D2DAF"/>
    <w:rsid w:val="000E463E"/>
    <w:rsid w:val="000F73FF"/>
    <w:rsid w:val="00101FEF"/>
    <w:rsid w:val="00114CF7"/>
    <w:rsid w:val="00116C7A"/>
    <w:rsid w:val="0012271C"/>
    <w:rsid w:val="00123B68"/>
    <w:rsid w:val="00126F2E"/>
    <w:rsid w:val="00135BA9"/>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46873"/>
    <w:rsid w:val="00492075"/>
    <w:rsid w:val="004969AD"/>
    <w:rsid w:val="004A26C4"/>
    <w:rsid w:val="004B13CB"/>
    <w:rsid w:val="004D26EA"/>
    <w:rsid w:val="004D2BFB"/>
    <w:rsid w:val="004D5D5C"/>
    <w:rsid w:val="004F3DC0"/>
    <w:rsid w:val="0050139F"/>
    <w:rsid w:val="005233BB"/>
    <w:rsid w:val="005252BE"/>
    <w:rsid w:val="0055140B"/>
    <w:rsid w:val="005964AB"/>
    <w:rsid w:val="005C099A"/>
    <w:rsid w:val="005C31A5"/>
    <w:rsid w:val="005E10C9"/>
    <w:rsid w:val="005E290B"/>
    <w:rsid w:val="005E61DD"/>
    <w:rsid w:val="005F04D8"/>
    <w:rsid w:val="006023DF"/>
    <w:rsid w:val="00615426"/>
    <w:rsid w:val="00616219"/>
    <w:rsid w:val="00645B7D"/>
    <w:rsid w:val="00657DE0"/>
    <w:rsid w:val="00674ABD"/>
    <w:rsid w:val="0068191A"/>
    <w:rsid w:val="00685313"/>
    <w:rsid w:val="00691125"/>
    <w:rsid w:val="00692306"/>
    <w:rsid w:val="00692833"/>
    <w:rsid w:val="006A6E9B"/>
    <w:rsid w:val="006B7C2A"/>
    <w:rsid w:val="006C23DA"/>
    <w:rsid w:val="006E3D45"/>
    <w:rsid w:val="0070607A"/>
    <w:rsid w:val="007149F9"/>
    <w:rsid w:val="00733A30"/>
    <w:rsid w:val="0074425B"/>
    <w:rsid w:val="00745AEE"/>
    <w:rsid w:val="00750F10"/>
    <w:rsid w:val="007742CA"/>
    <w:rsid w:val="00790D70"/>
    <w:rsid w:val="007A6F1F"/>
    <w:rsid w:val="007C46AC"/>
    <w:rsid w:val="007D5320"/>
    <w:rsid w:val="00800972"/>
    <w:rsid w:val="00804475"/>
    <w:rsid w:val="00811633"/>
    <w:rsid w:val="00814037"/>
    <w:rsid w:val="00841216"/>
    <w:rsid w:val="00842AF0"/>
    <w:rsid w:val="0086171E"/>
    <w:rsid w:val="00872FC8"/>
    <w:rsid w:val="008845D0"/>
    <w:rsid w:val="00884D60"/>
    <w:rsid w:val="008B227B"/>
    <w:rsid w:val="008B43F2"/>
    <w:rsid w:val="008B6CFF"/>
    <w:rsid w:val="009274B4"/>
    <w:rsid w:val="00934EA2"/>
    <w:rsid w:val="00944A5C"/>
    <w:rsid w:val="00952A66"/>
    <w:rsid w:val="00972EF6"/>
    <w:rsid w:val="00974B3E"/>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0459A"/>
    <w:rsid w:val="00B40888"/>
    <w:rsid w:val="00B639E9"/>
    <w:rsid w:val="00B817CD"/>
    <w:rsid w:val="00B81A7D"/>
    <w:rsid w:val="00B94AD0"/>
    <w:rsid w:val="00BB3A95"/>
    <w:rsid w:val="00BD6CCE"/>
    <w:rsid w:val="00C0018F"/>
    <w:rsid w:val="00C16A5A"/>
    <w:rsid w:val="00C20466"/>
    <w:rsid w:val="00C20D1A"/>
    <w:rsid w:val="00C214ED"/>
    <w:rsid w:val="00C234E6"/>
    <w:rsid w:val="00C324A8"/>
    <w:rsid w:val="00C54517"/>
    <w:rsid w:val="00C56F70"/>
    <w:rsid w:val="00C57B91"/>
    <w:rsid w:val="00C62E45"/>
    <w:rsid w:val="00C64CD8"/>
    <w:rsid w:val="00C82695"/>
    <w:rsid w:val="00C9552A"/>
    <w:rsid w:val="00C97C68"/>
    <w:rsid w:val="00CA1A47"/>
    <w:rsid w:val="00CA3DFC"/>
    <w:rsid w:val="00CB44E5"/>
    <w:rsid w:val="00CC247A"/>
    <w:rsid w:val="00CE388F"/>
    <w:rsid w:val="00CE5E47"/>
    <w:rsid w:val="00CF020F"/>
    <w:rsid w:val="00CF2B5B"/>
    <w:rsid w:val="00D129AF"/>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0E72"/>
    <w:rsid w:val="00EA12E5"/>
    <w:rsid w:val="00EB55C6"/>
    <w:rsid w:val="00EF1932"/>
    <w:rsid w:val="00EF71B6"/>
    <w:rsid w:val="00F02766"/>
    <w:rsid w:val="00F05BD4"/>
    <w:rsid w:val="00F06473"/>
    <w:rsid w:val="00F42FC3"/>
    <w:rsid w:val="00F6155B"/>
    <w:rsid w:val="00F65C19"/>
    <w:rsid w:val="00FA2A2F"/>
    <w:rsid w:val="00FD08E2"/>
    <w:rsid w:val="00FD18DA"/>
    <w:rsid w:val="00FD2546"/>
    <w:rsid w:val="00FD7054"/>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3D182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styleId="Hyperlink">
    <w:name w:val="Hyperlink"/>
    <w:basedOn w:val="DefaultParagraphFont"/>
    <w:uiPriority w:val="99"/>
    <w:semiHidden/>
    <w:unhideWhenUsed/>
    <w:rPr>
      <w:color w:val="0000FF" w:themeColor="hyperlink"/>
      <w:u w:val="single"/>
    </w:rPr>
  </w:style>
  <w:style w:type="paragraph" w:customStyle="1" w:styleId="Default">
    <w:name w:val="Default"/>
    <w:rsid w:val="00135BA9"/>
    <w:pPr>
      <w:autoSpaceDE w:val="0"/>
      <w:autoSpaceDN w:val="0"/>
      <w:adjustRightInd w:val="0"/>
    </w:pPr>
    <w:rPr>
      <w:rFonts w:ascii="Times New Roman" w:eastAsia="Batang" w:hAnsi="Times New Roman"/>
      <w:color w:val="000000"/>
      <w:sz w:val="24"/>
      <w:szCs w:val="24"/>
      <w:lang w:eastAsia="en-US"/>
    </w:rPr>
  </w:style>
  <w:style w:type="character" w:customStyle="1" w:styleId="BRNormal">
    <w:name w:val="BR_Normal"/>
    <w:basedOn w:val="DefaultParagraphFont"/>
    <w:uiPriority w:val="1"/>
    <w:qFormat/>
    <w:rsid w:val="00135BA9"/>
  </w:style>
  <w:style w:type="character" w:customStyle="1" w:styleId="CallChar">
    <w:name w:val="Call Char"/>
    <w:basedOn w:val="DefaultParagraphFont"/>
    <w:link w:val="Call"/>
    <w:locked/>
    <w:rsid w:val="00135BA9"/>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R16-WRC19-C-0050!A24!MSW-E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29B46FC5-A537-4174-AE45-A996F2CA6A46}">
  <ds:schemaRefs>
    <ds:schemaRef ds:uri="http://schemas.microsoft.com/sharepoint/v3/contenttype/forms"/>
  </ds:schemaRefs>
</ds:datastoreItem>
</file>

<file path=customXml/itemProps4.xml><?xml version="1.0" encoding="utf-8"?>
<ds:datastoreItem xmlns:ds="http://schemas.openxmlformats.org/officeDocument/2006/customXml" ds:itemID="{BCBFA741-8CB5-4D1B-BBE6-F8228A256580}">
  <ds:schemaRefs>
    <ds:schemaRef ds:uri="http://schemas.openxmlformats.org/package/2006/metadata/core-properties"/>
    <ds:schemaRef ds:uri="http://www.w3.org/XML/1998/namespace"/>
    <ds:schemaRef ds:uri="http://purl.org/dc/dcmitype/"/>
    <ds:schemaRef ds:uri="http://purl.org/dc/elements/1.1/"/>
    <ds:schemaRef ds:uri="996b2e75-67fd-4955-a3b0-5ab9934cb50b"/>
    <ds:schemaRef ds:uri="http://schemas.microsoft.com/office/2006/documentManagement/types"/>
    <ds:schemaRef ds:uri="http://purl.org/dc/terms/"/>
    <ds:schemaRef ds:uri="http://schemas.microsoft.com/office/2006/metadata/properties"/>
    <ds:schemaRef ds:uri="http://schemas.microsoft.com/office/infopath/2007/PartnerControls"/>
    <ds:schemaRef ds:uri="32a1a8c5-2265-4ebc-b7a0-2071e2c5c9bb"/>
  </ds:schemaRefs>
</ds:datastoreItem>
</file>

<file path=customXml/itemProps5.xml><?xml version="1.0" encoding="utf-8"?>
<ds:datastoreItem xmlns:ds="http://schemas.openxmlformats.org/officeDocument/2006/customXml" ds:itemID="{A086E9EB-3C40-4F5A-ACA9-4412F3B8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1559</Words>
  <Characters>8674</Characters>
  <Application>Microsoft Office Word</Application>
  <DocSecurity>0</DocSecurity>
  <Lines>165</Lines>
  <Paragraphs>71</Paragraphs>
  <ScaleCrop>false</ScaleCrop>
  <HeadingPairs>
    <vt:vector size="2" baseType="variant">
      <vt:variant>
        <vt:lpstr>Title</vt:lpstr>
      </vt:variant>
      <vt:variant>
        <vt:i4>1</vt:i4>
      </vt:variant>
    </vt:vector>
  </HeadingPairs>
  <TitlesOfParts>
    <vt:vector size="1" baseType="lpstr">
      <vt:lpstr>R16-WRC19-C-0050!A24!MSW-E</vt:lpstr>
    </vt:vector>
  </TitlesOfParts>
  <Manager>General Secretariat - Pool</Manager>
  <Company>International Telecommunication Union (ITU)</Company>
  <LinksUpToDate>false</LinksUpToDate>
  <CharactersWithSpaces>10172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R16-WRC19-C-0050!A24!MSW-E</dc:title>
  <dc:subject>World Radiocommunication Conference - 2019</dc:subject>
  <dc:creator>Documents Proposals Manager (DPM)</dc:creator>
  <cp:keywords>DPM_v2019.8.19.1_test</cp:keywords>
  <dc:description>Uploaded on 2015.07.06</dc:description>
  <cp:lastModifiedBy>English</cp:lastModifiedBy>
  <cp:revision>7</cp:revision>
  <cp:lastPrinted>2019-10-15T06:08:00Z</cp:lastPrinted>
  <dcterms:created xsi:type="dcterms:W3CDTF">2019-10-11T10:26:00Z</dcterms:created>
  <dcterms:modified xsi:type="dcterms:W3CDTF">2019-10-15T06:08:00Z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