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55DA9" w14:paraId="74E0A999" w14:textId="77777777" w:rsidTr="0050008E">
        <w:trPr>
          <w:cantSplit/>
        </w:trPr>
        <w:tc>
          <w:tcPr>
            <w:tcW w:w="6911" w:type="dxa"/>
          </w:tcPr>
          <w:p w14:paraId="53DF74E9" w14:textId="77777777" w:rsidR="00BB1D82" w:rsidRPr="00F55DA9" w:rsidRDefault="00851625" w:rsidP="005B1FFB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55DA9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F55DA9">
              <w:rPr>
                <w:rFonts w:ascii="Verdana" w:hAnsi="Verdana"/>
                <w:b/>
                <w:bCs/>
                <w:sz w:val="20"/>
              </w:rPr>
              <w:t>9</w:t>
            </w:r>
            <w:r w:rsidRPr="00F55DA9">
              <w:rPr>
                <w:rFonts w:ascii="Verdana" w:hAnsi="Verdana"/>
                <w:b/>
                <w:bCs/>
                <w:sz w:val="20"/>
              </w:rPr>
              <w:t>)</w:t>
            </w:r>
            <w:r w:rsidRPr="00F55DA9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F55DA9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F55DA9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F55DA9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F55DA9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F55DA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5D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55DA9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F55DA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F55DA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5D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55D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55DA9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F55DA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3E94FDFD" w14:textId="77777777" w:rsidR="00BB1D82" w:rsidRPr="00F55DA9" w:rsidRDefault="000A55AE" w:rsidP="005B1FFB">
            <w:pPr>
              <w:spacing w:before="0"/>
              <w:jc w:val="right"/>
            </w:pPr>
            <w:r w:rsidRPr="00F55DA9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0AA4479B" wp14:editId="5B5BC4C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55DA9" w14:paraId="7D4172D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D758DA" w14:textId="77777777" w:rsidR="00BB1D82" w:rsidRPr="00F55DA9" w:rsidRDefault="00BB1D82" w:rsidP="005B1FFB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789038" w14:textId="77777777" w:rsidR="00BB1D82" w:rsidRPr="00F55DA9" w:rsidRDefault="00BB1D82" w:rsidP="005B1FF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55DA9" w14:paraId="307B406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DF41F3" w14:textId="77777777" w:rsidR="00BB1D82" w:rsidRPr="00F55DA9" w:rsidRDefault="00BB1D82" w:rsidP="005B1FF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F1E8C2" w14:textId="77777777" w:rsidR="00BB1D82" w:rsidRPr="00F55DA9" w:rsidRDefault="00BB1D82" w:rsidP="005B1FF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55DA9" w14:paraId="0735F9D5" w14:textId="77777777" w:rsidTr="00BB1D82">
        <w:trPr>
          <w:cantSplit/>
        </w:trPr>
        <w:tc>
          <w:tcPr>
            <w:tcW w:w="6911" w:type="dxa"/>
          </w:tcPr>
          <w:p w14:paraId="0361A448" w14:textId="77777777" w:rsidR="00BB1D82" w:rsidRPr="00F55DA9" w:rsidRDefault="006D4724" w:rsidP="005B1FF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DA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53E805DE" w14:textId="77777777" w:rsidR="00BB1D82" w:rsidRPr="00F55DA9" w:rsidRDefault="006D4724" w:rsidP="005B1FFB">
            <w:pPr>
              <w:spacing w:before="0"/>
              <w:rPr>
                <w:rFonts w:ascii="Verdana" w:hAnsi="Verdana"/>
                <w:sz w:val="20"/>
              </w:rPr>
            </w:pPr>
            <w:r w:rsidRPr="00F55DA9">
              <w:rPr>
                <w:rFonts w:ascii="Verdana" w:hAnsi="Verdana"/>
                <w:b/>
                <w:sz w:val="20"/>
              </w:rPr>
              <w:t>Addendum 6 au</w:t>
            </w:r>
            <w:r w:rsidRPr="00F55DA9">
              <w:rPr>
                <w:rFonts w:ascii="Verdana" w:hAnsi="Verdana"/>
                <w:b/>
                <w:sz w:val="20"/>
              </w:rPr>
              <w:br/>
              <w:t>Document 49(Add.19)</w:t>
            </w:r>
            <w:r w:rsidR="00BB1D82" w:rsidRPr="00F55DA9">
              <w:rPr>
                <w:rFonts w:ascii="Verdana" w:hAnsi="Verdana"/>
                <w:b/>
                <w:sz w:val="20"/>
              </w:rPr>
              <w:t>-</w:t>
            </w:r>
            <w:r w:rsidRPr="00F55DA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F55DA9" w14:paraId="247ECD06" w14:textId="77777777" w:rsidTr="00BB1D82">
        <w:trPr>
          <w:cantSplit/>
        </w:trPr>
        <w:tc>
          <w:tcPr>
            <w:tcW w:w="6911" w:type="dxa"/>
          </w:tcPr>
          <w:p w14:paraId="3CBE0E3C" w14:textId="77777777" w:rsidR="00690C7B" w:rsidRPr="00F55DA9" w:rsidRDefault="00690C7B" w:rsidP="005B1FF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234F3EE" w14:textId="77777777" w:rsidR="00690C7B" w:rsidRPr="00F55DA9" w:rsidRDefault="00690C7B" w:rsidP="005B1FF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DA9">
              <w:rPr>
                <w:rFonts w:ascii="Verdana" w:hAnsi="Verdana"/>
                <w:b/>
                <w:sz w:val="20"/>
              </w:rPr>
              <w:t>9 octobre 2019</w:t>
            </w:r>
          </w:p>
        </w:tc>
      </w:tr>
      <w:tr w:rsidR="00690C7B" w:rsidRPr="00F55DA9" w14:paraId="13CD90C5" w14:textId="77777777" w:rsidTr="00BB1D82">
        <w:trPr>
          <w:cantSplit/>
        </w:trPr>
        <w:tc>
          <w:tcPr>
            <w:tcW w:w="6911" w:type="dxa"/>
          </w:tcPr>
          <w:p w14:paraId="2F8C37AC" w14:textId="77777777" w:rsidR="00690C7B" w:rsidRPr="00F55DA9" w:rsidRDefault="00690C7B" w:rsidP="005B1FF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14088D1" w14:textId="77777777" w:rsidR="00690C7B" w:rsidRPr="00F55DA9" w:rsidRDefault="00690C7B" w:rsidP="005B1FF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5DA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55DA9" w14:paraId="0090BA24" w14:textId="77777777" w:rsidTr="00C11970">
        <w:trPr>
          <w:cantSplit/>
        </w:trPr>
        <w:tc>
          <w:tcPr>
            <w:tcW w:w="10031" w:type="dxa"/>
            <w:gridSpan w:val="2"/>
          </w:tcPr>
          <w:p w14:paraId="50379D0C" w14:textId="77777777" w:rsidR="00690C7B" w:rsidRPr="00F55DA9" w:rsidRDefault="00690C7B" w:rsidP="005B1FF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55DA9" w14:paraId="32FC26F5" w14:textId="77777777" w:rsidTr="0050008E">
        <w:trPr>
          <w:cantSplit/>
        </w:trPr>
        <w:tc>
          <w:tcPr>
            <w:tcW w:w="10031" w:type="dxa"/>
            <w:gridSpan w:val="2"/>
          </w:tcPr>
          <w:p w14:paraId="4B41B651" w14:textId="77777777" w:rsidR="00690C7B" w:rsidRPr="00F55DA9" w:rsidRDefault="00690C7B" w:rsidP="005B1FFB">
            <w:pPr>
              <w:pStyle w:val="Source"/>
            </w:pPr>
            <w:bookmarkStart w:id="1" w:name="dsource" w:colFirst="0" w:colLast="0"/>
            <w:r w:rsidRPr="00F55DA9">
              <w:t>Viet Nam (Républiqu</w:t>
            </w:r>
            <w:bookmarkStart w:id="2" w:name="_GoBack"/>
            <w:bookmarkEnd w:id="2"/>
            <w:r w:rsidRPr="00F55DA9">
              <w:t>e socialiste du)</w:t>
            </w:r>
          </w:p>
        </w:tc>
      </w:tr>
      <w:tr w:rsidR="00690C7B" w:rsidRPr="00F55DA9" w14:paraId="5E437C6B" w14:textId="77777777" w:rsidTr="0050008E">
        <w:trPr>
          <w:cantSplit/>
        </w:trPr>
        <w:tc>
          <w:tcPr>
            <w:tcW w:w="10031" w:type="dxa"/>
            <w:gridSpan w:val="2"/>
          </w:tcPr>
          <w:p w14:paraId="0E6F48AB" w14:textId="77777777" w:rsidR="00690C7B" w:rsidRPr="00F55DA9" w:rsidRDefault="00690C7B" w:rsidP="005B1FFB">
            <w:pPr>
              <w:pStyle w:val="Title1"/>
            </w:pPr>
            <w:bookmarkStart w:id="3" w:name="dtitle1" w:colFirst="0" w:colLast="0"/>
            <w:bookmarkEnd w:id="1"/>
            <w:r w:rsidRPr="00F55DA9">
              <w:t>Propositions pour les travaux de la conférence</w:t>
            </w:r>
          </w:p>
        </w:tc>
      </w:tr>
      <w:tr w:rsidR="00690C7B" w:rsidRPr="00F55DA9" w14:paraId="1C3E19CD" w14:textId="77777777" w:rsidTr="0050008E">
        <w:trPr>
          <w:cantSplit/>
        </w:trPr>
        <w:tc>
          <w:tcPr>
            <w:tcW w:w="10031" w:type="dxa"/>
            <w:gridSpan w:val="2"/>
          </w:tcPr>
          <w:p w14:paraId="5E090CD4" w14:textId="77777777" w:rsidR="00690C7B" w:rsidRPr="00F55DA9" w:rsidRDefault="00690C7B" w:rsidP="005B1FF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55DA9" w14:paraId="1CB006AB" w14:textId="77777777" w:rsidTr="0050008E">
        <w:trPr>
          <w:cantSplit/>
        </w:trPr>
        <w:tc>
          <w:tcPr>
            <w:tcW w:w="10031" w:type="dxa"/>
            <w:gridSpan w:val="2"/>
          </w:tcPr>
          <w:p w14:paraId="15709FD2" w14:textId="77777777" w:rsidR="00690C7B" w:rsidRPr="00F55DA9" w:rsidRDefault="00690C7B" w:rsidP="005B1FF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55DA9">
              <w:rPr>
                <w:lang w:val="fr-FR"/>
              </w:rPr>
              <w:t>Point 7(F) de l'ordre du jour</w:t>
            </w:r>
          </w:p>
        </w:tc>
      </w:tr>
    </w:tbl>
    <w:bookmarkEnd w:id="5"/>
    <w:p w14:paraId="27FC9D9F" w14:textId="5A5F7FA1" w:rsidR="001C0E40" w:rsidRPr="00F55DA9" w:rsidRDefault="00D059A7" w:rsidP="005B1FFB">
      <w:r w:rsidRPr="00F55DA9">
        <w:t>7</w:t>
      </w:r>
      <w:r w:rsidRPr="00F55DA9">
        <w:tab/>
        <w:t xml:space="preserve">examiner d'éventuels changements à apporter, et d'autres options à mettre en oeuvre, en application de la Résolution 86 (Rév. Marrakech, 2002) de la Conférence de plénipotentiaires, intitulée </w:t>
      </w:r>
      <w:r w:rsidR="00C1627E" w:rsidRPr="00F55DA9">
        <w:t>«</w:t>
      </w:r>
      <w:r w:rsidRPr="00F55DA9">
        <w:t>Procédures de publication anticipée, de coordination, de notification et d'inscription des assignations de fréquence relatives aux réseaux à satellite</w:t>
      </w:r>
      <w:r w:rsidR="00C1627E" w:rsidRPr="00F55DA9">
        <w:t>»</w:t>
      </w:r>
      <w:r w:rsidRPr="00F55DA9">
        <w:t>, conformément à la Résolution </w:t>
      </w:r>
      <w:r w:rsidRPr="00F55DA9">
        <w:rPr>
          <w:b/>
          <w:bCs/>
        </w:rPr>
        <w:t>86</w:t>
      </w:r>
      <w:r w:rsidR="00F55DA9" w:rsidRPr="00F55DA9">
        <w:rPr>
          <w:b/>
          <w:bCs/>
        </w:rPr>
        <w:t> </w:t>
      </w:r>
      <w:r w:rsidRPr="00F55DA9">
        <w:rPr>
          <w:b/>
          <w:bCs/>
        </w:rPr>
        <w:t>(Rév.CMR-07)</w:t>
      </w:r>
      <w:r w:rsidRPr="00F55DA9">
        <w:t>, afin de faciliter l'utilisation rationnelle, efficace et économique des fréquences radioélectriques et des orbites associées, y compris de l'orbite des satellites géostationnaires;</w:t>
      </w:r>
    </w:p>
    <w:p w14:paraId="2137ABE3" w14:textId="054B318D" w:rsidR="001C0E40" w:rsidRPr="00F55DA9" w:rsidRDefault="00D059A7" w:rsidP="005B1FFB">
      <w:r w:rsidRPr="00F55DA9">
        <w:t>7(F)</w:t>
      </w:r>
      <w:r w:rsidRPr="00F55DA9">
        <w:tab/>
        <w:t xml:space="preserve">Question F – Mesures pour faciliter l'inscription de nouvelles assignations dans la Liste de l'Appendice </w:t>
      </w:r>
      <w:r w:rsidRPr="00F55DA9">
        <w:rPr>
          <w:b/>
          <w:bCs/>
        </w:rPr>
        <w:t>30B</w:t>
      </w:r>
      <w:r w:rsidRPr="00F55DA9">
        <w:t xml:space="preserve"> du RR</w:t>
      </w:r>
      <w:r w:rsidR="00CF5BDB">
        <w:t>.</w:t>
      </w:r>
    </w:p>
    <w:p w14:paraId="4EF42677" w14:textId="3BF3F918" w:rsidR="00D059A7" w:rsidRPr="00F55DA9" w:rsidRDefault="00D059A7" w:rsidP="005B1FFB">
      <w:pPr>
        <w:pStyle w:val="Headingb"/>
      </w:pPr>
      <w:r w:rsidRPr="00F55DA9">
        <w:t>Introduction</w:t>
      </w:r>
    </w:p>
    <w:p w14:paraId="6FC9F61C" w14:textId="654AEBAA" w:rsidR="003A583E" w:rsidRPr="00F55DA9" w:rsidRDefault="00733EC9" w:rsidP="005B1FFB">
      <w:r w:rsidRPr="00F55DA9">
        <w:rPr>
          <w:rFonts w:eastAsia="MS Mincho"/>
          <w:lang w:eastAsia="ja-JP"/>
        </w:rPr>
        <w:t xml:space="preserve">Le </w:t>
      </w:r>
      <w:r w:rsidR="00D059A7" w:rsidRPr="00F55DA9">
        <w:rPr>
          <w:rFonts w:eastAsia="MS Mincho"/>
          <w:lang w:eastAsia="ja-JP"/>
        </w:rPr>
        <w:t xml:space="preserve">Viet Nam </w:t>
      </w:r>
      <w:r w:rsidRPr="00F55DA9">
        <w:rPr>
          <w:rFonts w:eastAsia="MS Mincho"/>
          <w:lang w:eastAsia="ja-JP"/>
        </w:rPr>
        <w:t>estime qu'il n'est pas nécessaire de modifier le Règlement des radiocommunications</w:t>
      </w:r>
      <w:r w:rsidR="00D059A7" w:rsidRPr="00F55DA9">
        <w:rPr>
          <w:rFonts w:eastAsia="MS Mincho"/>
          <w:lang w:eastAsia="ja-JP"/>
        </w:rPr>
        <w:t xml:space="preserve"> (RR), </w:t>
      </w:r>
      <w:r w:rsidRPr="00F55DA9">
        <w:rPr>
          <w:rFonts w:eastAsia="MS Mincho"/>
          <w:lang w:eastAsia="ja-JP"/>
        </w:rPr>
        <w:t>car le principe de l'Appendice</w:t>
      </w:r>
      <w:r w:rsidR="00D059A7" w:rsidRPr="00F55DA9">
        <w:t> </w:t>
      </w:r>
      <w:r w:rsidR="00D059A7" w:rsidRPr="00F55DA9">
        <w:rPr>
          <w:b/>
          <w:bCs/>
        </w:rPr>
        <w:t>30B</w:t>
      </w:r>
      <w:r w:rsidR="00D059A7" w:rsidRPr="00F55DA9">
        <w:t xml:space="preserve"> </w:t>
      </w:r>
      <w:r w:rsidRPr="00F55DA9">
        <w:t>du RR est de fournir un accès équitable aux bandes de fréquences</w:t>
      </w:r>
      <w:r w:rsidR="00D059A7" w:rsidRPr="00F55DA9">
        <w:t>.</w:t>
      </w:r>
    </w:p>
    <w:p w14:paraId="5C0CDA4B" w14:textId="108C9395" w:rsidR="00D059A7" w:rsidRPr="00F55DA9" w:rsidRDefault="00733EC9" w:rsidP="005B1FFB">
      <w:r w:rsidRPr="00F55DA9">
        <w:t xml:space="preserve">Le fait de faciliter l'inscription de nouvelles assignations dans la Liste de l'Appendice </w:t>
      </w:r>
      <w:r w:rsidRPr="00F55DA9">
        <w:rPr>
          <w:b/>
          <w:bCs/>
        </w:rPr>
        <w:t>30B</w:t>
      </w:r>
      <w:r w:rsidRPr="00F55DA9">
        <w:t xml:space="preserve"> du RR moyennant la révision des critères de protection en vigueur pourrait réduire la protection des assignations de la Liste et des allotissements du Plan de l'Appendice </w:t>
      </w:r>
      <w:r w:rsidRPr="00F55DA9">
        <w:rPr>
          <w:b/>
          <w:bCs/>
        </w:rPr>
        <w:t>30B</w:t>
      </w:r>
      <w:r w:rsidRPr="00F55DA9">
        <w:t xml:space="preserve"> du RR</w:t>
      </w:r>
      <w:r w:rsidR="00D059A7" w:rsidRPr="00F55DA9">
        <w:t xml:space="preserve">. </w:t>
      </w:r>
      <w:r w:rsidRPr="00F55DA9">
        <w:t>En conséquence</w:t>
      </w:r>
      <w:r w:rsidR="00D059A7" w:rsidRPr="00F55DA9">
        <w:t xml:space="preserve">, </w:t>
      </w:r>
      <w:r w:rsidR="00620893" w:rsidRPr="00F55DA9">
        <w:t xml:space="preserve">il serait plus difficile pour </w:t>
      </w:r>
      <w:r w:rsidR="00555CE7" w:rsidRPr="00F55DA9">
        <w:t xml:space="preserve">une </w:t>
      </w:r>
      <w:r w:rsidRPr="00F55DA9">
        <w:t xml:space="preserve">administration </w:t>
      </w:r>
      <w:r w:rsidR="00620893" w:rsidRPr="00F55DA9">
        <w:t>de mener</w:t>
      </w:r>
      <w:r w:rsidR="00555CE7" w:rsidRPr="00F55DA9">
        <w:t xml:space="preserve"> à bien la coordination </w:t>
      </w:r>
      <w:r w:rsidR="00620893" w:rsidRPr="00F55DA9">
        <w:t>dans le délai</w:t>
      </w:r>
      <w:r w:rsidR="00BE764E" w:rsidRPr="00F55DA9">
        <w:t xml:space="preserve"> </w:t>
      </w:r>
      <w:r w:rsidR="00555CE7" w:rsidRPr="00F55DA9">
        <w:t xml:space="preserve">réglementaire </w:t>
      </w:r>
      <w:r w:rsidR="00BE764E" w:rsidRPr="00F55DA9">
        <w:t xml:space="preserve">pour la conversion de </w:t>
      </w:r>
      <w:r w:rsidRPr="00F55DA9">
        <w:t xml:space="preserve">son allotissement national figurant dans l'Appendice </w:t>
      </w:r>
      <w:r w:rsidRPr="00F55DA9">
        <w:rPr>
          <w:b/>
          <w:bCs/>
        </w:rPr>
        <w:t>30B</w:t>
      </w:r>
      <w:r w:rsidRPr="00F55DA9">
        <w:t xml:space="preserve"> du RR en assignations présentant des caractéristiques </w:t>
      </w:r>
      <w:r w:rsidR="005B1FFB" w:rsidRPr="00F55DA9">
        <w:t>dépassant</w:t>
      </w:r>
      <w:r w:rsidRPr="00F55DA9">
        <w:t xml:space="preserve"> celles de l'a</w:t>
      </w:r>
      <w:r w:rsidR="005B1FFB" w:rsidRPr="00F55DA9">
        <w:t xml:space="preserve">llotissement </w:t>
      </w:r>
      <w:r w:rsidRPr="00F55DA9">
        <w:t>initial</w:t>
      </w:r>
      <w:r w:rsidR="009E3EA0" w:rsidRPr="00F55DA9">
        <w:t>.</w:t>
      </w:r>
    </w:p>
    <w:p w14:paraId="741F46AF" w14:textId="73598A2F" w:rsidR="00D059A7" w:rsidRPr="00F55DA9" w:rsidRDefault="00733EC9" w:rsidP="005B1FFB">
      <w:r w:rsidRPr="00F55DA9">
        <w:t>Le</w:t>
      </w:r>
      <w:r w:rsidR="00D059A7" w:rsidRPr="00F55DA9">
        <w:t xml:space="preserve"> Viet Nam </w:t>
      </w:r>
      <w:r w:rsidRPr="00F55DA9">
        <w:t>appuie donc la</w:t>
      </w:r>
      <w:r w:rsidR="00D059A7" w:rsidRPr="00F55DA9">
        <w:t xml:space="preserve"> M</w:t>
      </w:r>
      <w:r w:rsidRPr="00F55DA9">
        <w:t>é</w:t>
      </w:r>
      <w:r w:rsidR="00D059A7" w:rsidRPr="00F55DA9">
        <w:t>thod</w:t>
      </w:r>
      <w:r w:rsidRPr="00F55DA9">
        <w:t>e</w:t>
      </w:r>
      <w:r w:rsidR="00D059A7" w:rsidRPr="00F55DA9">
        <w:t xml:space="preserve"> F4 </w:t>
      </w:r>
      <w:r w:rsidRPr="00F55DA9">
        <w:t>présentée dans le Rapport de la RPC</w:t>
      </w:r>
      <w:r w:rsidR="00D059A7" w:rsidRPr="00F55DA9">
        <w:t>.</w:t>
      </w:r>
    </w:p>
    <w:p w14:paraId="4AD11BD4" w14:textId="0E8FB9C9" w:rsidR="00D059A7" w:rsidRPr="00F55DA9" w:rsidRDefault="002F29FA" w:rsidP="005B1FFB">
      <w:pPr>
        <w:pStyle w:val="Headingb"/>
      </w:pPr>
      <w:r w:rsidRPr="00F55DA9">
        <w:t>Proposition</w:t>
      </w:r>
    </w:p>
    <w:p w14:paraId="31F3776D" w14:textId="77777777" w:rsidR="0015203F" w:rsidRPr="00F55DA9" w:rsidRDefault="0015203F" w:rsidP="005B1F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55DA9">
        <w:br w:type="page"/>
      </w:r>
    </w:p>
    <w:p w14:paraId="64394FC3" w14:textId="77777777" w:rsidR="00051BD3" w:rsidRPr="00F55DA9" w:rsidRDefault="00D059A7" w:rsidP="005B1FFB">
      <w:pPr>
        <w:pStyle w:val="Proposal"/>
      </w:pPr>
      <w:r w:rsidRPr="00F55DA9">
        <w:rPr>
          <w:u w:val="single"/>
        </w:rPr>
        <w:lastRenderedPageBreak/>
        <w:t>NOC</w:t>
      </w:r>
      <w:r w:rsidRPr="00F55DA9">
        <w:tab/>
        <w:t>VTN/49A19A6/1</w:t>
      </w:r>
      <w:r w:rsidRPr="00F55DA9">
        <w:rPr>
          <w:vanish/>
          <w:color w:val="7F7F7F" w:themeColor="text1" w:themeTint="80"/>
          <w:vertAlign w:val="superscript"/>
        </w:rPr>
        <w:t>#50098</w:t>
      </w:r>
    </w:p>
    <w:p w14:paraId="05B5CA67" w14:textId="77777777" w:rsidR="007132E2" w:rsidRPr="00F55DA9" w:rsidRDefault="00D059A7" w:rsidP="005B1FFB">
      <w:pPr>
        <w:pStyle w:val="AppendixNo"/>
      </w:pPr>
      <w:r w:rsidRPr="00F55DA9">
        <w:t xml:space="preserve">APPENDICE </w:t>
      </w:r>
      <w:r w:rsidRPr="00F55DA9">
        <w:rPr>
          <w:rStyle w:val="href"/>
        </w:rPr>
        <w:t>30B</w:t>
      </w:r>
      <w:r w:rsidRPr="00F55DA9">
        <w:t xml:space="preserve"> (R</w:t>
      </w:r>
      <w:r w:rsidRPr="00F55DA9">
        <w:rPr>
          <w:caps w:val="0"/>
        </w:rPr>
        <w:t>ÉV</w:t>
      </w:r>
      <w:r w:rsidRPr="00F55DA9">
        <w:t>.CMR-15)</w:t>
      </w:r>
    </w:p>
    <w:p w14:paraId="0A23422D" w14:textId="77777777" w:rsidR="00D059A7" w:rsidRPr="00F55DA9" w:rsidRDefault="00D059A7" w:rsidP="005B1FFB">
      <w:pPr>
        <w:pStyle w:val="Reasons"/>
      </w:pPr>
      <w:r w:rsidRPr="00F55DA9">
        <w:rPr>
          <w:b/>
        </w:rPr>
        <w:t>Motifs:</w:t>
      </w:r>
      <w:r w:rsidRPr="00F55DA9">
        <w:tab/>
        <w:t xml:space="preserve">Le principe de l'Appendice </w:t>
      </w:r>
      <w:r w:rsidRPr="00F55DA9">
        <w:rPr>
          <w:b/>
          <w:bCs/>
        </w:rPr>
        <w:t>30B</w:t>
      </w:r>
      <w:r w:rsidRPr="00F55DA9">
        <w:t xml:space="preserve"> du RR est de fournir un accès équitable aux bandes de fréquences. Il est important d'assurer la protection des assignations de la Liste et des allotissements du Plan de l'Appendice </w:t>
      </w:r>
      <w:r w:rsidRPr="00F55DA9">
        <w:rPr>
          <w:b/>
          <w:bCs/>
        </w:rPr>
        <w:t>30B</w:t>
      </w:r>
      <w:r w:rsidRPr="00F55DA9">
        <w:t xml:space="preserve"> du RR. Toutefois, le fait de faciliter l'inscription de nouvelles assignations dans la Liste de l'Appendice </w:t>
      </w:r>
      <w:r w:rsidRPr="00F55DA9">
        <w:rPr>
          <w:b/>
          <w:bCs/>
        </w:rPr>
        <w:t>30B</w:t>
      </w:r>
      <w:r w:rsidRPr="00F55DA9">
        <w:t xml:space="preserve"> du RR moyennant la révision des critères de protection en vigueur pourrait réduire la protection des assignations de la Liste et des allotissements du Plan de l'Appendice </w:t>
      </w:r>
      <w:r w:rsidRPr="00F55DA9">
        <w:rPr>
          <w:b/>
          <w:bCs/>
        </w:rPr>
        <w:t>30B</w:t>
      </w:r>
      <w:r w:rsidRPr="00F55DA9">
        <w:t xml:space="preserve"> du RR.</w:t>
      </w:r>
    </w:p>
    <w:p w14:paraId="05AE6156" w14:textId="77777777" w:rsidR="00D059A7" w:rsidRPr="00F55DA9" w:rsidRDefault="00D059A7" w:rsidP="005B1FFB">
      <w:pPr>
        <w:jc w:val="center"/>
      </w:pPr>
      <w:r w:rsidRPr="00F55DA9">
        <w:t>______________</w:t>
      </w:r>
    </w:p>
    <w:sectPr w:rsidR="00D059A7" w:rsidRPr="00F55DA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7C97" w14:textId="77777777" w:rsidR="0070076C" w:rsidRDefault="0070076C">
      <w:r>
        <w:separator/>
      </w:r>
    </w:p>
  </w:endnote>
  <w:endnote w:type="continuationSeparator" w:id="0">
    <w:p w14:paraId="1594327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CBF5" w14:textId="148E2EC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160F">
      <w:rPr>
        <w:noProof/>
        <w:lang w:val="en-US"/>
      </w:rPr>
      <w:t>P:\FRA\ITU-R\CONF-R\CMR19\000\049ADD19ADD06F.docx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160F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160F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9340" w14:textId="59E153E7" w:rsidR="00936D25" w:rsidRPr="00D059A7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160F">
      <w:rPr>
        <w:lang w:val="en-US"/>
      </w:rPr>
      <w:t>P:\FRA\ITU-R\CONF-R\CMR19\000\049ADD19ADD06F.docx</w:t>
    </w:r>
    <w:r>
      <w:fldChar w:fldCharType="end"/>
    </w:r>
    <w:r w:rsidR="00D059A7" w:rsidRPr="00D059A7">
      <w:rPr>
        <w:lang w:val="en-GB"/>
      </w:rPr>
      <w:t xml:space="preserve"> </w:t>
    </w:r>
    <w:r w:rsidR="00D059A7">
      <w:rPr>
        <w:lang w:val="en-GB"/>
      </w:rPr>
      <w:t>(462069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FF64" w14:textId="64DAF541" w:rsidR="00936D25" w:rsidRDefault="00D059A7" w:rsidP="00D059A7">
    <w:pPr>
      <w:pStyle w:val="Footer"/>
      <w:rPr>
        <w:lang w:val="en-US"/>
      </w:rPr>
    </w:pPr>
    <w:r>
      <w:fldChar w:fldCharType="begin"/>
    </w:r>
    <w:r w:rsidRPr="00D059A7">
      <w:rPr>
        <w:lang w:val="en-GB"/>
      </w:rPr>
      <w:instrText xml:space="preserve"> FILENAME \p  \* MERGEFORMAT </w:instrText>
    </w:r>
    <w:r>
      <w:fldChar w:fldCharType="separate"/>
    </w:r>
    <w:r w:rsidR="00F3160F">
      <w:rPr>
        <w:lang w:val="en-GB"/>
      </w:rPr>
      <w:t>P:\FRA\ITU-R\CONF-R\CMR19\000\049ADD19ADD06F.docx</w:t>
    </w:r>
    <w:r>
      <w:fldChar w:fldCharType="end"/>
    </w:r>
    <w:r w:rsidRPr="00D059A7">
      <w:rPr>
        <w:lang w:val="en-GB"/>
      </w:rPr>
      <w:t xml:space="preserve"> (</w:t>
    </w:r>
    <w:r>
      <w:rPr>
        <w:lang w:val="en-GB"/>
      </w:rPr>
      <w:t>462069</w:t>
    </w:r>
    <w:r w:rsidRPr="00D059A7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363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7B5A4D6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814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46763">
      <w:rPr>
        <w:noProof/>
      </w:rPr>
      <w:t>3</w:t>
    </w:r>
    <w:r>
      <w:fldChar w:fldCharType="end"/>
    </w:r>
  </w:p>
  <w:p w14:paraId="6323B63D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49(Add.19)(Add.6)-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1BD3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05771"/>
    <w:rsid w:val="00232FD2"/>
    <w:rsid w:val="0026554E"/>
    <w:rsid w:val="002A4622"/>
    <w:rsid w:val="002A6F8F"/>
    <w:rsid w:val="002B17E5"/>
    <w:rsid w:val="002C0EBF"/>
    <w:rsid w:val="002C28A4"/>
    <w:rsid w:val="002D7E0A"/>
    <w:rsid w:val="002F29FA"/>
    <w:rsid w:val="00315AFE"/>
    <w:rsid w:val="003334E4"/>
    <w:rsid w:val="003606A6"/>
    <w:rsid w:val="0036650C"/>
    <w:rsid w:val="00393ACD"/>
    <w:rsid w:val="003A3B98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357D"/>
    <w:rsid w:val="004D01FC"/>
    <w:rsid w:val="004E28C3"/>
    <w:rsid w:val="004F1F8E"/>
    <w:rsid w:val="004F64F9"/>
    <w:rsid w:val="00512A32"/>
    <w:rsid w:val="005343DA"/>
    <w:rsid w:val="00555CE7"/>
    <w:rsid w:val="00560874"/>
    <w:rsid w:val="00586CF2"/>
    <w:rsid w:val="00592800"/>
    <w:rsid w:val="005A7C75"/>
    <w:rsid w:val="005B1FFB"/>
    <w:rsid w:val="005C3768"/>
    <w:rsid w:val="005C6C3F"/>
    <w:rsid w:val="00613635"/>
    <w:rsid w:val="00620893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33EC9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14CB"/>
    <w:rsid w:val="009C7E7C"/>
    <w:rsid w:val="009E3EA0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E764E"/>
    <w:rsid w:val="00BF26E7"/>
    <w:rsid w:val="00C1627E"/>
    <w:rsid w:val="00C53FCA"/>
    <w:rsid w:val="00C76BAF"/>
    <w:rsid w:val="00C814B9"/>
    <w:rsid w:val="00CD516F"/>
    <w:rsid w:val="00CF5BDB"/>
    <w:rsid w:val="00D059A7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6763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160F"/>
    <w:rsid w:val="00F55DA9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C31AB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B63CEE"/>
  </w:style>
  <w:style w:type="paragraph" w:styleId="BalloonText">
    <w:name w:val="Balloon Text"/>
    <w:basedOn w:val="Normal"/>
    <w:link w:val="BalloonTextChar"/>
    <w:semiHidden/>
    <w:unhideWhenUsed/>
    <w:rsid w:val="00E467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76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R16-WRC19-C-0049!A19-A6!MSW-F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7762F8D1-B3C6-4654-A09E-47270989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79B6CA-057C-4E9A-B254-0C71E204B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A2E59-6D8A-44C2-9031-35DCF7E77B7B}">
  <ds:schemaRefs>
    <ds:schemaRef ds:uri="http://schemas.microsoft.com/office/infopath/2007/PartnerControls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2097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R16-WRC19-C-0049!A19-A6!MSW-F</vt:lpstr>
    </vt:vector>
  </TitlesOfParts>
  <Manager>Secrétariat général - Pool</Manager>
  <Company>Union internationale des télécommunications (UIT)</Company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R16-WRC19-C-0049!A19-A6!MSW-F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10</cp:revision>
  <cp:lastPrinted>2019-10-23T15:16:00Z</cp:lastPrinted>
  <dcterms:created xsi:type="dcterms:W3CDTF">2019-10-23T15:08:00Z</dcterms:created>
  <dcterms:modified xsi:type="dcterms:W3CDTF">2019-10-23T15:17:00Z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