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8E30AD" w14:paraId="1F73CA31" w14:textId="77777777" w:rsidTr="0050008E">
        <w:trPr>
          <w:cantSplit/>
        </w:trPr>
        <w:tc>
          <w:tcPr>
            <w:tcW w:w="6911" w:type="dxa"/>
          </w:tcPr>
          <w:p w14:paraId="5A301CF7" w14:textId="77777777" w:rsidR="00BB1D82" w:rsidRPr="008E30AD" w:rsidRDefault="00851625" w:rsidP="00F8400C">
            <w:pPr>
              <w:spacing w:before="400" w:after="48"/>
              <w:rPr>
                <w:rFonts w:ascii="Verdana" w:hAnsi="Verdana"/>
                <w:b/>
                <w:bCs/>
                <w:sz w:val="20"/>
              </w:rPr>
            </w:pPr>
            <w:r w:rsidRPr="008E30AD">
              <w:rPr>
                <w:rFonts w:ascii="Verdana" w:hAnsi="Verdana"/>
                <w:b/>
                <w:bCs/>
                <w:sz w:val="20"/>
              </w:rPr>
              <w:t>Conférence mondiale des radiocommunications (CMR-1</w:t>
            </w:r>
            <w:r w:rsidR="00FD7AA3" w:rsidRPr="008E30AD">
              <w:rPr>
                <w:rFonts w:ascii="Verdana" w:hAnsi="Verdana"/>
                <w:b/>
                <w:bCs/>
                <w:sz w:val="20"/>
              </w:rPr>
              <w:t>9</w:t>
            </w:r>
            <w:r w:rsidRPr="008E30AD">
              <w:rPr>
                <w:rFonts w:ascii="Verdana" w:hAnsi="Verdana"/>
                <w:b/>
                <w:bCs/>
                <w:sz w:val="20"/>
              </w:rPr>
              <w:t>)</w:t>
            </w:r>
            <w:r w:rsidRPr="008E30AD">
              <w:rPr>
                <w:rFonts w:ascii="Verdana" w:hAnsi="Verdana"/>
                <w:b/>
                <w:bCs/>
                <w:sz w:val="20"/>
              </w:rPr>
              <w:br/>
            </w:r>
            <w:r w:rsidR="00063A1F" w:rsidRPr="008E30AD">
              <w:rPr>
                <w:rFonts w:ascii="Verdana" w:hAnsi="Verdana"/>
                <w:b/>
                <w:bCs/>
                <w:sz w:val="18"/>
                <w:szCs w:val="18"/>
              </w:rPr>
              <w:t xml:space="preserve">Charm el-Cheikh, </w:t>
            </w:r>
            <w:r w:rsidR="00081366" w:rsidRPr="008E30AD">
              <w:rPr>
                <w:rFonts w:ascii="Verdana" w:hAnsi="Verdana"/>
                <w:b/>
                <w:bCs/>
                <w:sz w:val="18"/>
                <w:szCs w:val="18"/>
              </w:rPr>
              <w:t>É</w:t>
            </w:r>
            <w:r w:rsidR="00063A1F" w:rsidRPr="008E30AD">
              <w:rPr>
                <w:rFonts w:ascii="Verdana" w:hAnsi="Verdana"/>
                <w:b/>
                <w:bCs/>
                <w:sz w:val="18"/>
                <w:szCs w:val="18"/>
              </w:rPr>
              <w:t>gypte</w:t>
            </w:r>
            <w:r w:rsidRPr="008E30AD">
              <w:rPr>
                <w:rFonts w:ascii="Verdana" w:hAnsi="Verdana"/>
                <w:b/>
                <w:bCs/>
                <w:sz w:val="18"/>
                <w:szCs w:val="18"/>
              </w:rPr>
              <w:t>,</w:t>
            </w:r>
            <w:r w:rsidR="00E537FF" w:rsidRPr="008E30AD">
              <w:rPr>
                <w:rFonts w:ascii="Verdana" w:hAnsi="Verdana"/>
                <w:b/>
                <w:bCs/>
                <w:sz w:val="18"/>
                <w:szCs w:val="18"/>
              </w:rPr>
              <w:t xml:space="preserve"> </w:t>
            </w:r>
            <w:r w:rsidRPr="008E30AD">
              <w:rPr>
                <w:rFonts w:ascii="Verdana" w:hAnsi="Verdana"/>
                <w:b/>
                <w:bCs/>
                <w:sz w:val="18"/>
                <w:szCs w:val="18"/>
              </w:rPr>
              <w:t>2</w:t>
            </w:r>
            <w:r w:rsidR="00FD7AA3" w:rsidRPr="008E30AD">
              <w:rPr>
                <w:rFonts w:ascii="Verdana" w:hAnsi="Verdana"/>
                <w:b/>
                <w:bCs/>
                <w:sz w:val="18"/>
                <w:szCs w:val="18"/>
              </w:rPr>
              <w:t xml:space="preserve">8 octobre </w:t>
            </w:r>
            <w:r w:rsidR="00F10064" w:rsidRPr="008E30AD">
              <w:rPr>
                <w:rFonts w:ascii="Verdana" w:hAnsi="Verdana"/>
                <w:b/>
                <w:bCs/>
                <w:sz w:val="18"/>
                <w:szCs w:val="18"/>
              </w:rPr>
              <w:t>–</w:t>
            </w:r>
            <w:r w:rsidR="00FD7AA3" w:rsidRPr="008E30AD">
              <w:rPr>
                <w:rFonts w:ascii="Verdana" w:hAnsi="Verdana"/>
                <w:b/>
                <w:bCs/>
                <w:sz w:val="18"/>
                <w:szCs w:val="18"/>
              </w:rPr>
              <w:t xml:space="preserve"> </w:t>
            </w:r>
            <w:r w:rsidRPr="008E30AD">
              <w:rPr>
                <w:rFonts w:ascii="Verdana" w:hAnsi="Verdana"/>
                <w:b/>
                <w:bCs/>
                <w:sz w:val="18"/>
                <w:szCs w:val="18"/>
              </w:rPr>
              <w:t>2</w:t>
            </w:r>
            <w:r w:rsidR="00FD7AA3" w:rsidRPr="008E30AD">
              <w:rPr>
                <w:rFonts w:ascii="Verdana" w:hAnsi="Verdana"/>
                <w:b/>
                <w:bCs/>
                <w:sz w:val="18"/>
                <w:szCs w:val="18"/>
              </w:rPr>
              <w:t>2</w:t>
            </w:r>
            <w:r w:rsidRPr="008E30AD">
              <w:rPr>
                <w:rFonts w:ascii="Verdana" w:hAnsi="Verdana"/>
                <w:b/>
                <w:bCs/>
                <w:sz w:val="18"/>
                <w:szCs w:val="18"/>
              </w:rPr>
              <w:t xml:space="preserve"> novembre 201</w:t>
            </w:r>
            <w:r w:rsidR="00FD7AA3" w:rsidRPr="008E30AD">
              <w:rPr>
                <w:rFonts w:ascii="Verdana" w:hAnsi="Verdana"/>
                <w:b/>
                <w:bCs/>
                <w:sz w:val="18"/>
                <w:szCs w:val="18"/>
              </w:rPr>
              <w:t>9</w:t>
            </w:r>
          </w:p>
        </w:tc>
        <w:tc>
          <w:tcPr>
            <w:tcW w:w="3120" w:type="dxa"/>
          </w:tcPr>
          <w:p w14:paraId="02D423F3" w14:textId="77777777" w:rsidR="00BB1D82" w:rsidRPr="008E30AD" w:rsidRDefault="000A55AE" w:rsidP="00F8400C">
            <w:pPr>
              <w:spacing w:before="0"/>
              <w:jc w:val="right"/>
            </w:pPr>
            <w:r w:rsidRPr="008E30AD">
              <w:rPr>
                <w:rFonts w:ascii="Verdana" w:hAnsi="Verdana"/>
                <w:b/>
                <w:bCs/>
                <w:noProof/>
                <w:lang w:eastAsia="fr-CH"/>
              </w:rPr>
              <w:drawing>
                <wp:inline distT="0" distB="0" distL="0" distR="0" wp14:anchorId="799B88FA" wp14:editId="5EE2C85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8E30AD" w14:paraId="0B247715" w14:textId="77777777" w:rsidTr="0050008E">
        <w:trPr>
          <w:cantSplit/>
        </w:trPr>
        <w:tc>
          <w:tcPr>
            <w:tcW w:w="6911" w:type="dxa"/>
            <w:tcBorders>
              <w:bottom w:val="single" w:sz="12" w:space="0" w:color="auto"/>
            </w:tcBorders>
          </w:tcPr>
          <w:p w14:paraId="38207406" w14:textId="77777777" w:rsidR="00BB1D82" w:rsidRPr="008E30AD" w:rsidRDefault="00BB1D82" w:rsidP="00F8400C">
            <w:pPr>
              <w:spacing w:before="0" w:after="48"/>
              <w:rPr>
                <w:b/>
                <w:smallCaps/>
                <w:szCs w:val="24"/>
              </w:rPr>
            </w:pPr>
            <w:bookmarkStart w:id="0" w:name="dhead"/>
          </w:p>
        </w:tc>
        <w:tc>
          <w:tcPr>
            <w:tcW w:w="3120" w:type="dxa"/>
            <w:tcBorders>
              <w:bottom w:val="single" w:sz="12" w:space="0" w:color="auto"/>
            </w:tcBorders>
          </w:tcPr>
          <w:p w14:paraId="500FD9D4" w14:textId="77777777" w:rsidR="00BB1D82" w:rsidRPr="008E30AD" w:rsidRDefault="00BB1D82" w:rsidP="00F8400C">
            <w:pPr>
              <w:spacing w:before="0"/>
              <w:rPr>
                <w:rFonts w:ascii="Verdana" w:hAnsi="Verdana"/>
                <w:szCs w:val="24"/>
              </w:rPr>
            </w:pPr>
          </w:p>
        </w:tc>
      </w:tr>
      <w:tr w:rsidR="00BB1D82" w:rsidRPr="008E30AD" w14:paraId="57B90F98" w14:textId="77777777" w:rsidTr="00BB1D82">
        <w:trPr>
          <w:cantSplit/>
        </w:trPr>
        <w:tc>
          <w:tcPr>
            <w:tcW w:w="6911" w:type="dxa"/>
            <w:tcBorders>
              <w:top w:val="single" w:sz="12" w:space="0" w:color="auto"/>
            </w:tcBorders>
          </w:tcPr>
          <w:p w14:paraId="10F904AC" w14:textId="77777777" w:rsidR="00BB1D82" w:rsidRPr="008E30AD" w:rsidRDefault="00BB1D82" w:rsidP="00F8400C">
            <w:pPr>
              <w:spacing w:before="0" w:after="48"/>
              <w:rPr>
                <w:rFonts w:ascii="Verdana" w:hAnsi="Verdana"/>
                <w:b/>
                <w:smallCaps/>
                <w:sz w:val="20"/>
              </w:rPr>
            </w:pPr>
          </w:p>
        </w:tc>
        <w:tc>
          <w:tcPr>
            <w:tcW w:w="3120" w:type="dxa"/>
            <w:tcBorders>
              <w:top w:val="single" w:sz="12" w:space="0" w:color="auto"/>
            </w:tcBorders>
          </w:tcPr>
          <w:p w14:paraId="3C34FC1F" w14:textId="77777777" w:rsidR="00BB1D82" w:rsidRPr="008E30AD" w:rsidRDefault="00BB1D82" w:rsidP="00F8400C">
            <w:pPr>
              <w:spacing w:before="0"/>
              <w:rPr>
                <w:rFonts w:ascii="Verdana" w:hAnsi="Verdana"/>
                <w:sz w:val="20"/>
              </w:rPr>
            </w:pPr>
          </w:p>
        </w:tc>
      </w:tr>
      <w:tr w:rsidR="00BB1D82" w:rsidRPr="008E30AD" w14:paraId="41C78F59" w14:textId="77777777" w:rsidTr="00BB1D82">
        <w:trPr>
          <w:cantSplit/>
        </w:trPr>
        <w:tc>
          <w:tcPr>
            <w:tcW w:w="6911" w:type="dxa"/>
          </w:tcPr>
          <w:p w14:paraId="71982E5B" w14:textId="77777777" w:rsidR="00BB1D82" w:rsidRPr="008E30AD" w:rsidRDefault="006D4724" w:rsidP="00F8400C">
            <w:pPr>
              <w:spacing w:before="0"/>
              <w:rPr>
                <w:rFonts w:ascii="Verdana" w:hAnsi="Verdana"/>
                <w:b/>
                <w:sz w:val="20"/>
              </w:rPr>
            </w:pPr>
            <w:r w:rsidRPr="008E30AD">
              <w:rPr>
                <w:rFonts w:ascii="Verdana" w:hAnsi="Verdana"/>
                <w:b/>
                <w:sz w:val="20"/>
              </w:rPr>
              <w:t>SÉANCE PLÉNIÈRE</w:t>
            </w:r>
          </w:p>
        </w:tc>
        <w:tc>
          <w:tcPr>
            <w:tcW w:w="3120" w:type="dxa"/>
          </w:tcPr>
          <w:p w14:paraId="763747BA" w14:textId="77777777" w:rsidR="00BB1D82" w:rsidRPr="008E30AD" w:rsidRDefault="006D4724" w:rsidP="00F8400C">
            <w:pPr>
              <w:spacing w:before="0"/>
              <w:rPr>
                <w:rFonts w:ascii="Verdana" w:hAnsi="Verdana"/>
                <w:sz w:val="20"/>
              </w:rPr>
            </w:pPr>
            <w:r w:rsidRPr="008E30AD">
              <w:rPr>
                <w:rFonts w:ascii="Verdana" w:hAnsi="Verdana"/>
                <w:b/>
                <w:sz w:val="20"/>
              </w:rPr>
              <w:t>Addendu</w:t>
            </w:r>
            <w:bookmarkStart w:id="1" w:name="_GoBack"/>
            <w:bookmarkEnd w:id="1"/>
            <w:r w:rsidRPr="008E30AD">
              <w:rPr>
                <w:rFonts w:ascii="Verdana" w:hAnsi="Verdana"/>
                <w:b/>
                <w:sz w:val="20"/>
              </w:rPr>
              <w:t>m 1 au</w:t>
            </w:r>
            <w:r w:rsidRPr="008E30AD">
              <w:rPr>
                <w:rFonts w:ascii="Verdana" w:hAnsi="Verdana"/>
                <w:b/>
                <w:sz w:val="20"/>
              </w:rPr>
              <w:br/>
              <w:t>Document 49(Add.19)</w:t>
            </w:r>
            <w:r w:rsidR="00BB1D82" w:rsidRPr="008E30AD">
              <w:rPr>
                <w:rFonts w:ascii="Verdana" w:hAnsi="Verdana"/>
                <w:b/>
                <w:sz w:val="20"/>
              </w:rPr>
              <w:t>-</w:t>
            </w:r>
            <w:r w:rsidRPr="008E30AD">
              <w:rPr>
                <w:rFonts w:ascii="Verdana" w:hAnsi="Verdana"/>
                <w:b/>
                <w:sz w:val="20"/>
              </w:rPr>
              <w:t>F</w:t>
            </w:r>
          </w:p>
        </w:tc>
      </w:tr>
      <w:bookmarkEnd w:id="0"/>
      <w:tr w:rsidR="00690C7B" w:rsidRPr="008E30AD" w14:paraId="5CDC0125" w14:textId="77777777" w:rsidTr="00BB1D82">
        <w:trPr>
          <w:cantSplit/>
        </w:trPr>
        <w:tc>
          <w:tcPr>
            <w:tcW w:w="6911" w:type="dxa"/>
          </w:tcPr>
          <w:p w14:paraId="1FD32F03" w14:textId="77777777" w:rsidR="00690C7B" w:rsidRPr="008E30AD" w:rsidRDefault="00690C7B" w:rsidP="00F8400C">
            <w:pPr>
              <w:spacing w:before="0"/>
              <w:rPr>
                <w:rFonts w:ascii="Verdana" w:hAnsi="Verdana"/>
                <w:b/>
                <w:sz w:val="20"/>
              </w:rPr>
            </w:pPr>
          </w:p>
        </w:tc>
        <w:tc>
          <w:tcPr>
            <w:tcW w:w="3120" w:type="dxa"/>
          </w:tcPr>
          <w:p w14:paraId="03BF4C3A" w14:textId="77777777" w:rsidR="00690C7B" w:rsidRPr="008E30AD" w:rsidRDefault="00690C7B" w:rsidP="00F8400C">
            <w:pPr>
              <w:spacing w:before="0"/>
              <w:rPr>
                <w:rFonts w:ascii="Verdana" w:hAnsi="Verdana"/>
                <w:b/>
                <w:sz w:val="20"/>
              </w:rPr>
            </w:pPr>
            <w:r w:rsidRPr="008E30AD">
              <w:rPr>
                <w:rFonts w:ascii="Verdana" w:hAnsi="Verdana"/>
                <w:b/>
                <w:sz w:val="20"/>
              </w:rPr>
              <w:t>8 octobre 2019</w:t>
            </w:r>
          </w:p>
        </w:tc>
      </w:tr>
      <w:tr w:rsidR="00690C7B" w:rsidRPr="008E30AD" w14:paraId="24AD2009" w14:textId="77777777" w:rsidTr="00BB1D82">
        <w:trPr>
          <w:cantSplit/>
        </w:trPr>
        <w:tc>
          <w:tcPr>
            <w:tcW w:w="6911" w:type="dxa"/>
          </w:tcPr>
          <w:p w14:paraId="7F24CB7E" w14:textId="77777777" w:rsidR="00690C7B" w:rsidRPr="008E30AD" w:rsidRDefault="00690C7B" w:rsidP="00F8400C">
            <w:pPr>
              <w:spacing w:before="0" w:after="48"/>
              <w:rPr>
                <w:rFonts w:ascii="Verdana" w:hAnsi="Verdana"/>
                <w:b/>
                <w:smallCaps/>
                <w:sz w:val="20"/>
              </w:rPr>
            </w:pPr>
          </w:p>
        </w:tc>
        <w:tc>
          <w:tcPr>
            <w:tcW w:w="3120" w:type="dxa"/>
          </w:tcPr>
          <w:p w14:paraId="419FA5EC" w14:textId="77777777" w:rsidR="00690C7B" w:rsidRPr="008E30AD" w:rsidRDefault="00690C7B" w:rsidP="00F8400C">
            <w:pPr>
              <w:spacing w:before="0"/>
              <w:rPr>
                <w:rFonts w:ascii="Verdana" w:hAnsi="Verdana"/>
                <w:b/>
                <w:sz w:val="20"/>
              </w:rPr>
            </w:pPr>
            <w:r w:rsidRPr="008E30AD">
              <w:rPr>
                <w:rFonts w:ascii="Verdana" w:hAnsi="Verdana"/>
                <w:b/>
                <w:sz w:val="20"/>
              </w:rPr>
              <w:t>Original: anglais</w:t>
            </w:r>
          </w:p>
        </w:tc>
      </w:tr>
      <w:tr w:rsidR="00690C7B" w:rsidRPr="008E30AD" w14:paraId="020FC7C3" w14:textId="77777777" w:rsidTr="00C11970">
        <w:trPr>
          <w:cantSplit/>
        </w:trPr>
        <w:tc>
          <w:tcPr>
            <w:tcW w:w="10031" w:type="dxa"/>
            <w:gridSpan w:val="2"/>
          </w:tcPr>
          <w:p w14:paraId="20B2AFD2" w14:textId="77777777" w:rsidR="00690C7B" w:rsidRPr="008E30AD" w:rsidRDefault="00690C7B" w:rsidP="00F8400C">
            <w:pPr>
              <w:spacing w:before="0"/>
              <w:rPr>
                <w:rFonts w:ascii="Verdana" w:hAnsi="Verdana"/>
                <w:b/>
                <w:sz w:val="20"/>
              </w:rPr>
            </w:pPr>
          </w:p>
        </w:tc>
      </w:tr>
      <w:tr w:rsidR="00690C7B" w:rsidRPr="008E30AD" w14:paraId="6D45ABA5" w14:textId="77777777" w:rsidTr="0050008E">
        <w:trPr>
          <w:cantSplit/>
        </w:trPr>
        <w:tc>
          <w:tcPr>
            <w:tcW w:w="10031" w:type="dxa"/>
            <w:gridSpan w:val="2"/>
          </w:tcPr>
          <w:p w14:paraId="326F275B" w14:textId="77777777" w:rsidR="00690C7B" w:rsidRPr="008E30AD" w:rsidRDefault="00690C7B" w:rsidP="00F8400C">
            <w:pPr>
              <w:pStyle w:val="Source"/>
            </w:pPr>
            <w:bookmarkStart w:id="2" w:name="dsource" w:colFirst="0" w:colLast="0"/>
            <w:r w:rsidRPr="008E30AD">
              <w:t>Viet Nam (République socialiste du)</w:t>
            </w:r>
          </w:p>
        </w:tc>
      </w:tr>
      <w:tr w:rsidR="00690C7B" w:rsidRPr="008E30AD" w14:paraId="5E47555D" w14:textId="77777777" w:rsidTr="0050008E">
        <w:trPr>
          <w:cantSplit/>
        </w:trPr>
        <w:tc>
          <w:tcPr>
            <w:tcW w:w="10031" w:type="dxa"/>
            <w:gridSpan w:val="2"/>
          </w:tcPr>
          <w:p w14:paraId="24D6C4C4" w14:textId="6D85A39A" w:rsidR="00690C7B" w:rsidRPr="008E30AD" w:rsidRDefault="00690C7B" w:rsidP="00F8400C">
            <w:pPr>
              <w:pStyle w:val="Title1"/>
            </w:pPr>
            <w:bookmarkStart w:id="3" w:name="dtitle1" w:colFirst="0" w:colLast="0"/>
            <w:bookmarkEnd w:id="2"/>
            <w:r w:rsidRPr="008E30AD">
              <w:t>Propositions pour les travaux de la conf</w:t>
            </w:r>
            <w:r w:rsidR="008E30AD">
              <w:t>É</w:t>
            </w:r>
            <w:r w:rsidRPr="008E30AD">
              <w:t>rence</w:t>
            </w:r>
          </w:p>
        </w:tc>
      </w:tr>
      <w:tr w:rsidR="00690C7B" w:rsidRPr="008E30AD" w14:paraId="0AB49411" w14:textId="77777777" w:rsidTr="0050008E">
        <w:trPr>
          <w:cantSplit/>
        </w:trPr>
        <w:tc>
          <w:tcPr>
            <w:tcW w:w="10031" w:type="dxa"/>
            <w:gridSpan w:val="2"/>
          </w:tcPr>
          <w:p w14:paraId="71A2B988" w14:textId="77777777" w:rsidR="00690C7B" w:rsidRPr="008E30AD" w:rsidRDefault="00690C7B" w:rsidP="00F8400C">
            <w:pPr>
              <w:pStyle w:val="Title2"/>
            </w:pPr>
            <w:bookmarkStart w:id="4" w:name="dtitle2" w:colFirst="0" w:colLast="0"/>
            <w:bookmarkEnd w:id="3"/>
          </w:p>
        </w:tc>
      </w:tr>
      <w:tr w:rsidR="00690C7B" w:rsidRPr="008E30AD" w14:paraId="55DCC8F2" w14:textId="77777777" w:rsidTr="0050008E">
        <w:trPr>
          <w:cantSplit/>
        </w:trPr>
        <w:tc>
          <w:tcPr>
            <w:tcW w:w="10031" w:type="dxa"/>
            <w:gridSpan w:val="2"/>
          </w:tcPr>
          <w:p w14:paraId="4CA0F4D1" w14:textId="77777777" w:rsidR="00690C7B" w:rsidRPr="008E30AD" w:rsidRDefault="00690C7B" w:rsidP="00F8400C">
            <w:pPr>
              <w:pStyle w:val="Agendaitem"/>
              <w:rPr>
                <w:lang w:val="fr-FR"/>
              </w:rPr>
            </w:pPr>
            <w:bookmarkStart w:id="5" w:name="dtitle3" w:colFirst="0" w:colLast="0"/>
            <w:bookmarkEnd w:id="4"/>
            <w:r w:rsidRPr="008E30AD">
              <w:rPr>
                <w:lang w:val="fr-FR"/>
              </w:rPr>
              <w:t>Point 7(A) de l'ordre du jour</w:t>
            </w:r>
          </w:p>
        </w:tc>
      </w:tr>
    </w:tbl>
    <w:bookmarkEnd w:id="5"/>
    <w:p w14:paraId="1215CFA6" w14:textId="310B4B68" w:rsidR="001C0E40" w:rsidRPr="008E30AD" w:rsidRDefault="00047987" w:rsidP="007F7446">
      <w:pPr>
        <w:spacing w:before="240"/>
      </w:pPr>
      <w:r w:rsidRPr="008E30AD">
        <w:t>7</w:t>
      </w:r>
      <w:r w:rsidRPr="008E30AD">
        <w:tab/>
        <w:t xml:space="preserve">examiner d'éventuels changements à apporter, et d'autres options à mettre en oeuvre, en application de la Résolution 86 (Rév. Marrakech, 2002) de la Conférence de plénipotentiaires, intitulée </w:t>
      </w:r>
      <w:r w:rsidR="00274AEE">
        <w:t>«</w:t>
      </w:r>
      <w:r w:rsidRPr="008E30AD">
        <w:t>Procédures de publication anticipée, de coordination, de notification et d'inscription des assignations de fréquence relatives aux réseaux à satellite</w:t>
      </w:r>
      <w:r w:rsidR="00274AEE">
        <w:t>»</w:t>
      </w:r>
      <w:r w:rsidRPr="008E30AD">
        <w:t>, conformément à la Résolution </w:t>
      </w:r>
      <w:r w:rsidRPr="008E30AD">
        <w:rPr>
          <w:b/>
          <w:bCs/>
        </w:rPr>
        <w:t>86 (Rév.CMR-07)</w:t>
      </w:r>
      <w:r w:rsidRPr="008E30AD">
        <w:t>, afin de faciliter l'utilisation rationnelle, efficace et économique des fréquences radioélectriques et des orbites associées, y compris de l'orbite des satellites géostationnaires;</w:t>
      </w:r>
    </w:p>
    <w:p w14:paraId="69CBBDB6" w14:textId="77777777" w:rsidR="001C0E40" w:rsidRPr="008E30AD" w:rsidRDefault="00047987" w:rsidP="00F8400C">
      <w:r w:rsidRPr="008E30AD">
        <w:t>7(A)</w:t>
      </w:r>
      <w:r w:rsidRPr="008E30AD">
        <w:tab/>
        <w:t>Question A – Mise en service des assignations de fréquence à tous les systèmes non OSG et examen d'une méthode par étape pour le déploiement des systèmes non OSG de certains services dans certaines bandes de fréquences</w:t>
      </w:r>
    </w:p>
    <w:p w14:paraId="7028E596" w14:textId="77777777" w:rsidR="00D06288" w:rsidRPr="008E30AD" w:rsidRDefault="00D06288" w:rsidP="00F8400C">
      <w:pPr>
        <w:pStyle w:val="Headingb"/>
        <w:rPr>
          <w:rFonts w:eastAsiaTheme="minorEastAsia"/>
          <w:lang w:eastAsia="ko-KR"/>
        </w:rPr>
      </w:pPr>
      <w:r w:rsidRPr="008E30AD">
        <w:rPr>
          <w:rFonts w:eastAsiaTheme="minorEastAsia"/>
          <w:lang w:eastAsia="ko-KR"/>
        </w:rPr>
        <w:t>Introduction</w:t>
      </w:r>
    </w:p>
    <w:p w14:paraId="6BFC9331" w14:textId="49C4B956" w:rsidR="00D06288" w:rsidRPr="008E30AD" w:rsidRDefault="000F5F44" w:rsidP="00F8400C">
      <w:pPr>
        <w:rPr>
          <w:rFonts w:eastAsiaTheme="minorEastAsia"/>
        </w:rPr>
      </w:pPr>
      <w:r w:rsidRPr="008E30AD">
        <w:rPr>
          <w:rFonts w:eastAsiaTheme="minorEastAsia"/>
        </w:rPr>
        <w:t xml:space="preserve">Le </w:t>
      </w:r>
      <w:r w:rsidR="00D06288" w:rsidRPr="008E30AD">
        <w:rPr>
          <w:rFonts w:eastAsiaTheme="minorEastAsia"/>
        </w:rPr>
        <w:t xml:space="preserve">Viet Nam </w:t>
      </w:r>
      <w:r w:rsidRPr="008E30AD">
        <w:rPr>
          <w:rFonts w:eastAsiaTheme="minorEastAsia"/>
        </w:rPr>
        <w:t>est de l'avis suivant en ce qui concerne les</w:t>
      </w:r>
      <w:r w:rsidR="00D06288" w:rsidRPr="008E30AD">
        <w:rPr>
          <w:rFonts w:eastAsiaTheme="minorEastAsia"/>
        </w:rPr>
        <w:t xml:space="preserve"> </w:t>
      </w:r>
      <w:r w:rsidRPr="008E30AD">
        <w:rPr>
          <w:rFonts w:eastAsiaTheme="minorEastAsia"/>
        </w:rPr>
        <w:t>principaux problèmes de cette question</w:t>
      </w:r>
      <w:r w:rsidR="00D06288" w:rsidRPr="008E30AD">
        <w:rPr>
          <w:rFonts w:eastAsiaTheme="minorEastAsia"/>
        </w:rPr>
        <w:t>:</w:t>
      </w:r>
    </w:p>
    <w:p w14:paraId="53A7A7A0" w14:textId="71C7241F" w:rsidR="00D06288" w:rsidRPr="008E30AD" w:rsidRDefault="000F5F44" w:rsidP="00F8400C">
      <w:pPr>
        <w:pStyle w:val="Headingb"/>
        <w:rPr>
          <w:rFonts w:eastAsiaTheme="minorEastAsia"/>
        </w:rPr>
      </w:pPr>
      <w:r w:rsidRPr="008E30AD">
        <w:rPr>
          <w:rFonts w:eastAsiaTheme="minorEastAsia"/>
        </w:rPr>
        <w:t>Définition de la mise en service</w:t>
      </w:r>
    </w:p>
    <w:p w14:paraId="61D68375" w14:textId="5A7457F3" w:rsidR="00D06288" w:rsidRPr="008E30AD" w:rsidRDefault="000F5F44" w:rsidP="00F8400C">
      <w:r w:rsidRPr="008E30AD">
        <w:t xml:space="preserve">Le </w:t>
      </w:r>
      <w:r w:rsidR="00D06288" w:rsidRPr="008E30AD">
        <w:t xml:space="preserve">Viet Nam </w:t>
      </w:r>
      <w:r w:rsidRPr="008E30AD">
        <w:t>est d'avis que la</w:t>
      </w:r>
      <w:r w:rsidR="00D06288" w:rsidRPr="008E30AD">
        <w:t xml:space="preserve"> d</w:t>
      </w:r>
      <w:r w:rsidRPr="008E30AD">
        <w:t>é</w:t>
      </w:r>
      <w:r w:rsidR="00D06288" w:rsidRPr="008E30AD">
        <w:t xml:space="preserve">finition </w:t>
      </w:r>
      <w:r w:rsidRPr="008E30AD">
        <w:t>de la mise en service d</w:t>
      </w:r>
      <w:r w:rsidR="00F8400C">
        <w:t xml:space="preserve">es </w:t>
      </w:r>
      <w:r w:rsidRPr="008E30AD">
        <w:t>assignations de fréquence à des systèmes non OSG devrait être conforme</w:t>
      </w:r>
      <w:r w:rsidR="00D06288" w:rsidRPr="008E30AD">
        <w:t xml:space="preserve"> </w:t>
      </w:r>
      <w:r w:rsidRPr="008E30AD">
        <w:t>à la pratique courante</w:t>
      </w:r>
      <w:r w:rsidR="00D06288" w:rsidRPr="008E30AD">
        <w:t xml:space="preserve"> </w:t>
      </w:r>
      <w:r w:rsidRPr="008E30AD">
        <w:t>décrite dans</w:t>
      </w:r>
      <w:r w:rsidR="00C93785" w:rsidRPr="008E30AD">
        <w:t xml:space="preserve"> les Règles de procédure</w:t>
      </w:r>
      <w:r w:rsidR="00D06288" w:rsidRPr="008E30AD">
        <w:t xml:space="preserve">, </w:t>
      </w:r>
      <w:r w:rsidR="00F8400C">
        <w:t xml:space="preserve">à savoir </w:t>
      </w:r>
      <w:r w:rsidR="00C93785" w:rsidRPr="008E30AD">
        <w:t>conserver</w:t>
      </w:r>
      <w:r w:rsidR="00D06288" w:rsidRPr="008E30AD">
        <w:t xml:space="preserve"> </w:t>
      </w:r>
      <w:r w:rsidR="00C93785" w:rsidRPr="008E30AD">
        <w:t>une période</w:t>
      </w:r>
      <w:r w:rsidR="00D06288" w:rsidRPr="008E30AD">
        <w:t xml:space="preserve"> </w:t>
      </w:r>
      <w:r w:rsidR="00095332" w:rsidRPr="008E30AD">
        <w:t>continue de quatre-vingt-dix jours</w:t>
      </w:r>
      <w:r w:rsidR="00D06288" w:rsidRPr="008E30AD">
        <w:t xml:space="preserve"> </w:t>
      </w:r>
      <w:r w:rsidR="00095332" w:rsidRPr="008E30AD">
        <w:t>pour les assignations de fréquence du</w:t>
      </w:r>
      <w:r w:rsidR="00D06288" w:rsidRPr="008E30AD">
        <w:t xml:space="preserve"> </w:t>
      </w:r>
      <w:r w:rsidR="00095332" w:rsidRPr="008E30AD">
        <w:t>S</w:t>
      </w:r>
      <w:r w:rsidR="00D06288" w:rsidRPr="008E30AD">
        <w:t>FS/</w:t>
      </w:r>
      <w:r w:rsidR="00095332" w:rsidRPr="008E30AD">
        <w:t>S</w:t>
      </w:r>
      <w:r w:rsidR="00D06288" w:rsidRPr="008E30AD">
        <w:t>MS/S</w:t>
      </w:r>
      <w:r w:rsidR="00095332" w:rsidRPr="008E30AD">
        <w:t>RS</w:t>
      </w:r>
      <w:r w:rsidR="000720CC">
        <w:t>,</w:t>
      </w:r>
      <w:r w:rsidR="00095332" w:rsidRPr="008E30AD">
        <w:t xml:space="preserve"> </w:t>
      </w:r>
      <w:r w:rsidR="007559D9" w:rsidRPr="008E30AD">
        <w:t>mais pas de</w:t>
      </w:r>
      <w:r w:rsidR="00D06288" w:rsidRPr="008E30AD">
        <w:t xml:space="preserve"> </w:t>
      </w:r>
      <w:r w:rsidR="007559D9" w:rsidRPr="008E30AD">
        <w:t>période fixe</w:t>
      </w:r>
      <w:r w:rsidR="00D06288" w:rsidRPr="008E30AD">
        <w:t xml:space="preserve"> </w:t>
      </w:r>
      <w:r w:rsidR="007559D9" w:rsidRPr="008E30AD">
        <w:t>pour les</w:t>
      </w:r>
      <w:r w:rsidR="00D06288" w:rsidRPr="008E30AD">
        <w:t xml:space="preserve"> </w:t>
      </w:r>
      <w:r w:rsidR="007559D9" w:rsidRPr="008E30AD">
        <w:t>assignations de</w:t>
      </w:r>
      <w:r w:rsidR="00D06288" w:rsidRPr="008E30AD">
        <w:t xml:space="preserve"> </w:t>
      </w:r>
      <w:r w:rsidR="007559D9" w:rsidRPr="008E30AD">
        <w:t>fréquence</w:t>
      </w:r>
      <w:r w:rsidR="000720CC">
        <w:t xml:space="preserve"> des services autres </w:t>
      </w:r>
      <w:r w:rsidR="007559D9" w:rsidRPr="008E30AD">
        <w:t>que le</w:t>
      </w:r>
      <w:r w:rsidR="00D06288" w:rsidRPr="008E30AD">
        <w:t xml:space="preserve"> </w:t>
      </w:r>
      <w:r w:rsidR="007559D9" w:rsidRPr="008E30AD">
        <w:t>SFS/SMS/SRS</w:t>
      </w:r>
      <w:r w:rsidR="00D06288" w:rsidRPr="008E30AD">
        <w:t>.</w:t>
      </w:r>
    </w:p>
    <w:p w14:paraId="3C3062D4" w14:textId="0DC9234F" w:rsidR="00D06288" w:rsidRDefault="00C71B5E" w:rsidP="00F8400C">
      <w:pPr>
        <w:rPr>
          <w:rFonts w:eastAsia="MS Mincho"/>
          <w:lang w:eastAsia="ja-JP"/>
        </w:rPr>
      </w:pPr>
      <w:r>
        <w:rPr>
          <w:rFonts w:eastAsia="MS Mincho"/>
          <w:lang w:eastAsia="ja-JP"/>
        </w:rPr>
        <w:t>S'agissant de</w:t>
      </w:r>
      <w:r w:rsidR="00C226A7" w:rsidRPr="008E30AD">
        <w:rPr>
          <w:rFonts w:eastAsia="MS Mincho"/>
          <w:lang w:eastAsia="ja-JP"/>
        </w:rPr>
        <w:t xml:space="preserve"> la disposition réglementaire</w:t>
      </w:r>
      <w:r w:rsidR="00D06288" w:rsidRPr="008E30AD">
        <w:rPr>
          <w:rFonts w:eastAsia="MS Mincho"/>
          <w:lang w:eastAsia="ja-JP"/>
        </w:rPr>
        <w:t xml:space="preserve"> </w:t>
      </w:r>
      <w:r w:rsidR="00057D13" w:rsidRPr="008E30AD">
        <w:rPr>
          <w:rFonts w:eastAsia="MS Mincho"/>
          <w:lang w:eastAsia="ja-JP"/>
        </w:rPr>
        <w:t>du numéro</w:t>
      </w:r>
      <w:r w:rsidR="00D06288" w:rsidRPr="008E30AD">
        <w:rPr>
          <w:rFonts w:eastAsia="MS Mincho"/>
          <w:lang w:eastAsia="ja-JP"/>
        </w:rPr>
        <w:t xml:space="preserve"> </w:t>
      </w:r>
      <w:r w:rsidR="00D06288" w:rsidRPr="008E30AD">
        <w:rPr>
          <w:rFonts w:eastAsia="MS Mincho"/>
          <w:b/>
          <w:bCs/>
          <w:lang w:eastAsia="ja-JP"/>
        </w:rPr>
        <w:t>11.44C</w:t>
      </w:r>
      <w:r w:rsidR="00D06288" w:rsidRPr="008E30AD">
        <w:rPr>
          <w:rFonts w:eastAsia="MS Mincho"/>
          <w:lang w:eastAsia="ja-JP"/>
        </w:rPr>
        <w:t xml:space="preserve"> </w:t>
      </w:r>
      <w:r w:rsidR="00057D13" w:rsidRPr="008E30AD">
        <w:rPr>
          <w:rFonts w:eastAsia="MS Mincho"/>
          <w:lang w:eastAsia="ja-JP"/>
        </w:rPr>
        <w:t xml:space="preserve">du RR </w:t>
      </w:r>
      <w:r w:rsidR="00F8400C">
        <w:rPr>
          <w:rFonts w:eastAsia="MS Mincho"/>
          <w:lang w:eastAsia="ja-JP"/>
        </w:rPr>
        <w:t>pour</w:t>
      </w:r>
      <w:r w:rsidR="00057D13" w:rsidRPr="008E30AD">
        <w:rPr>
          <w:rFonts w:eastAsia="MS Mincho"/>
          <w:lang w:eastAsia="ja-JP"/>
        </w:rPr>
        <w:t xml:space="preserve"> la mise en service</w:t>
      </w:r>
      <w:r>
        <w:rPr>
          <w:rFonts w:eastAsia="MS Mincho"/>
          <w:lang w:eastAsia="ja-JP"/>
        </w:rPr>
        <w:t xml:space="preserve"> et les </w:t>
      </w:r>
      <w:r w:rsidR="00BD02ED" w:rsidRPr="008E30AD">
        <w:rPr>
          <w:rFonts w:eastAsia="MS Mincho"/>
          <w:lang w:eastAsia="ja-JP"/>
        </w:rPr>
        <w:t>plans orbitaux notifiés</w:t>
      </w:r>
      <w:r w:rsidR="00D06288" w:rsidRPr="008E30AD">
        <w:rPr>
          <w:rFonts w:eastAsia="MS Mincho"/>
          <w:lang w:eastAsia="ja-JP"/>
        </w:rPr>
        <w:t xml:space="preserve">, </w:t>
      </w:r>
      <w:r w:rsidR="00BD02ED" w:rsidRPr="008E30AD">
        <w:rPr>
          <w:rFonts w:eastAsia="MS Mincho"/>
          <w:lang w:eastAsia="ja-JP"/>
        </w:rPr>
        <w:t xml:space="preserve">le </w:t>
      </w:r>
      <w:r w:rsidR="00D06288" w:rsidRPr="008E30AD">
        <w:rPr>
          <w:rFonts w:eastAsia="MS Mincho"/>
          <w:lang w:eastAsia="ja-JP"/>
        </w:rPr>
        <w:t xml:space="preserve">Viet Nam </w:t>
      </w:r>
      <w:r w:rsidR="00BD02ED" w:rsidRPr="008E30AD">
        <w:rPr>
          <w:rFonts w:eastAsia="MS Mincho"/>
          <w:lang w:eastAsia="ja-JP"/>
        </w:rPr>
        <w:t>pourrait être favorable à</w:t>
      </w:r>
      <w:r w:rsidR="00D06288" w:rsidRPr="008E30AD">
        <w:rPr>
          <w:rFonts w:eastAsia="MS Mincho"/>
          <w:lang w:eastAsia="ja-JP"/>
        </w:rPr>
        <w:t xml:space="preserve"> </w:t>
      </w:r>
      <w:r w:rsidR="000720CC">
        <w:rPr>
          <w:rFonts w:eastAsia="MS Mincho"/>
          <w:lang w:eastAsia="ja-JP"/>
        </w:rPr>
        <w:t>l'o</w:t>
      </w:r>
      <w:r w:rsidR="00D06288" w:rsidRPr="008E30AD">
        <w:rPr>
          <w:rFonts w:eastAsia="MS Mincho"/>
          <w:lang w:eastAsia="ja-JP"/>
        </w:rPr>
        <w:t xml:space="preserve">ption 2, </w:t>
      </w:r>
      <w:r w:rsidR="00BD02ED" w:rsidRPr="008E30AD">
        <w:rPr>
          <w:rFonts w:eastAsia="MS Mincho"/>
          <w:lang w:eastAsia="ja-JP"/>
        </w:rPr>
        <w:t>comme indiqué dans le Rapport de la RPC</w:t>
      </w:r>
      <w:r w:rsidR="00D06288" w:rsidRPr="008E30AD">
        <w:rPr>
          <w:rFonts w:eastAsia="MS Mincho"/>
          <w:lang w:eastAsia="ja-JP"/>
        </w:rPr>
        <w:t xml:space="preserve"> </w:t>
      </w:r>
      <w:r w:rsidR="00BD02ED" w:rsidRPr="008E30AD">
        <w:rPr>
          <w:rFonts w:eastAsia="MS Mincho"/>
          <w:lang w:eastAsia="ja-JP"/>
        </w:rPr>
        <w:t>à la CMR</w:t>
      </w:r>
      <w:r w:rsidR="00D06288" w:rsidRPr="008E30AD">
        <w:rPr>
          <w:rFonts w:eastAsia="MS Mincho"/>
          <w:lang w:eastAsia="ja-JP"/>
        </w:rPr>
        <w:t>-19.</w:t>
      </w:r>
    </w:p>
    <w:p w14:paraId="785C570D" w14:textId="09848743" w:rsidR="00E16737" w:rsidRDefault="00E16737">
      <w:pPr>
        <w:tabs>
          <w:tab w:val="clear" w:pos="1134"/>
          <w:tab w:val="clear" w:pos="1871"/>
          <w:tab w:val="clear" w:pos="2268"/>
        </w:tabs>
        <w:overflowPunct/>
        <w:autoSpaceDE/>
        <w:autoSpaceDN/>
        <w:adjustRightInd/>
        <w:spacing w:before="0"/>
        <w:textAlignment w:val="auto"/>
        <w:rPr>
          <w:rFonts w:eastAsia="MS Mincho"/>
          <w:lang w:eastAsia="ja-JP"/>
        </w:rPr>
      </w:pPr>
      <w:r>
        <w:rPr>
          <w:rFonts w:eastAsia="MS Mincho"/>
          <w:lang w:eastAsia="ja-JP"/>
        </w:rPr>
        <w:br w:type="page"/>
      </w:r>
    </w:p>
    <w:p w14:paraId="5F35F42B" w14:textId="62011AF6" w:rsidR="00E16737" w:rsidRDefault="00BD02ED" w:rsidP="007F7446">
      <w:pPr>
        <w:pStyle w:val="Headingb"/>
        <w:spacing w:after="240"/>
        <w:rPr>
          <w:rFonts w:eastAsiaTheme="minorEastAsia"/>
        </w:rPr>
      </w:pPr>
      <w:r w:rsidRPr="00274AEE">
        <w:rPr>
          <w:rFonts w:eastAsiaTheme="minorEastAsia"/>
        </w:rPr>
        <w:lastRenderedPageBreak/>
        <w:t>Méthode</w:t>
      </w:r>
      <w:r w:rsidRPr="008E30AD">
        <w:rPr>
          <w:rFonts w:eastAsiaTheme="minorEastAsia"/>
        </w:rPr>
        <w:t xml:space="preserve"> par étape</w:t>
      </w:r>
    </w:p>
    <w:tbl>
      <w:tblPr>
        <w:tblStyle w:val="ECCTable-redheader2"/>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5670"/>
        <w:gridCol w:w="2552"/>
      </w:tblGrid>
      <w:tr w:rsidR="00D06288" w:rsidRPr="007F7446" w14:paraId="42235F54" w14:textId="77777777" w:rsidTr="007F7446">
        <w:trPr>
          <w:cnfStyle w:val="100000000000" w:firstRow="1" w:lastRow="0" w:firstColumn="0" w:lastColumn="0" w:oddVBand="0" w:evenVBand="0" w:oddHBand="0" w:evenHBand="0" w:firstRowFirstColumn="0" w:firstRowLastColumn="0" w:lastRowFirstColumn="0" w:lastRowLastColumn="0"/>
        </w:trPr>
        <w:tc>
          <w:tcPr>
            <w:tcW w:w="134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54D54AF0" w14:textId="4CACCDBD" w:rsidR="00D06288" w:rsidRPr="007F7446" w:rsidRDefault="00F66305" w:rsidP="00E16737">
            <w:pPr>
              <w:pStyle w:val="Tablehead"/>
              <w:rPr>
                <w:b/>
                <w:bCs/>
                <w:color w:val="auto"/>
                <w:sz w:val="22"/>
                <w:szCs w:val="22"/>
                <w:lang w:eastAsia="de-DE"/>
              </w:rPr>
            </w:pPr>
            <w:r w:rsidRPr="007F7446">
              <w:rPr>
                <w:b/>
                <w:bCs/>
                <w:color w:val="auto"/>
                <w:sz w:val="22"/>
                <w:szCs w:val="22"/>
                <w:lang w:eastAsia="de-DE"/>
              </w:rPr>
              <w:t>Étapes</w:t>
            </w:r>
          </w:p>
        </w:tc>
        <w:tc>
          <w:tcPr>
            <w:tcW w:w="567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057E32FC" w14:textId="3AC55A20" w:rsidR="00D06288" w:rsidRPr="007F7446" w:rsidRDefault="005A22B7" w:rsidP="007F7446">
            <w:pPr>
              <w:pStyle w:val="Tablehead"/>
              <w:rPr>
                <w:b/>
                <w:bCs/>
                <w:color w:val="auto"/>
                <w:sz w:val="22"/>
                <w:szCs w:val="22"/>
                <w:lang w:eastAsia="de-DE"/>
              </w:rPr>
            </w:pPr>
            <w:r w:rsidRPr="007F7446">
              <w:rPr>
                <w:b/>
                <w:bCs/>
                <w:color w:val="auto"/>
                <w:sz w:val="22"/>
                <w:szCs w:val="22"/>
                <w:lang w:eastAsia="de-DE"/>
              </w:rPr>
              <w:t>Échéances de l'étape</w:t>
            </w:r>
            <w:r w:rsidR="007F7446">
              <w:rPr>
                <w:b/>
                <w:bCs/>
                <w:color w:val="auto"/>
                <w:sz w:val="22"/>
                <w:szCs w:val="22"/>
                <w:lang w:eastAsia="de-DE"/>
              </w:rPr>
              <w:br/>
            </w:r>
            <w:r w:rsidR="00D06288" w:rsidRPr="007F7446">
              <w:rPr>
                <w:b/>
                <w:bCs/>
                <w:color w:val="auto"/>
                <w:sz w:val="22"/>
                <w:szCs w:val="22"/>
                <w:lang w:eastAsia="de-DE"/>
              </w:rPr>
              <w:t>(</w:t>
            </w:r>
            <w:r w:rsidRPr="007F7446">
              <w:rPr>
                <w:b/>
                <w:bCs/>
                <w:color w:val="auto"/>
                <w:sz w:val="22"/>
                <w:szCs w:val="22"/>
                <w:lang w:eastAsia="de-DE"/>
              </w:rPr>
              <w:t>Nombre d'années écoulées après la fin du délai réglementaire de sept ans ou après le</w:t>
            </w:r>
            <w:r w:rsidR="00D06288" w:rsidRPr="007F7446">
              <w:rPr>
                <w:b/>
                <w:bCs/>
                <w:color w:val="auto"/>
                <w:sz w:val="22"/>
                <w:szCs w:val="22"/>
                <w:lang w:eastAsia="de-DE"/>
              </w:rPr>
              <w:t xml:space="preserve"> 1</w:t>
            </w:r>
            <w:r w:rsidR="007F7446" w:rsidRPr="007F7446">
              <w:rPr>
                <w:b/>
                <w:bCs/>
                <w:color w:val="auto"/>
                <w:sz w:val="22"/>
                <w:szCs w:val="22"/>
              </w:rPr>
              <w:t>er</w:t>
            </w:r>
            <w:r w:rsidR="00D06288" w:rsidRPr="007F7446">
              <w:rPr>
                <w:b/>
                <w:bCs/>
                <w:color w:val="auto"/>
                <w:sz w:val="22"/>
                <w:szCs w:val="22"/>
                <w:lang w:eastAsia="de-DE"/>
              </w:rPr>
              <w:t xml:space="preserve"> </w:t>
            </w:r>
            <w:r w:rsidRPr="007F7446">
              <w:rPr>
                <w:b/>
                <w:bCs/>
                <w:color w:val="auto"/>
                <w:sz w:val="22"/>
                <w:szCs w:val="22"/>
                <w:lang w:eastAsia="de-DE"/>
              </w:rPr>
              <w:t>janvier</w:t>
            </w:r>
            <w:r w:rsidR="00D06288" w:rsidRPr="007F7446">
              <w:rPr>
                <w:b/>
                <w:bCs/>
                <w:color w:val="auto"/>
                <w:sz w:val="22"/>
                <w:szCs w:val="22"/>
                <w:lang w:eastAsia="de-DE"/>
              </w:rPr>
              <w:t xml:space="preserve"> 2021, </w:t>
            </w:r>
            <w:r w:rsidR="001C5630" w:rsidRPr="007F7446">
              <w:rPr>
                <w:b/>
                <w:bCs/>
                <w:color w:val="auto"/>
                <w:sz w:val="22"/>
                <w:szCs w:val="22"/>
                <w:lang w:eastAsia="de-DE"/>
              </w:rPr>
              <w:t>selon ce qui se produit le plus tard</w:t>
            </w:r>
            <w:r w:rsidR="00D06288" w:rsidRPr="007F7446">
              <w:rPr>
                <w:b/>
                <w:bCs/>
                <w:color w:val="auto"/>
                <w:sz w:val="22"/>
                <w:szCs w:val="22"/>
                <w:lang w:eastAsia="de-DE"/>
              </w:rPr>
              <w:t>)</w:t>
            </w:r>
          </w:p>
        </w:tc>
        <w:tc>
          <w:tcPr>
            <w:tcW w:w="255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55769AF4" w14:textId="273F69F4" w:rsidR="00D06288" w:rsidRPr="007F7446" w:rsidRDefault="005A22B7" w:rsidP="00E16737">
            <w:pPr>
              <w:pStyle w:val="Tablehead"/>
              <w:rPr>
                <w:b/>
                <w:bCs/>
                <w:color w:val="auto"/>
                <w:sz w:val="22"/>
                <w:szCs w:val="22"/>
                <w:lang w:eastAsia="de-DE"/>
              </w:rPr>
            </w:pPr>
            <w:r w:rsidRPr="007F7446">
              <w:rPr>
                <w:b/>
                <w:bCs/>
                <w:color w:val="auto"/>
                <w:sz w:val="22"/>
                <w:szCs w:val="22"/>
                <w:lang w:eastAsia="de-DE"/>
              </w:rPr>
              <w:t>Pourcentage minimal requis de satellites devant être déployés pour respecter l'étape</w:t>
            </w:r>
          </w:p>
        </w:tc>
      </w:tr>
      <w:tr w:rsidR="00D06288" w:rsidRPr="007F7446" w14:paraId="2A284424" w14:textId="77777777" w:rsidTr="007F7446">
        <w:trPr>
          <w:trHeight w:val="75"/>
        </w:trPr>
        <w:tc>
          <w:tcPr>
            <w:tcW w:w="1344" w:type="dxa"/>
          </w:tcPr>
          <w:p w14:paraId="620CE770" w14:textId="5199B822" w:rsidR="00D06288" w:rsidRPr="007F7446" w:rsidRDefault="00D06288" w:rsidP="00274AEE">
            <w:pPr>
              <w:pStyle w:val="TableTextS5"/>
              <w:jc w:val="center"/>
              <w:rPr>
                <w:sz w:val="22"/>
                <w:szCs w:val="22"/>
                <w:lang w:eastAsia="de-DE"/>
              </w:rPr>
            </w:pPr>
            <w:r w:rsidRPr="007F7446">
              <w:rPr>
                <w:sz w:val="22"/>
                <w:szCs w:val="22"/>
                <w:lang w:eastAsia="de-DE"/>
              </w:rPr>
              <w:t>1</w:t>
            </w:r>
            <w:r w:rsidR="00B33F08" w:rsidRPr="007F7446">
              <w:rPr>
                <w:sz w:val="22"/>
                <w:szCs w:val="22"/>
              </w:rPr>
              <w:t>ère</w:t>
            </w:r>
          </w:p>
        </w:tc>
        <w:tc>
          <w:tcPr>
            <w:tcW w:w="5670" w:type="dxa"/>
          </w:tcPr>
          <w:p w14:paraId="2417B04C" w14:textId="09B23154" w:rsidR="00D06288" w:rsidRPr="007F7446" w:rsidRDefault="00D06288" w:rsidP="00274AEE">
            <w:pPr>
              <w:pStyle w:val="TableTextS5"/>
              <w:jc w:val="center"/>
              <w:rPr>
                <w:sz w:val="22"/>
                <w:szCs w:val="22"/>
                <w:lang w:eastAsia="de-DE"/>
              </w:rPr>
            </w:pPr>
            <w:r w:rsidRPr="007F7446">
              <w:rPr>
                <w:sz w:val="22"/>
                <w:szCs w:val="22"/>
                <w:lang w:eastAsia="de-DE"/>
              </w:rPr>
              <w:t xml:space="preserve">2 </w:t>
            </w:r>
            <w:r w:rsidR="00B33F08" w:rsidRPr="007F7446">
              <w:rPr>
                <w:sz w:val="22"/>
                <w:szCs w:val="22"/>
                <w:lang w:eastAsia="de-DE"/>
              </w:rPr>
              <w:t>ans</w:t>
            </w:r>
          </w:p>
        </w:tc>
        <w:tc>
          <w:tcPr>
            <w:tcW w:w="2552" w:type="dxa"/>
          </w:tcPr>
          <w:p w14:paraId="3BD309B5" w14:textId="77777777" w:rsidR="00D06288" w:rsidRPr="007F7446" w:rsidRDefault="00D06288" w:rsidP="00274AEE">
            <w:pPr>
              <w:pStyle w:val="TableTextS5"/>
              <w:jc w:val="center"/>
              <w:rPr>
                <w:sz w:val="22"/>
                <w:szCs w:val="22"/>
                <w:lang w:eastAsia="de-DE"/>
              </w:rPr>
            </w:pPr>
            <w:r w:rsidRPr="007F7446">
              <w:rPr>
                <w:sz w:val="22"/>
                <w:szCs w:val="22"/>
                <w:lang w:eastAsia="de-DE"/>
              </w:rPr>
              <w:t>10%</w:t>
            </w:r>
          </w:p>
        </w:tc>
      </w:tr>
      <w:tr w:rsidR="00D06288" w:rsidRPr="007F7446" w14:paraId="05DCD21A" w14:textId="77777777" w:rsidTr="007F7446">
        <w:trPr>
          <w:trHeight w:val="75"/>
        </w:trPr>
        <w:tc>
          <w:tcPr>
            <w:tcW w:w="1344" w:type="dxa"/>
          </w:tcPr>
          <w:p w14:paraId="65CAD552" w14:textId="731D108A" w:rsidR="00D06288" w:rsidRPr="007F7446" w:rsidRDefault="00D06288" w:rsidP="00274AEE">
            <w:pPr>
              <w:pStyle w:val="TableTextS5"/>
              <w:jc w:val="center"/>
              <w:rPr>
                <w:sz w:val="22"/>
                <w:szCs w:val="22"/>
                <w:lang w:eastAsia="de-DE"/>
              </w:rPr>
            </w:pPr>
            <w:r w:rsidRPr="007F7446">
              <w:rPr>
                <w:sz w:val="22"/>
                <w:szCs w:val="22"/>
                <w:lang w:eastAsia="de-DE"/>
              </w:rPr>
              <w:t>2</w:t>
            </w:r>
            <w:r w:rsidR="00B33F08" w:rsidRPr="007F7446">
              <w:rPr>
                <w:sz w:val="22"/>
                <w:szCs w:val="22"/>
              </w:rPr>
              <w:t>ème</w:t>
            </w:r>
          </w:p>
        </w:tc>
        <w:tc>
          <w:tcPr>
            <w:tcW w:w="5670" w:type="dxa"/>
          </w:tcPr>
          <w:p w14:paraId="31668621" w14:textId="6ACFB861" w:rsidR="00D06288" w:rsidRPr="007F7446" w:rsidRDefault="00D06288" w:rsidP="00274AEE">
            <w:pPr>
              <w:pStyle w:val="TableTextS5"/>
              <w:jc w:val="center"/>
              <w:rPr>
                <w:sz w:val="22"/>
                <w:szCs w:val="22"/>
                <w:lang w:eastAsia="de-DE"/>
              </w:rPr>
            </w:pPr>
            <w:r w:rsidRPr="007F7446">
              <w:rPr>
                <w:sz w:val="22"/>
                <w:szCs w:val="22"/>
                <w:lang w:eastAsia="de-DE"/>
              </w:rPr>
              <w:t xml:space="preserve">4 </w:t>
            </w:r>
            <w:r w:rsidR="00B33F08" w:rsidRPr="007F7446">
              <w:rPr>
                <w:sz w:val="22"/>
                <w:szCs w:val="22"/>
                <w:lang w:eastAsia="de-DE"/>
              </w:rPr>
              <w:t>ans</w:t>
            </w:r>
          </w:p>
        </w:tc>
        <w:tc>
          <w:tcPr>
            <w:tcW w:w="2552" w:type="dxa"/>
          </w:tcPr>
          <w:p w14:paraId="45346393" w14:textId="77777777" w:rsidR="00D06288" w:rsidRPr="007F7446" w:rsidRDefault="00D06288" w:rsidP="00274AEE">
            <w:pPr>
              <w:pStyle w:val="TableTextS5"/>
              <w:jc w:val="center"/>
              <w:rPr>
                <w:sz w:val="22"/>
                <w:szCs w:val="22"/>
                <w:lang w:eastAsia="de-DE"/>
              </w:rPr>
            </w:pPr>
            <w:r w:rsidRPr="007F7446">
              <w:rPr>
                <w:sz w:val="22"/>
                <w:szCs w:val="22"/>
                <w:lang w:eastAsia="de-DE"/>
              </w:rPr>
              <w:t>40%</w:t>
            </w:r>
          </w:p>
        </w:tc>
      </w:tr>
      <w:tr w:rsidR="00D06288" w:rsidRPr="007F7446" w14:paraId="1BDCCF0F" w14:textId="77777777" w:rsidTr="007F7446">
        <w:trPr>
          <w:trHeight w:val="75"/>
        </w:trPr>
        <w:tc>
          <w:tcPr>
            <w:tcW w:w="1344" w:type="dxa"/>
          </w:tcPr>
          <w:p w14:paraId="0374DECE" w14:textId="66929BFE" w:rsidR="00D06288" w:rsidRPr="007F7446" w:rsidRDefault="00D06288" w:rsidP="00274AEE">
            <w:pPr>
              <w:pStyle w:val="TableTextS5"/>
              <w:jc w:val="center"/>
              <w:rPr>
                <w:sz w:val="22"/>
                <w:szCs w:val="22"/>
                <w:lang w:eastAsia="de-DE"/>
              </w:rPr>
            </w:pPr>
            <w:r w:rsidRPr="007F7446">
              <w:rPr>
                <w:sz w:val="22"/>
                <w:szCs w:val="22"/>
                <w:lang w:eastAsia="de-DE"/>
              </w:rPr>
              <w:t>3</w:t>
            </w:r>
            <w:r w:rsidR="00B33F08" w:rsidRPr="007F7446">
              <w:rPr>
                <w:sz w:val="22"/>
                <w:szCs w:val="22"/>
              </w:rPr>
              <w:t>ème</w:t>
            </w:r>
          </w:p>
        </w:tc>
        <w:tc>
          <w:tcPr>
            <w:tcW w:w="5670" w:type="dxa"/>
          </w:tcPr>
          <w:p w14:paraId="35943085" w14:textId="4FF17243" w:rsidR="00D06288" w:rsidRPr="007F7446" w:rsidRDefault="00D06288" w:rsidP="00274AEE">
            <w:pPr>
              <w:pStyle w:val="TableTextS5"/>
              <w:jc w:val="center"/>
              <w:rPr>
                <w:sz w:val="22"/>
                <w:szCs w:val="22"/>
                <w:lang w:eastAsia="de-DE"/>
              </w:rPr>
            </w:pPr>
            <w:r w:rsidRPr="007F7446">
              <w:rPr>
                <w:sz w:val="22"/>
                <w:szCs w:val="22"/>
                <w:lang w:eastAsia="de-DE"/>
              </w:rPr>
              <w:t xml:space="preserve">7 </w:t>
            </w:r>
            <w:r w:rsidR="00B33F08" w:rsidRPr="007F7446">
              <w:rPr>
                <w:sz w:val="22"/>
                <w:szCs w:val="22"/>
                <w:lang w:eastAsia="de-DE"/>
              </w:rPr>
              <w:t>ans</w:t>
            </w:r>
          </w:p>
        </w:tc>
        <w:tc>
          <w:tcPr>
            <w:tcW w:w="2552" w:type="dxa"/>
          </w:tcPr>
          <w:p w14:paraId="11163430" w14:textId="77777777" w:rsidR="00D06288" w:rsidRPr="007F7446" w:rsidRDefault="00D06288" w:rsidP="00274AEE">
            <w:pPr>
              <w:pStyle w:val="TableTextS5"/>
              <w:jc w:val="center"/>
              <w:rPr>
                <w:sz w:val="22"/>
                <w:szCs w:val="22"/>
                <w:lang w:eastAsia="de-DE"/>
              </w:rPr>
            </w:pPr>
            <w:r w:rsidRPr="007F7446">
              <w:rPr>
                <w:sz w:val="22"/>
                <w:szCs w:val="22"/>
                <w:lang w:eastAsia="de-DE"/>
              </w:rPr>
              <w:t>100%</w:t>
            </w:r>
          </w:p>
        </w:tc>
      </w:tr>
    </w:tbl>
    <w:p w14:paraId="01A6F9A4" w14:textId="2B8FE7E3" w:rsidR="00D06288" w:rsidRPr="008E30AD" w:rsidRDefault="00D06288" w:rsidP="007B6CB2">
      <w:pPr>
        <w:pStyle w:val="Note"/>
        <w:spacing w:before="240"/>
      </w:pPr>
      <w:r w:rsidRPr="008E30AD">
        <w:t>Note:</w:t>
      </w:r>
      <w:r w:rsidR="007B6CB2">
        <w:t xml:space="preserve"> </w:t>
      </w:r>
      <w:r w:rsidR="00191051" w:rsidRPr="008E30AD">
        <w:t>L</w:t>
      </w:r>
      <w:r w:rsidR="00286EA5" w:rsidRPr="008E30AD">
        <w:t>a CMR-19</w:t>
      </w:r>
      <w:r w:rsidR="00191051" w:rsidRPr="008E30AD">
        <w:t>, lorsqu'elle</w:t>
      </w:r>
      <w:r w:rsidR="00286EA5" w:rsidRPr="008E30AD">
        <w:t xml:space="preserve"> ex</w:t>
      </w:r>
      <w:r w:rsidR="00E10822" w:rsidRPr="008E30AD">
        <w:t>a</w:t>
      </w:r>
      <w:r w:rsidR="00286EA5" w:rsidRPr="008E30AD">
        <w:t xml:space="preserve">minera </w:t>
      </w:r>
      <w:r w:rsidR="00C71B5E">
        <w:t>les différentes</w:t>
      </w:r>
      <w:r w:rsidR="00286EA5" w:rsidRPr="008E30AD">
        <w:t xml:space="preserve"> étapes et les facteurs associés de déploiement figurant dans le tableau ci-dessus</w:t>
      </w:r>
      <w:r w:rsidRPr="008E30AD">
        <w:t xml:space="preserve">, </w:t>
      </w:r>
      <w:r w:rsidR="00286EA5" w:rsidRPr="008E30AD">
        <w:t>pourra envisage</w:t>
      </w:r>
      <w:r w:rsidR="00191051" w:rsidRPr="008E30AD">
        <w:t>r</w:t>
      </w:r>
      <w:r w:rsidR="00286EA5" w:rsidRPr="008E30AD">
        <w:t xml:space="preserve"> de ménager une certaine souplesse</w:t>
      </w:r>
      <w:r w:rsidR="007B6CB2">
        <w:t> </w:t>
      </w:r>
      <w:r w:rsidR="00286EA5" w:rsidRPr="008E30AD">
        <w:t>pour les opérateurs de satellites</w:t>
      </w:r>
      <w:r w:rsidRPr="008E30AD">
        <w:t xml:space="preserve"> non</w:t>
      </w:r>
      <w:r w:rsidR="00286EA5" w:rsidRPr="008E30AD">
        <w:t xml:space="preserve"> OSG</w:t>
      </w:r>
      <w:r w:rsidRPr="008E30AD">
        <w:t xml:space="preserve"> </w:t>
      </w:r>
      <w:r w:rsidR="00286EA5" w:rsidRPr="008E30AD">
        <w:t>s'ils n'ont pas atteint le pourcentage requis </w:t>
      </w:r>
      <w:r w:rsidR="00E10822" w:rsidRPr="008E30AD">
        <w:t>pour les étapes</w:t>
      </w:r>
      <w:r w:rsidR="00286EA5" w:rsidRPr="008E30AD">
        <w:t xml:space="preserve"> 1 ou 2 </w:t>
      </w:r>
      <w:r w:rsidR="00E10822" w:rsidRPr="008E30AD">
        <w:t>présentées ci-dessus;</w:t>
      </w:r>
      <w:r w:rsidRPr="008E30AD">
        <w:t xml:space="preserve"> </w:t>
      </w:r>
      <w:r w:rsidR="00E10822" w:rsidRPr="008E30AD">
        <w:t xml:space="preserve">les critères requis devraient </w:t>
      </w:r>
      <w:r w:rsidR="00C71B5E">
        <w:t xml:space="preserve">alors </w:t>
      </w:r>
      <w:r w:rsidR="00E10822" w:rsidRPr="008E30AD">
        <w:t>être respectés au terme de l'étape suivante</w:t>
      </w:r>
      <w:r w:rsidRPr="008E30AD">
        <w:t>.</w:t>
      </w:r>
    </w:p>
    <w:p w14:paraId="7DC3A8CC" w14:textId="0E90FCFB" w:rsidR="00D06288" w:rsidRPr="008E30AD" w:rsidRDefault="00E10822" w:rsidP="00F8400C">
      <w:pPr>
        <w:pStyle w:val="Headingb"/>
        <w:rPr>
          <w:rFonts w:eastAsiaTheme="minorEastAsia"/>
        </w:rPr>
      </w:pPr>
      <w:r w:rsidRPr="008E30AD">
        <w:rPr>
          <w:rFonts w:eastAsiaTheme="minorEastAsia"/>
        </w:rPr>
        <w:t>Mise en service</w:t>
      </w:r>
      <w:r w:rsidR="00D06288" w:rsidRPr="008E30AD">
        <w:rPr>
          <w:rFonts w:eastAsiaTheme="minorEastAsia"/>
        </w:rPr>
        <w:t xml:space="preserve"> – </w:t>
      </w:r>
      <w:r w:rsidRPr="008E30AD">
        <w:rPr>
          <w:rFonts w:eastAsiaTheme="minorEastAsia"/>
        </w:rPr>
        <w:t>tol</w:t>
      </w:r>
      <w:r w:rsidR="001C5630" w:rsidRPr="008E30AD">
        <w:rPr>
          <w:rFonts w:eastAsiaTheme="minorEastAsia"/>
        </w:rPr>
        <w:t>é</w:t>
      </w:r>
      <w:r w:rsidRPr="008E30AD">
        <w:rPr>
          <w:rFonts w:eastAsiaTheme="minorEastAsia"/>
        </w:rPr>
        <w:t>rances pour les valeurs des caractéristiques orbitales</w:t>
      </w:r>
    </w:p>
    <w:p w14:paraId="562F837E" w14:textId="7B80A007" w:rsidR="00D06288" w:rsidRDefault="001C5630" w:rsidP="00F8400C">
      <w:pPr>
        <w:rPr>
          <w:rFonts w:eastAsiaTheme="minorEastAsia"/>
        </w:rPr>
      </w:pPr>
      <w:r w:rsidRPr="008E30AD">
        <w:rPr>
          <w:rFonts w:eastAsiaTheme="minorEastAsia"/>
        </w:rPr>
        <w:t xml:space="preserve">Le </w:t>
      </w:r>
      <w:r w:rsidR="00D06288" w:rsidRPr="008E30AD">
        <w:rPr>
          <w:rFonts w:eastAsiaTheme="minorEastAsia"/>
        </w:rPr>
        <w:t xml:space="preserve">Viet Nam </w:t>
      </w:r>
      <w:r w:rsidRPr="008E30AD">
        <w:rPr>
          <w:rFonts w:eastAsiaTheme="minorEastAsia"/>
        </w:rPr>
        <w:t>n'est pas favorable à</w:t>
      </w:r>
      <w:r w:rsidR="00D06288" w:rsidRPr="008E30AD">
        <w:rPr>
          <w:rFonts w:eastAsiaTheme="minorEastAsia"/>
        </w:rPr>
        <w:t xml:space="preserve"> </w:t>
      </w:r>
      <w:r w:rsidRPr="008E30AD">
        <w:rPr>
          <w:rFonts w:eastAsiaTheme="minorEastAsia"/>
        </w:rPr>
        <w:t>l'</w:t>
      </w:r>
      <w:r w:rsidR="00D06288" w:rsidRPr="008E30AD">
        <w:rPr>
          <w:rFonts w:eastAsiaTheme="minorEastAsia"/>
        </w:rPr>
        <w:t xml:space="preserve">application </w:t>
      </w:r>
      <w:r w:rsidRPr="008E30AD">
        <w:rPr>
          <w:rFonts w:eastAsiaTheme="minorEastAsia"/>
        </w:rPr>
        <w:t>de valeurs de tolérance</w:t>
      </w:r>
      <w:r w:rsidR="00D06288" w:rsidRPr="008E30AD">
        <w:rPr>
          <w:rFonts w:eastAsiaTheme="minorEastAsia"/>
        </w:rPr>
        <w:t xml:space="preserve"> </w:t>
      </w:r>
      <w:r w:rsidRPr="008E30AD">
        <w:rPr>
          <w:rFonts w:eastAsiaTheme="minorEastAsia"/>
        </w:rPr>
        <w:t>à ce stade car</w:t>
      </w:r>
      <w:r w:rsidR="00D06288" w:rsidRPr="008E30AD">
        <w:rPr>
          <w:rFonts w:eastAsiaTheme="minorEastAsia"/>
        </w:rPr>
        <w:t xml:space="preserve"> l'UIT-R n'a élaboré aucune base technique, pendant l'actuelle période d'études, pour déterminer la différence qui pourrait être tolérée entre les caractéristiques des plans orbitaux notifiés et les caractéristiques des plans orbitaux associés aux </w:t>
      </w:r>
      <w:r w:rsidR="00F8400C">
        <w:rPr>
          <w:rFonts w:eastAsiaTheme="minorEastAsia"/>
        </w:rPr>
        <w:t xml:space="preserve">éventuelles </w:t>
      </w:r>
      <w:r w:rsidR="00D06288" w:rsidRPr="008E30AD">
        <w:rPr>
          <w:rFonts w:eastAsiaTheme="minorEastAsia"/>
        </w:rPr>
        <w:t>stations spatiales déployées.</w:t>
      </w:r>
    </w:p>
    <w:p w14:paraId="10881718" w14:textId="77777777" w:rsidR="007F7446" w:rsidRPr="008E30AD" w:rsidRDefault="007F7446" w:rsidP="00F8400C">
      <w:pPr>
        <w:rPr>
          <w:rFonts w:ascii="Calibri" w:eastAsiaTheme="minorEastAsia" w:hAnsi="Calibri" w:cs="Mangal"/>
        </w:rPr>
      </w:pPr>
    </w:p>
    <w:p w14:paraId="70853B22" w14:textId="7387CF80" w:rsidR="0015203F" w:rsidRPr="008E30AD" w:rsidRDefault="0015203F" w:rsidP="00F8400C">
      <w:r w:rsidRPr="008E30AD">
        <w:br w:type="page"/>
      </w:r>
    </w:p>
    <w:p w14:paraId="4FEAB295" w14:textId="77777777" w:rsidR="007F7446" w:rsidRPr="008E30AD" w:rsidRDefault="007F7446" w:rsidP="007F7446">
      <w:pPr>
        <w:pStyle w:val="Headingb"/>
        <w:rPr>
          <w:rFonts w:eastAsiaTheme="minorEastAsia"/>
          <w:lang w:eastAsia="ko-KR"/>
        </w:rPr>
      </w:pPr>
      <w:r w:rsidRPr="008E30AD">
        <w:rPr>
          <w:rFonts w:eastAsiaTheme="minorEastAsia"/>
          <w:lang w:eastAsia="ko-KR"/>
        </w:rPr>
        <w:lastRenderedPageBreak/>
        <w:t>Propositions</w:t>
      </w:r>
    </w:p>
    <w:p w14:paraId="423A74F9" w14:textId="77777777" w:rsidR="0044121E" w:rsidRPr="008E30AD" w:rsidRDefault="00047987" w:rsidP="00F8400C">
      <w:pPr>
        <w:pStyle w:val="Proposal"/>
      </w:pPr>
      <w:r w:rsidRPr="008E30AD">
        <w:tab/>
        <w:t>VTN/49A19A1/1</w:t>
      </w:r>
    </w:p>
    <w:p w14:paraId="769C425E" w14:textId="33E4F5FB" w:rsidR="00D06288" w:rsidRPr="00274AEE" w:rsidRDefault="005A22B7" w:rsidP="007F7446">
      <w:pPr>
        <w:pStyle w:val="Headingb"/>
        <w:spacing w:after="240"/>
        <w:rPr>
          <w:rFonts w:eastAsiaTheme="minorEastAsia"/>
        </w:rPr>
      </w:pPr>
      <w:r w:rsidRPr="00274AEE">
        <w:rPr>
          <w:rFonts w:eastAsiaTheme="minorEastAsia"/>
        </w:rPr>
        <w:t>Méthode par étape</w:t>
      </w:r>
    </w:p>
    <w:tbl>
      <w:tblPr>
        <w:tblStyle w:val="ECCTable-redheade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1"/>
        <w:gridCol w:w="3686"/>
        <w:gridCol w:w="2106"/>
      </w:tblGrid>
      <w:tr w:rsidR="00D06288" w:rsidRPr="007F7446" w14:paraId="0308B72C" w14:textId="77777777" w:rsidTr="007F7446">
        <w:trPr>
          <w:cnfStyle w:val="100000000000" w:firstRow="1" w:lastRow="0" w:firstColumn="0" w:lastColumn="0" w:oddVBand="0" w:evenVBand="0" w:oddHBand="0" w:evenHBand="0" w:firstRowFirstColumn="0" w:firstRowLastColumn="0" w:lastRowFirstColumn="0" w:lastRowLastColumn="0"/>
        </w:trPr>
        <w:tc>
          <w:tcPr>
            <w:tcW w:w="38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63AB0A94" w14:textId="3094AF5A" w:rsidR="00D06288" w:rsidRPr="007F7446" w:rsidRDefault="005A22B7" w:rsidP="00274AEE">
            <w:pPr>
              <w:pStyle w:val="Tablehead"/>
              <w:rPr>
                <w:b/>
                <w:bCs/>
                <w:color w:val="auto"/>
                <w:sz w:val="22"/>
                <w:szCs w:val="22"/>
                <w:lang w:eastAsia="de-DE"/>
              </w:rPr>
            </w:pPr>
            <w:r w:rsidRPr="007F7446">
              <w:rPr>
                <w:b/>
                <w:bCs/>
                <w:color w:val="auto"/>
                <w:sz w:val="22"/>
                <w:szCs w:val="22"/>
                <w:lang w:eastAsia="de-DE"/>
              </w:rPr>
              <w:t>Étapes</w:t>
            </w:r>
          </w:p>
        </w:tc>
        <w:tc>
          <w:tcPr>
            <w:tcW w:w="368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2C34BBB3" w14:textId="2FE5C766" w:rsidR="00D06288" w:rsidRPr="007F7446" w:rsidRDefault="001C5630" w:rsidP="007B6CB2">
            <w:pPr>
              <w:pStyle w:val="Tablehead"/>
              <w:rPr>
                <w:b/>
                <w:bCs/>
                <w:color w:val="auto"/>
                <w:sz w:val="22"/>
                <w:szCs w:val="22"/>
                <w:lang w:eastAsia="de-DE"/>
              </w:rPr>
            </w:pPr>
            <w:r w:rsidRPr="007F7446">
              <w:rPr>
                <w:b/>
                <w:bCs/>
                <w:color w:val="auto"/>
                <w:sz w:val="22"/>
                <w:szCs w:val="22"/>
                <w:lang w:eastAsia="de-DE"/>
              </w:rPr>
              <w:t>Échéances de l'étape</w:t>
            </w:r>
            <w:r w:rsidR="007B6CB2">
              <w:rPr>
                <w:b/>
                <w:bCs/>
                <w:color w:val="auto"/>
                <w:sz w:val="22"/>
                <w:szCs w:val="22"/>
                <w:lang w:eastAsia="de-DE"/>
              </w:rPr>
              <w:br/>
            </w:r>
            <w:r w:rsidRPr="007F7446">
              <w:rPr>
                <w:b/>
                <w:bCs/>
                <w:color w:val="auto"/>
                <w:sz w:val="22"/>
                <w:szCs w:val="22"/>
                <w:lang w:eastAsia="de-DE"/>
              </w:rPr>
              <w:t>(Nombre d'années écoulées après la fin du délai réglementaire de sept ans ou après le 1</w:t>
            </w:r>
            <w:r w:rsidRPr="007F7446">
              <w:rPr>
                <w:b/>
                <w:bCs/>
                <w:color w:val="auto"/>
                <w:sz w:val="22"/>
                <w:szCs w:val="22"/>
              </w:rPr>
              <w:t xml:space="preserve">er </w:t>
            </w:r>
            <w:r w:rsidRPr="007F7446">
              <w:rPr>
                <w:b/>
                <w:bCs/>
                <w:color w:val="auto"/>
                <w:sz w:val="22"/>
                <w:szCs w:val="22"/>
                <w:lang w:eastAsia="de-DE"/>
              </w:rPr>
              <w:t>janvier 2021</w:t>
            </w:r>
            <w:r w:rsidR="00D06288" w:rsidRPr="007F7446">
              <w:rPr>
                <w:b/>
                <w:bCs/>
                <w:color w:val="auto"/>
                <w:sz w:val="22"/>
                <w:szCs w:val="22"/>
                <w:lang w:eastAsia="de-DE"/>
              </w:rPr>
              <w:t xml:space="preserve">, </w:t>
            </w:r>
            <w:r w:rsidRPr="007F7446">
              <w:rPr>
                <w:b/>
                <w:bCs/>
                <w:color w:val="auto"/>
                <w:sz w:val="22"/>
                <w:szCs w:val="22"/>
                <w:lang w:eastAsia="de-DE"/>
              </w:rPr>
              <w:t>selon ce qui se produit le plus tard</w:t>
            </w:r>
            <w:r w:rsidR="00D06288" w:rsidRPr="007F7446">
              <w:rPr>
                <w:b/>
                <w:bCs/>
                <w:color w:val="auto"/>
                <w:sz w:val="22"/>
                <w:szCs w:val="22"/>
                <w:lang w:eastAsia="de-DE"/>
              </w:rPr>
              <w:t>)</w:t>
            </w:r>
          </w:p>
        </w:tc>
        <w:tc>
          <w:tcPr>
            <w:tcW w:w="210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7E119186" w14:textId="36785BBB" w:rsidR="00D06288" w:rsidRPr="007F7446" w:rsidRDefault="001C5630" w:rsidP="00274AEE">
            <w:pPr>
              <w:pStyle w:val="Tablehead"/>
              <w:rPr>
                <w:b/>
                <w:bCs/>
                <w:color w:val="auto"/>
                <w:sz w:val="22"/>
                <w:szCs w:val="22"/>
                <w:lang w:eastAsia="de-DE"/>
              </w:rPr>
            </w:pPr>
            <w:r w:rsidRPr="007F7446">
              <w:rPr>
                <w:b/>
                <w:bCs/>
                <w:color w:val="auto"/>
                <w:sz w:val="22"/>
                <w:szCs w:val="22"/>
                <w:lang w:eastAsia="de-DE"/>
              </w:rPr>
              <w:t>Pourcentage minimal requis de satellites devant être déployés pour respecter l'étape</w:t>
            </w:r>
          </w:p>
        </w:tc>
      </w:tr>
      <w:tr w:rsidR="00D06288" w:rsidRPr="007F7446" w14:paraId="4D567A1D" w14:textId="77777777" w:rsidTr="007F7446">
        <w:trPr>
          <w:trHeight w:val="75"/>
        </w:trPr>
        <w:tc>
          <w:tcPr>
            <w:tcW w:w="3801" w:type="dxa"/>
          </w:tcPr>
          <w:p w14:paraId="0067BF45" w14:textId="15316312" w:rsidR="00D06288" w:rsidRPr="007F7446" w:rsidRDefault="00D06288" w:rsidP="00274AEE">
            <w:pPr>
              <w:pStyle w:val="TableTextS5"/>
              <w:jc w:val="center"/>
              <w:rPr>
                <w:sz w:val="22"/>
                <w:szCs w:val="22"/>
              </w:rPr>
            </w:pPr>
            <w:r w:rsidRPr="007F7446">
              <w:rPr>
                <w:sz w:val="22"/>
                <w:szCs w:val="22"/>
              </w:rPr>
              <w:t>1</w:t>
            </w:r>
            <w:r w:rsidR="001C5630" w:rsidRPr="007F7446">
              <w:t>ère</w:t>
            </w:r>
          </w:p>
        </w:tc>
        <w:tc>
          <w:tcPr>
            <w:tcW w:w="3686" w:type="dxa"/>
          </w:tcPr>
          <w:p w14:paraId="27217AF5" w14:textId="5F752096" w:rsidR="00D06288" w:rsidRPr="007F7446" w:rsidRDefault="00D06288" w:rsidP="00274AEE">
            <w:pPr>
              <w:pStyle w:val="TableTextS5"/>
              <w:jc w:val="center"/>
              <w:rPr>
                <w:sz w:val="22"/>
                <w:szCs w:val="22"/>
              </w:rPr>
            </w:pPr>
            <w:r w:rsidRPr="007F7446">
              <w:rPr>
                <w:sz w:val="22"/>
                <w:szCs w:val="22"/>
              </w:rPr>
              <w:t xml:space="preserve">2 </w:t>
            </w:r>
            <w:r w:rsidR="001C5630" w:rsidRPr="007F7446">
              <w:rPr>
                <w:sz w:val="22"/>
                <w:szCs w:val="22"/>
              </w:rPr>
              <w:t>ans</w:t>
            </w:r>
          </w:p>
        </w:tc>
        <w:tc>
          <w:tcPr>
            <w:tcW w:w="2106" w:type="dxa"/>
          </w:tcPr>
          <w:p w14:paraId="4A76DF04" w14:textId="77777777" w:rsidR="00D06288" w:rsidRPr="007F7446" w:rsidRDefault="00D06288" w:rsidP="00274AEE">
            <w:pPr>
              <w:pStyle w:val="TableTextS5"/>
              <w:jc w:val="center"/>
              <w:rPr>
                <w:sz w:val="22"/>
                <w:szCs w:val="22"/>
              </w:rPr>
            </w:pPr>
            <w:r w:rsidRPr="007F7446">
              <w:rPr>
                <w:sz w:val="22"/>
                <w:szCs w:val="22"/>
              </w:rPr>
              <w:t>10%</w:t>
            </w:r>
          </w:p>
        </w:tc>
      </w:tr>
      <w:tr w:rsidR="00D06288" w:rsidRPr="007F7446" w14:paraId="566DF6BF" w14:textId="77777777" w:rsidTr="007F7446">
        <w:trPr>
          <w:trHeight w:val="75"/>
        </w:trPr>
        <w:tc>
          <w:tcPr>
            <w:tcW w:w="3801" w:type="dxa"/>
          </w:tcPr>
          <w:p w14:paraId="09978653" w14:textId="42E26881" w:rsidR="00D06288" w:rsidRPr="007F7446" w:rsidRDefault="00D06288" w:rsidP="00274AEE">
            <w:pPr>
              <w:pStyle w:val="TableTextS5"/>
              <w:jc w:val="center"/>
              <w:rPr>
                <w:sz w:val="22"/>
                <w:szCs w:val="22"/>
              </w:rPr>
            </w:pPr>
            <w:r w:rsidRPr="007F7446">
              <w:rPr>
                <w:sz w:val="22"/>
                <w:szCs w:val="22"/>
              </w:rPr>
              <w:t>2</w:t>
            </w:r>
            <w:r w:rsidR="001C5630" w:rsidRPr="007F7446">
              <w:t>ème</w:t>
            </w:r>
          </w:p>
        </w:tc>
        <w:tc>
          <w:tcPr>
            <w:tcW w:w="3686" w:type="dxa"/>
          </w:tcPr>
          <w:p w14:paraId="1508E530" w14:textId="4A1C906D" w:rsidR="00D06288" w:rsidRPr="007F7446" w:rsidRDefault="00D06288" w:rsidP="00274AEE">
            <w:pPr>
              <w:pStyle w:val="TableTextS5"/>
              <w:jc w:val="center"/>
              <w:rPr>
                <w:sz w:val="22"/>
                <w:szCs w:val="22"/>
              </w:rPr>
            </w:pPr>
            <w:r w:rsidRPr="007F7446">
              <w:rPr>
                <w:sz w:val="22"/>
                <w:szCs w:val="22"/>
              </w:rPr>
              <w:t xml:space="preserve">4 </w:t>
            </w:r>
            <w:r w:rsidR="001C5630" w:rsidRPr="007F7446">
              <w:rPr>
                <w:sz w:val="22"/>
                <w:szCs w:val="22"/>
              </w:rPr>
              <w:t>ans</w:t>
            </w:r>
          </w:p>
        </w:tc>
        <w:tc>
          <w:tcPr>
            <w:tcW w:w="2106" w:type="dxa"/>
          </w:tcPr>
          <w:p w14:paraId="114D1D69" w14:textId="77777777" w:rsidR="00D06288" w:rsidRPr="007F7446" w:rsidRDefault="00D06288" w:rsidP="00274AEE">
            <w:pPr>
              <w:pStyle w:val="TableTextS5"/>
              <w:jc w:val="center"/>
              <w:rPr>
                <w:sz w:val="22"/>
                <w:szCs w:val="22"/>
              </w:rPr>
            </w:pPr>
            <w:r w:rsidRPr="007F7446">
              <w:rPr>
                <w:sz w:val="22"/>
                <w:szCs w:val="22"/>
              </w:rPr>
              <w:t>40%</w:t>
            </w:r>
          </w:p>
        </w:tc>
      </w:tr>
      <w:tr w:rsidR="00D06288" w:rsidRPr="007F7446" w14:paraId="14CF3949" w14:textId="77777777" w:rsidTr="007F7446">
        <w:trPr>
          <w:trHeight w:val="75"/>
        </w:trPr>
        <w:tc>
          <w:tcPr>
            <w:tcW w:w="3801" w:type="dxa"/>
          </w:tcPr>
          <w:p w14:paraId="539FE0AA" w14:textId="5DAD8568" w:rsidR="00D06288" w:rsidRPr="007F7446" w:rsidRDefault="00D06288" w:rsidP="00274AEE">
            <w:pPr>
              <w:pStyle w:val="TableTextS5"/>
              <w:jc w:val="center"/>
              <w:rPr>
                <w:sz w:val="22"/>
                <w:szCs w:val="22"/>
              </w:rPr>
            </w:pPr>
            <w:r w:rsidRPr="007F7446">
              <w:rPr>
                <w:sz w:val="22"/>
                <w:szCs w:val="22"/>
              </w:rPr>
              <w:t>3</w:t>
            </w:r>
            <w:r w:rsidR="001C5630" w:rsidRPr="007F7446">
              <w:t>ème</w:t>
            </w:r>
          </w:p>
        </w:tc>
        <w:tc>
          <w:tcPr>
            <w:tcW w:w="3686" w:type="dxa"/>
          </w:tcPr>
          <w:p w14:paraId="377ACD73" w14:textId="71517265" w:rsidR="00D06288" w:rsidRPr="007F7446" w:rsidRDefault="00D06288" w:rsidP="00274AEE">
            <w:pPr>
              <w:pStyle w:val="TableTextS5"/>
              <w:jc w:val="center"/>
              <w:rPr>
                <w:sz w:val="22"/>
                <w:szCs w:val="22"/>
              </w:rPr>
            </w:pPr>
            <w:r w:rsidRPr="007F7446">
              <w:rPr>
                <w:sz w:val="22"/>
                <w:szCs w:val="22"/>
              </w:rPr>
              <w:t xml:space="preserve">7 </w:t>
            </w:r>
            <w:r w:rsidR="001C5630" w:rsidRPr="007F7446">
              <w:rPr>
                <w:sz w:val="22"/>
                <w:szCs w:val="22"/>
              </w:rPr>
              <w:t>ans</w:t>
            </w:r>
          </w:p>
        </w:tc>
        <w:tc>
          <w:tcPr>
            <w:tcW w:w="2106" w:type="dxa"/>
          </w:tcPr>
          <w:p w14:paraId="7D2879A2" w14:textId="77777777" w:rsidR="00D06288" w:rsidRPr="007F7446" w:rsidRDefault="00D06288" w:rsidP="00274AEE">
            <w:pPr>
              <w:pStyle w:val="TableTextS5"/>
              <w:jc w:val="center"/>
              <w:rPr>
                <w:sz w:val="22"/>
                <w:szCs w:val="22"/>
              </w:rPr>
            </w:pPr>
            <w:r w:rsidRPr="007F7446">
              <w:rPr>
                <w:sz w:val="22"/>
                <w:szCs w:val="22"/>
              </w:rPr>
              <w:t>100%</w:t>
            </w:r>
          </w:p>
        </w:tc>
      </w:tr>
    </w:tbl>
    <w:p w14:paraId="502B7BA7" w14:textId="5335C1CA" w:rsidR="00D06288" w:rsidRPr="008E30AD" w:rsidRDefault="00D06288" w:rsidP="007B6CB2">
      <w:pPr>
        <w:pStyle w:val="Note"/>
        <w:spacing w:before="240"/>
      </w:pPr>
      <w:r w:rsidRPr="008E30AD">
        <w:t>Note:</w:t>
      </w:r>
      <w:r w:rsidR="007B6CB2">
        <w:t xml:space="preserve"> </w:t>
      </w:r>
      <w:r w:rsidR="009954C2" w:rsidRPr="008E30AD">
        <w:t xml:space="preserve">La CMR-19, lorsqu'elle examinera </w:t>
      </w:r>
      <w:r w:rsidR="00C71B5E">
        <w:t>les différentes</w:t>
      </w:r>
      <w:r w:rsidR="009954C2" w:rsidRPr="008E30AD">
        <w:t xml:space="preserve"> étapes et les facteurs associés de déploiement figurant dans le tableau ci-dessus, pourra envisager de ménager une certaine souplesse</w:t>
      </w:r>
      <w:r w:rsidR="007B6CB2">
        <w:t> </w:t>
      </w:r>
      <w:r w:rsidR="009954C2" w:rsidRPr="008E30AD">
        <w:t xml:space="preserve">pour les opérateurs de satellites non OSG s'ils n'ont pas atteint le pourcentage requis pour les étapes 1 ou 2 présentées ci-dessus; les critères requis devraient </w:t>
      </w:r>
      <w:r w:rsidR="00C71B5E">
        <w:t xml:space="preserve">alors </w:t>
      </w:r>
      <w:r w:rsidR="009954C2" w:rsidRPr="008E30AD">
        <w:t>être respectés au terme de l'étape suivante</w:t>
      </w:r>
      <w:r w:rsidRPr="008E30AD">
        <w:t>.</w:t>
      </w:r>
    </w:p>
    <w:p w14:paraId="4F66196E" w14:textId="20CC1920" w:rsidR="00D06288" w:rsidRPr="008E30AD" w:rsidRDefault="00D06288" w:rsidP="00F8400C">
      <w:pPr>
        <w:pStyle w:val="Reasons"/>
        <w:rPr>
          <w:rFonts w:eastAsiaTheme="minorEastAsia"/>
        </w:rPr>
      </w:pPr>
      <w:r w:rsidRPr="008E30AD">
        <w:rPr>
          <w:b/>
        </w:rPr>
        <w:t>Motifs:</w:t>
      </w:r>
      <w:r w:rsidRPr="008E30AD">
        <w:tab/>
      </w:r>
      <w:r w:rsidR="00191051" w:rsidRPr="008E30AD">
        <w:rPr>
          <w:rFonts w:eastAsiaTheme="minorEastAsia"/>
        </w:rPr>
        <w:t>En vue de traiter la question A du point</w:t>
      </w:r>
      <w:r w:rsidRPr="008E30AD">
        <w:rPr>
          <w:rFonts w:eastAsiaTheme="minorEastAsia"/>
        </w:rPr>
        <w:t xml:space="preserve"> 7 </w:t>
      </w:r>
      <w:r w:rsidR="00191051" w:rsidRPr="008E30AD">
        <w:rPr>
          <w:rFonts w:eastAsiaTheme="minorEastAsia"/>
        </w:rPr>
        <w:t>de l'ordre du jour de la CMR-19</w:t>
      </w:r>
      <w:r w:rsidRPr="008E30AD">
        <w:rPr>
          <w:rFonts w:eastAsiaTheme="minorEastAsia"/>
        </w:rPr>
        <w:t>.</w:t>
      </w:r>
    </w:p>
    <w:p w14:paraId="2907649F" w14:textId="77777777" w:rsidR="00274AEE" w:rsidRDefault="00274AEE" w:rsidP="00274AEE"/>
    <w:p w14:paraId="19DD0719" w14:textId="34F4A915" w:rsidR="00D06288" w:rsidRPr="008E30AD" w:rsidRDefault="00D06288" w:rsidP="00F8400C">
      <w:pPr>
        <w:jc w:val="center"/>
      </w:pPr>
      <w:r w:rsidRPr="008E30AD">
        <w:t>______________</w:t>
      </w:r>
    </w:p>
    <w:sectPr w:rsidR="00D06288" w:rsidRPr="008E30AD">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7A4E9" w14:textId="77777777" w:rsidR="0070076C" w:rsidRDefault="0070076C">
      <w:r>
        <w:separator/>
      </w:r>
    </w:p>
  </w:endnote>
  <w:endnote w:type="continuationSeparator" w:id="0">
    <w:p w14:paraId="46D48711"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31C1D" w14:textId="64AF0FAE" w:rsidR="00936D25" w:rsidRDefault="00936D25">
    <w:pPr>
      <w:rPr>
        <w:lang w:val="en-US"/>
      </w:rPr>
    </w:pPr>
    <w:r>
      <w:fldChar w:fldCharType="begin"/>
    </w:r>
    <w:r>
      <w:rPr>
        <w:lang w:val="en-US"/>
      </w:rPr>
      <w:instrText xml:space="preserve"> FILENAME \p  \* MERGEFORMAT </w:instrText>
    </w:r>
    <w:r>
      <w:fldChar w:fldCharType="separate"/>
    </w:r>
    <w:r w:rsidR="00390D2C">
      <w:rPr>
        <w:noProof/>
        <w:lang w:val="en-US"/>
      </w:rPr>
      <w:t>P:\FRA\ITU-R\CONF-R\CMR19\000\049ADD19ADD01F.docx</w:t>
    </w:r>
    <w:r>
      <w:fldChar w:fldCharType="end"/>
    </w:r>
    <w:r>
      <w:rPr>
        <w:lang w:val="en-US"/>
      </w:rPr>
      <w:tab/>
    </w:r>
    <w:r>
      <w:fldChar w:fldCharType="begin"/>
    </w:r>
    <w:r>
      <w:instrText xml:space="preserve"> SAVEDATE \@ DD.MM.YY </w:instrText>
    </w:r>
    <w:r>
      <w:fldChar w:fldCharType="separate"/>
    </w:r>
    <w:r w:rsidR="00390D2C">
      <w:rPr>
        <w:noProof/>
      </w:rPr>
      <w:t>17.10.19</w:t>
    </w:r>
    <w:r>
      <w:fldChar w:fldCharType="end"/>
    </w:r>
    <w:r>
      <w:rPr>
        <w:lang w:val="en-US"/>
      </w:rPr>
      <w:tab/>
    </w:r>
    <w:r>
      <w:fldChar w:fldCharType="begin"/>
    </w:r>
    <w:r>
      <w:instrText xml:space="preserve"> PRINTDATE \@ DD.MM.YY </w:instrText>
    </w:r>
    <w:r>
      <w:fldChar w:fldCharType="separate"/>
    </w:r>
    <w:r w:rsidR="00390D2C">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FB394" w14:textId="407E4F80" w:rsidR="00936D25" w:rsidRDefault="007B6CB2" w:rsidP="00E16737">
    <w:pPr>
      <w:pStyle w:val="Footer"/>
      <w:rPr>
        <w:lang w:val="en-US"/>
      </w:rPr>
    </w:pPr>
    <w:r>
      <w:fldChar w:fldCharType="begin"/>
    </w:r>
    <w:r w:rsidRPr="007F7446">
      <w:rPr>
        <w:lang w:val="en-US"/>
      </w:rPr>
      <w:instrText xml:space="preserve"> FILENAME \p  \* MERGEFORMAT </w:instrText>
    </w:r>
    <w:r>
      <w:fldChar w:fldCharType="separate"/>
    </w:r>
    <w:r w:rsidR="00390D2C">
      <w:rPr>
        <w:lang w:val="en-US"/>
      </w:rPr>
      <w:t>P:\FRA\ITU-R\CONF-R\CMR19\000\049ADD19ADD01F.docx</w:t>
    </w:r>
    <w:r>
      <w:fldChar w:fldCharType="end"/>
    </w:r>
    <w:r w:rsidR="00E16737" w:rsidRPr="007F7446">
      <w:rPr>
        <w:lang w:val="en-US"/>
      </w:rPr>
      <w:t xml:space="preserve"> (462057)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5EA0F" w14:textId="0BB966CA" w:rsidR="00936D25" w:rsidRDefault="007B6CB2" w:rsidP="00E16737">
    <w:pPr>
      <w:pStyle w:val="Footer"/>
      <w:rPr>
        <w:lang w:val="en-US"/>
      </w:rPr>
    </w:pPr>
    <w:r>
      <w:fldChar w:fldCharType="begin"/>
    </w:r>
    <w:r w:rsidRPr="007F7446">
      <w:rPr>
        <w:lang w:val="en-US"/>
      </w:rPr>
      <w:instrText xml:space="preserve"> FILENAME \p  \* MERGEFORMAT </w:instrText>
    </w:r>
    <w:r>
      <w:fldChar w:fldCharType="separate"/>
    </w:r>
    <w:r w:rsidR="00390D2C">
      <w:rPr>
        <w:lang w:val="en-US"/>
      </w:rPr>
      <w:t>P:\FRA\ITU-R\CONF-R\CMR19\000\049ADD19ADD01F.docx</w:t>
    </w:r>
    <w:r>
      <w:fldChar w:fldCharType="end"/>
    </w:r>
    <w:r w:rsidR="00E16737" w:rsidRPr="007F7446">
      <w:rPr>
        <w:lang w:val="en-US"/>
      </w:rPr>
      <w:t xml:space="preserve"> (462057)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BC20A" w14:textId="77777777" w:rsidR="0070076C" w:rsidRDefault="0070076C">
      <w:r>
        <w:rPr>
          <w:b/>
        </w:rPr>
        <w:t>_______________</w:t>
      </w:r>
    </w:p>
  </w:footnote>
  <w:footnote w:type="continuationSeparator" w:id="0">
    <w:p w14:paraId="21775948"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816C1" w14:textId="121B76D9" w:rsidR="004F1F8E" w:rsidRDefault="004F1F8E" w:rsidP="004F1F8E">
    <w:pPr>
      <w:pStyle w:val="Header"/>
    </w:pPr>
    <w:r>
      <w:fldChar w:fldCharType="begin"/>
    </w:r>
    <w:r>
      <w:instrText xml:space="preserve"> PAGE </w:instrText>
    </w:r>
    <w:r>
      <w:fldChar w:fldCharType="separate"/>
    </w:r>
    <w:r w:rsidR="00C71B5E">
      <w:rPr>
        <w:noProof/>
      </w:rPr>
      <w:t>4</w:t>
    </w:r>
    <w:r>
      <w:fldChar w:fldCharType="end"/>
    </w:r>
  </w:p>
  <w:p w14:paraId="77CDF4CD" w14:textId="77777777" w:rsidR="004F1F8E" w:rsidRDefault="004F1F8E" w:rsidP="00FD7AA3">
    <w:pPr>
      <w:pStyle w:val="Header"/>
    </w:pPr>
    <w:r>
      <w:t>CMR1</w:t>
    </w:r>
    <w:r w:rsidR="00FD7AA3">
      <w:t>9</w:t>
    </w:r>
    <w:r>
      <w:t>/</w:t>
    </w:r>
    <w:r w:rsidR="006A4B45">
      <w:t>49(Add.19)(Add.1)-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466ED"/>
    <w:rsid w:val="00047987"/>
    <w:rsid w:val="00057D13"/>
    <w:rsid w:val="00063A1F"/>
    <w:rsid w:val="000720CC"/>
    <w:rsid w:val="00080E2C"/>
    <w:rsid w:val="00081366"/>
    <w:rsid w:val="000863B3"/>
    <w:rsid w:val="00095332"/>
    <w:rsid w:val="000A4755"/>
    <w:rsid w:val="000A55AE"/>
    <w:rsid w:val="000B2E0C"/>
    <w:rsid w:val="000B3D0C"/>
    <w:rsid w:val="000F5F44"/>
    <w:rsid w:val="001167B9"/>
    <w:rsid w:val="001267A0"/>
    <w:rsid w:val="0015203F"/>
    <w:rsid w:val="00160C64"/>
    <w:rsid w:val="0018169B"/>
    <w:rsid w:val="00191051"/>
    <w:rsid w:val="0019352B"/>
    <w:rsid w:val="001960D0"/>
    <w:rsid w:val="001A11F6"/>
    <w:rsid w:val="001C5630"/>
    <w:rsid w:val="001F17E8"/>
    <w:rsid w:val="00204306"/>
    <w:rsid w:val="00232FD2"/>
    <w:rsid w:val="0026554E"/>
    <w:rsid w:val="00274AEE"/>
    <w:rsid w:val="00286EA5"/>
    <w:rsid w:val="0029403C"/>
    <w:rsid w:val="002A4622"/>
    <w:rsid w:val="002A6F8F"/>
    <w:rsid w:val="002B17E5"/>
    <w:rsid w:val="002C0EBF"/>
    <w:rsid w:val="002C28A4"/>
    <w:rsid w:val="002D7E0A"/>
    <w:rsid w:val="00315AFE"/>
    <w:rsid w:val="003606A6"/>
    <w:rsid w:val="0036650C"/>
    <w:rsid w:val="00390D2C"/>
    <w:rsid w:val="00393ACD"/>
    <w:rsid w:val="003A583E"/>
    <w:rsid w:val="003E112B"/>
    <w:rsid w:val="003E1D1C"/>
    <w:rsid w:val="003E7B05"/>
    <w:rsid w:val="003F3719"/>
    <w:rsid w:val="003F6F2D"/>
    <w:rsid w:val="0044121E"/>
    <w:rsid w:val="00466211"/>
    <w:rsid w:val="00483196"/>
    <w:rsid w:val="004834A9"/>
    <w:rsid w:val="004D01FC"/>
    <w:rsid w:val="004E28C3"/>
    <w:rsid w:val="004F1F8E"/>
    <w:rsid w:val="00512A32"/>
    <w:rsid w:val="005343DA"/>
    <w:rsid w:val="00560874"/>
    <w:rsid w:val="00586CF2"/>
    <w:rsid w:val="005A22B7"/>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559D9"/>
    <w:rsid w:val="00764342"/>
    <w:rsid w:val="00774362"/>
    <w:rsid w:val="00786598"/>
    <w:rsid w:val="00790C74"/>
    <w:rsid w:val="007A04E8"/>
    <w:rsid w:val="007B2C34"/>
    <w:rsid w:val="007B6CB2"/>
    <w:rsid w:val="007F7446"/>
    <w:rsid w:val="00830086"/>
    <w:rsid w:val="00851625"/>
    <w:rsid w:val="00863C0A"/>
    <w:rsid w:val="008A3120"/>
    <w:rsid w:val="008A4B97"/>
    <w:rsid w:val="008C5B8E"/>
    <w:rsid w:val="008C5DD5"/>
    <w:rsid w:val="008D41BE"/>
    <w:rsid w:val="008D58D3"/>
    <w:rsid w:val="008E30AD"/>
    <w:rsid w:val="008E3BC9"/>
    <w:rsid w:val="00923064"/>
    <w:rsid w:val="00930FFD"/>
    <w:rsid w:val="00936D25"/>
    <w:rsid w:val="00941EA5"/>
    <w:rsid w:val="00964700"/>
    <w:rsid w:val="00966C16"/>
    <w:rsid w:val="0098732F"/>
    <w:rsid w:val="009954C2"/>
    <w:rsid w:val="009A045F"/>
    <w:rsid w:val="009A6A2B"/>
    <w:rsid w:val="009C7E7C"/>
    <w:rsid w:val="00A00473"/>
    <w:rsid w:val="00A03C9B"/>
    <w:rsid w:val="00A37105"/>
    <w:rsid w:val="00A606C3"/>
    <w:rsid w:val="00A83B09"/>
    <w:rsid w:val="00A84541"/>
    <w:rsid w:val="00AE36A0"/>
    <w:rsid w:val="00B00294"/>
    <w:rsid w:val="00B33F08"/>
    <w:rsid w:val="00B3749C"/>
    <w:rsid w:val="00B64FD0"/>
    <w:rsid w:val="00BA5BD0"/>
    <w:rsid w:val="00BB1D82"/>
    <w:rsid w:val="00BD02ED"/>
    <w:rsid w:val="00BD51C5"/>
    <w:rsid w:val="00BF26E7"/>
    <w:rsid w:val="00C226A7"/>
    <w:rsid w:val="00C53FCA"/>
    <w:rsid w:val="00C71B5E"/>
    <w:rsid w:val="00C76BAF"/>
    <w:rsid w:val="00C814B9"/>
    <w:rsid w:val="00C93785"/>
    <w:rsid w:val="00CD516F"/>
    <w:rsid w:val="00D06288"/>
    <w:rsid w:val="00D119A7"/>
    <w:rsid w:val="00D25FBA"/>
    <w:rsid w:val="00D32B28"/>
    <w:rsid w:val="00D42954"/>
    <w:rsid w:val="00D66EAC"/>
    <w:rsid w:val="00D730DF"/>
    <w:rsid w:val="00D772F0"/>
    <w:rsid w:val="00D77BDC"/>
    <w:rsid w:val="00DC402B"/>
    <w:rsid w:val="00DE0932"/>
    <w:rsid w:val="00E03A27"/>
    <w:rsid w:val="00E049F1"/>
    <w:rsid w:val="00E10822"/>
    <w:rsid w:val="00E16737"/>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66305"/>
    <w:rsid w:val="00F711A7"/>
    <w:rsid w:val="00F8400C"/>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C34F866"/>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table" w:customStyle="1" w:styleId="ECCTable-redheader2">
    <w:name w:val="ECC Table - red header2"/>
    <w:basedOn w:val="TableNormal"/>
    <w:uiPriority w:val="99"/>
    <w:rsid w:val="00D06288"/>
    <w:pPr>
      <w:spacing w:before="60" w:after="60"/>
      <w:jc w:val="both"/>
    </w:pPr>
    <w:rPr>
      <w:rFonts w:ascii="Arial" w:eastAsia="Calibri" w:hAnsi="Arial"/>
      <w:lang w:val="de-DE" w:eastAsia="de-DE" w:bidi="fa-IR"/>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Autospacing="0" w:afterLines="0" w:afterAutospacing="0" w:line="240" w:lineRule="auto"/>
        <w:jc w:val="center"/>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vAlign w:val="center"/>
      </w:tcPr>
    </w:tblStylePr>
  </w:style>
  <w:style w:type="table" w:customStyle="1" w:styleId="ECCTable-redheader">
    <w:name w:val="ECC Table - red header"/>
    <w:basedOn w:val="TableNormal"/>
    <w:uiPriority w:val="99"/>
    <w:rsid w:val="00D06288"/>
    <w:pPr>
      <w:spacing w:before="60" w:after="60"/>
      <w:jc w:val="both"/>
    </w:pPr>
    <w:rPr>
      <w:rFonts w:ascii="Arial" w:eastAsia="Calibri" w:hAnsi="Arial"/>
      <w:lang w:val="de-DE" w:eastAsia="de-DE" w:bidi="fa-IR"/>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Autospacing="0" w:afterLines="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R16-WRC19-C-0049!A19-A1!MSW-F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73594CA8-5F33-4D74-B514-2EA1AD7778AC}">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32a1a8c5-2265-4ebc-b7a0-2071e2c5c9bb"/>
    <ds:schemaRef ds:uri="996b2e75-67fd-4955-a3b0-5ab9934cb50b"/>
    <ds:schemaRef ds:uri="http://www.w3.org/XML/1998/namespace"/>
  </ds:schemaRefs>
</ds:datastoreItem>
</file>

<file path=customXml/itemProps3.xml><?xml version="1.0" encoding="utf-8"?>
<ds:datastoreItem xmlns:ds="http://schemas.openxmlformats.org/officeDocument/2006/customXml" ds:itemID="{E9331899-D759-4D40-86D6-707266D210D5}">
  <ds:schemaRefs>
    <ds:schemaRef ds:uri="http://schemas.microsoft.com/sharepoint/v3/contenttype/forms"/>
  </ds:schemaRefs>
</ds:datastoreItem>
</file>

<file path=customXml/itemProps4.xml><?xml version="1.0" encoding="utf-8"?>
<ds:datastoreItem xmlns:ds="http://schemas.openxmlformats.org/officeDocument/2006/customXml" ds:itemID="{311EECE1-0FF0-4928-97AC-DE2064F0D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602</Words>
  <Characters>3307</Characters>
  <Application>Microsoft Office Word</Application>
  <DocSecurity>0</DocSecurity>
  <Lines>102</Lines>
  <Paragraphs>49</Paragraphs>
  <ScaleCrop>false</ScaleCrop>
  <HeadingPairs>
    <vt:vector size="2" baseType="variant">
      <vt:variant>
        <vt:lpstr>Title</vt:lpstr>
      </vt:variant>
      <vt:variant>
        <vt:i4>1</vt:i4>
      </vt:variant>
    </vt:vector>
  </HeadingPairs>
  <TitlesOfParts>
    <vt:vector size="1" baseType="lpstr">
      <vt:lpstr>R16-WRC19-C-0049!A19-A1!MSW-F</vt:lpstr>
    </vt:vector>
  </TitlesOfParts>
  <Manager>Secrétariat général - Pool</Manager>
  <Company>Union internationale des télécommunications (UIT)</Company>
  <LinksUpToDate>false</LinksUpToDate>
  <CharactersWithSpaces>3864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R16-WRC19-C-0049!A19-A1!MSW-F</dc:title>
  <dc:subject>Conférence mondiale des radiocommunications - 2019</dc:subject>
  <dc:creator>Documents Proposals Manager (DPM)</dc:creator>
  <cp:keywords>DPM_v2019.10.8.1_prod</cp:keywords>
  <dc:description/>
  <cp:lastModifiedBy>Royer, Veronique</cp:lastModifiedBy>
  <cp:revision>6</cp:revision>
  <cp:lastPrinted>2019-10-17T12:25:00Z</cp:lastPrinted>
  <dcterms:created xsi:type="dcterms:W3CDTF">2019-10-15T11:46:00Z</dcterms:created>
  <dcterms:modified xsi:type="dcterms:W3CDTF">2019-10-17T12:25:00Z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