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663"/>
        <w:gridCol w:w="3368"/>
      </w:tblGrid>
      <w:tr w:rsidR="00622560" w14:paraId="78C2E518" w14:textId="77777777" w:rsidTr="002257D4">
        <w:trPr>
          <w:cantSplit/>
        </w:trPr>
        <w:tc>
          <w:tcPr>
            <w:tcW w:w="6663" w:type="dxa"/>
          </w:tcPr>
          <w:p w14:paraId="4ED4E91F"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368" w:type="dxa"/>
          </w:tcPr>
          <w:p w14:paraId="59003A21"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eastAsia="zh-CN"/>
              </w:rPr>
              <w:drawing>
                <wp:inline distT="0" distB="0" distL="0" distR="0" wp14:anchorId="2DCBCD67" wp14:editId="7E93BE35">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74F27447" w14:textId="77777777" w:rsidTr="002257D4">
        <w:trPr>
          <w:cantSplit/>
        </w:trPr>
        <w:tc>
          <w:tcPr>
            <w:tcW w:w="6663" w:type="dxa"/>
            <w:tcBorders>
              <w:bottom w:val="single" w:sz="12" w:space="0" w:color="auto"/>
            </w:tcBorders>
          </w:tcPr>
          <w:p w14:paraId="67DBB324" w14:textId="77777777" w:rsidR="00622560" w:rsidRPr="00617BE4" w:rsidRDefault="00622560">
            <w:pPr>
              <w:spacing w:after="48" w:line="240" w:lineRule="atLeast"/>
              <w:rPr>
                <w:b/>
                <w:smallCaps/>
                <w:szCs w:val="24"/>
              </w:rPr>
            </w:pPr>
            <w:bookmarkStart w:id="2" w:name="dhead"/>
          </w:p>
        </w:tc>
        <w:tc>
          <w:tcPr>
            <w:tcW w:w="3368" w:type="dxa"/>
            <w:tcBorders>
              <w:bottom w:val="single" w:sz="12" w:space="0" w:color="auto"/>
            </w:tcBorders>
          </w:tcPr>
          <w:p w14:paraId="72745BCB" w14:textId="77777777" w:rsidR="00622560" w:rsidRPr="00622560" w:rsidRDefault="00622560" w:rsidP="00622560">
            <w:pPr>
              <w:spacing w:before="0" w:line="240" w:lineRule="atLeast"/>
              <w:rPr>
                <w:rFonts w:ascii="Verdana" w:hAnsi="Verdana"/>
                <w:sz w:val="20"/>
                <w:szCs w:val="24"/>
              </w:rPr>
            </w:pPr>
          </w:p>
        </w:tc>
      </w:tr>
      <w:tr w:rsidR="00622560" w:rsidRPr="00C324A8" w14:paraId="00484BF5" w14:textId="77777777" w:rsidTr="002257D4">
        <w:trPr>
          <w:cantSplit/>
        </w:trPr>
        <w:tc>
          <w:tcPr>
            <w:tcW w:w="6663" w:type="dxa"/>
            <w:tcBorders>
              <w:top w:val="single" w:sz="12" w:space="0" w:color="auto"/>
            </w:tcBorders>
          </w:tcPr>
          <w:p w14:paraId="1463B99D" w14:textId="77777777" w:rsidR="00622560" w:rsidRPr="00CB4E5A" w:rsidRDefault="00622560" w:rsidP="001B6360">
            <w:pPr>
              <w:spacing w:line="240" w:lineRule="atLeast"/>
              <w:rPr>
                <w:rFonts w:ascii="Verdana" w:hAnsi="Verdana"/>
                <w:b/>
                <w:bCs/>
                <w:sz w:val="20"/>
              </w:rPr>
            </w:pPr>
          </w:p>
        </w:tc>
        <w:tc>
          <w:tcPr>
            <w:tcW w:w="3368" w:type="dxa"/>
            <w:tcBorders>
              <w:top w:val="single" w:sz="12" w:space="0" w:color="auto"/>
            </w:tcBorders>
          </w:tcPr>
          <w:p w14:paraId="50D46C37" w14:textId="77777777" w:rsidR="00622560" w:rsidRPr="00CB4E5A" w:rsidRDefault="00622560" w:rsidP="001B6360">
            <w:pPr>
              <w:spacing w:line="240" w:lineRule="atLeast"/>
              <w:rPr>
                <w:rFonts w:ascii="Verdana" w:hAnsi="Verdana"/>
                <w:b/>
                <w:bCs/>
                <w:sz w:val="20"/>
              </w:rPr>
            </w:pPr>
          </w:p>
        </w:tc>
      </w:tr>
      <w:tr w:rsidR="00622560" w:rsidRPr="00C324A8" w14:paraId="6CDC17CC" w14:textId="77777777" w:rsidTr="002257D4">
        <w:trPr>
          <w:cantSplit/>
          <w:trHeight w:val="23"/>
        </w:trPr>
        <w:tc>
          <w:tcPr>
            <w:tcW w:w="6663" w:type="dxa"/>
          </w:tcPr>
          <w:p w14:paraId="70969E8A" w14:textId="77777777"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368" w:type="dxa"/>
          </w:tcPr>
          <w:p w14:paraId="5D4CF83D" w14:textId="77777777" w:rsidR="00622560" w:rsidRPr="00622560" w:rsidRDefault="000273B7" w:rsidP="00A466E6">
            <w:pPr>
              <w:spacing w:before="0"/>
              <w:rPr>
                <w:rFonts w:ascii="Verdana" w:hAnsi="Verdana"/>
                <w:sz w:val="20"/>
              </w:rPr>
            </w:pPr>
            <w:r>
              <w:rPr>
                <w:rFonts w:ascii="Verdana" w:hAnsi="Verdana"/>
                <w:b/>
                <w:sz w:val="20"/>
              </w:rPr>
              <w:t>文件</w:t>
            </w:r>
            <w:r>
              <w:rPr>
                <w:rFonts w:ascii="Verdana" w:hAnsi="Verdana"/>
                <w:b/>
                <w:sz w:val="20"/>
              </w:rPr>
              <w:t xml:space="preserve"> 49 (Add.19)(Add.1)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58D6EE35" w14:textId="77777777" w:rsidTr="002257D4">
        <w:trPr>
          <w:cantSplit/>
          <w:trHeight w:val="23"/>
        </w:trPr>
        <w:tc>
          <w:tcPr>
            <w:tcW w:w="6663" w:type="dxa"/>
          </w:tcPr>
          <w:p w14:paraId="5289CC91" w14:textId="77777777" w:rsidR="008221A4" w:rsidRPr="00C324A8" w:rsidRDefault="008221A4" w:rsidP="00A466E6">
            <w:pPr>
              <w:spacing w:before="0"/>
              <w:rPr>
                <w:rFonts w:ascii="Verdana" w:hAnsi="Verdana"/>
                <w:b/>
                <w:smallCaps/>
                <w:sz w:val="20"/>
              </w:rPr>
            </w:pPr>
          </w:p>
        </w:tc>
        <w:tc>
          <w:tcPr>
            <w:tcW w:w="3368" w:type="dxa"/>
          </w:tcPr>
          <w:p w14:paraId="0B79C067"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8</w:t>
            </w:r>
            <w:r w:rsidRPr="000273B7">
              <w:rPr>
                <w:rFonts w:ascii="Verdana" w:hAnsi="Verdana"/>
                <w:b/>
                <w:bCs/>
                <w:sz w:val="20"/>
              </w:rPr>
              <w:t>日</w:t>
            </w:r>
          </w:p>
        </w:tc>
      </w:tr>
      <w:tr w:rsidR="008221A4" w:rsidRPr="00C324A8" w14:paraId="2464E0B1" w14:textId="77777777" w:rsidTr="002257D4">
        <w:trPr>
          <w:cantSplit/>
          <w:trHeight w:val="23"/>
        </w:trPr>
        <w:tc>
          <w:tcPr>
            <w:tcW w:w="6663" w:type="dxa"/>
          </w:tcPr>
          <w:p w14:paraId="487D4956" w14:textId="77777777" w:rsidR="008221A4" w:rsidRPr="00CB4E5A" w:rsidRDefault="008221A4" w:rsidP="00A466E6">
            <w:pPr>
              <w:spacing w:before="0"/>
              <w:rPr>
                <w:rFonts w:ascii="Verdana" w:hAnsi="Verdana"/>
                <w:b/>
                <w:bCs/>
                <w:sz w:val="20"/>
              </w:rPr>
            </w:pPr>
          </w:p>
        </w:tc>
        <w:tc>
          <w:tcPr>
            <w:tcW w:w="3368" w:type="dxa"/>
          </w:tcPr>
          <w:p w14:paraId="0973392B" w14:textId="77777777"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14:paraId="7BE3A5E1" w14:textId="77777777" w:rsidTr="00FE20CB">
        <w:trPr>
          <w:cantSplit/>
          <w:trHeight w:val="23"/>
        </w:trPr>
        <w:tc>
          <w:tcPr>
            <w:tcW w:w="10031" w:type="dxa"/>
            <w:gridSpan w:val="2"/>
          </w:tcPr>
          <w:p w14:paraId="4D0CB75F" w14:textId="77777777" w:rsidR="008221A4" w:rsidRDefault="008221A4" w:rsidP="008221A4">
            <w:pPr>
              <w:spacing w:before="0" w:line="240" w:lineRule="atLeast"/>
              <w:rPr>
                <w:rFonts w:ascii="Verdana" w:hAnsi="Verdana"/>
                <w:b/>
                <w:bCs/>
                <w:sz w:val="20"/>
              </w:rPr>
            </w:pPr>
          </w:p>
        </w:tc>
      </w:tr>
      <w:tr w:rsidR="008221A4" w14:paraId="59547494" w14:textId="77777777">
        <w:trPr>
          <w:cantSplit/>
        </w:trPr>
        <w:tc>
          <w:tcPr>
            <w:tcW w:w="10031" w:type="dxa"/>
            <w:gridSpan w:val="2"/>
          </w:tcPr>
          <w:p w14:paraId="675F97EE" w14:textId="77777777" w:rsidR="008221A4" w:rsidRDefault="008221A4" w:rsidP="008221A4">
            <w:pPr>
              <w:pStyle w:val="Source"/>
              <w:rPr>
                <w:lang w:eastAsia="zh-CN"/>
              </w:rPr>
            </w:pPr>
            <w:bookmarkStart w:id="3" w:name="dsource" w:colFirst="0" w:colLast="0"/>
            <w:r w:rsidRPr="000273B7">
              <w:rPr>
                <w:lang w:eastAsia="zh-CN"/>
              </w:rPr>
              <w:t>越南（社会主义共和国）</w:t>
            </w:r>
          </w:p>
        </w:tc>
      </w:tr>
      <w:tr w:rsidR="008221A4" w14:paraId="34FFB248" w14:textId="77777777">
        <w:trPr>
          <w:cantSplit/>
        </w:trPr>
        <w:tc>
          <w:tcPr>
            <w:tcW w:w="10031" w:type="dxa"/>
            <w:gridSpan w:val="2"/>
          </w:tcPr>
          <w:p w14:paraId="180939EB"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231D045C" w14:textId="77777777">
        <w:trPr>
          <w:cantSplit/>
        </w:trPr>
        <w:tc>
          <w:tcPr>
            <w:tcW w:w="10031" w:type="dxa"/>
            <w:gridSpan w:val="2"/>
          </w:tcPr>
          <w:p w14:paraId="506739B0" w14:textId="77777777" w:rsidR="008221A4" w:rsidRDefault="008221A4" w:rsidP="008221A4">
            <w:pPr>
              <w:pStyle w:val="Title2"/>
            </w:pPr>
            <w:bookmarkStart w:id="5" w:name="dtitle2" w:colFirst="0" w:colLast="0"/>
            <w:bookmarkEnd w:id="4"/>
          </w:p>
        </w:tc>
      </w:tr>
      <w:tr w:rsidR="008221A4" w14:paraId="5C8512A1" w14:textId="77777777">
        <w:trPr>
          <w:cantSplit/>
        </w:trPr>
        <w:tc>
          <w:tcPr>
            <w:tcW w:w="10031" w:type="dxa"/>
            <w:gridSpan w:val="2"/>
          </w:tcPr>
          <w:p w14:paraId="2B3CF4B8" w14:textId="77777777" w:rsidR="008221A4" w:rsidRDefault="008221A4" w:rsidP="008221A4">
            <w:pPr>
              <w:pStyle w:val="Agendaitem"/>
            </w:pPr>
            <w:bookmarkStart w:id="6" w:name="dtitle3" w:colFirst="0" w:colLast="0"/>
            <w:bookmarkEnd w:id="5"/>
            <w:r w:rsidRPr="000273B7">
              <w:t>议项</w:t>
            </w:r>
            <w:r w:rsidRPr="000273B7">
              <w:t>7(A)</w:t>
            </w:r>
          </w:p>
        </w:tc>
      </w:tr>
    </w:tbl>
    <w:bookmarkEnd w:id="6"/>
    <w:p w14:paraId="782897E1" w14:textId="4BDB2CE2" w:rsidR="008B60D0" w:rsidRPr="00331A64" w:rsidRDefault="00144C27" w:rsidP="00A42A24">
      <w:pPr>
        <w:rPr>
          <w:lang w:eastAsia="zh-CN"/>
        </w:rPr>
      </w:pPr>
      <w:r w:rsidRPr="008E50BE">
        <w:rPr>
          <w:rFonts w:cstheme="majorBidi"/>
          <w:szCs w:val="24"/>
          <w:lang w:val="en-US" w:eastAsia="zh-CN"/>
        </w:rPr>
        <w:t>7</w:t>
      </w:r>
      <w:r w:rsidRPr="008E50BE">
        <w:rPr>
          <w:rFonts w:cstheme="majorBidi"/>
          <w:szCs w:val="24"/>
          <w:lang w:val="en-US" w:eastAsia="zh-CN"/>
        </w:rPr>
        <w:tab/>
      </w:r>
      <w:r w:rsidRPr="002D1232">
        <w:rPr>
          <w:rFonts w:cstheme="majorBidi"/>
          <w:szCs w:val="24"/>
          <w:lang w:val="en-US" w:eastAsia="zh-CN"/>
        </w:rPr>
        <w:t>根据</w:t>
      </w:r>
      <w:r w:rsidRPr="002D1232">
        <w:rPr>
          <w:rFonts w:hint="eastAsia"/>
          <w:szCs w:val="24"/>
          <w:lang w:val="en-US" w:eastAsia="zh-CN"/>
        </w:rPr>
        <w:t>第</w:t>
      </w:r>
      <w:r w:rsidRPr="002D1232">
        <w:rPr>
          <w:rFonts w:eastAsia="Times New Roman"/>
          <w:b/>
          <w:bCs/>
          <w:szCs w:val="24"/>
          <w:lang w:val="en-US" w:eastAsia="zh-CN"/>
        </w:rPr>
        <w:t>86</w:t>
      </w:r>
      <w:r w:rsidRPr="002257D4">
        <w:rPr>
          <w:rFonts w:hint="eastAsia"/>
          <w:szCs w:val="24"/>
          <w:lang w:val="en-US" w:eastAsia="zh-CN"/>
        </w:rPr>
        <w:t>号</w:t>
      </w:r>
      <w:r w:rsidRPr="002257D4">
        <w:rPr>
          <w:szCs w:val="24"/>
          <w:lang w:val="en-US" w:eastAsia="zh-CN"/>
        </w:rPr>
        <w:t>决议</w:t>
      </w:r>
      <w:r w:rsidRPr="002D1232">
        <w:rPr>
          <w:rFonts w:ascii="SimSun" w:hAnsi="SimSun" w:cs="SimSun" w:hint="eastAsia"/>
          <w:b/>
          <w:bCs/>
          <w:szCs w:val="24"/>
          <w:lang w:val="en-US" w:eastAsia="zh-CN"/>
        </w:rPr>
        <w:t>（</w:t>
      </w:r>
      <w:r w:rsidRPr="002D1232">
        <w:rPr>
          <w:rFonts w:eastAsia="Times New Roman"/>
          <w:b/>
          <w:bCs/>
          <w:szCs w:val="24"/>
          <w:lang w:val="en-US" w:eastAsia="zh-CN"/>
        </w:rPr>
        <w:t>WRC-07</w:t>
      </w:r>
      <w:r w:rsidRPr="002D1232">
        <w:rPr>
          <w:rFonts w:hint="eastAsia"/>
          <w:b/>
          <w:bCs/>
          <w:szCs w:val="24"/>
          <w:lang w:val="en-US" w:eastAsia="zh-CN"/>
        </w:rPr>
        <w:t>，</w:t>
      </w:r>
      <w:r w:rsidRPr="002D1232">
        <w:rPr>
          <w:b/>
          <w:bCs/>
          <w:szCs w:val="24"/>
          <w:lang w:val="en-US" w:eastAsia="zh-CN"/>
        </w:rPr>
        <w:t>修订版</w:t>
      </w:r>
      <w:r w:rsidRPr="002D1232">
        <w:rPr>
          <w:rFonts w:ascii="SimSun" w:hAnsi="SimSun" w:cs="SimSun" w:hint="eastAsia"/>
          <w:b/>
          <w:bCs/>
          <w:szCs w:val="24"/>
          <w:lang w:val="en-US" w:eastAsia="zh-CN"/>
        </w:rPr>
        <w:t>）</w:t>
      </w:r>
      <w:r w:rsidRPr="002D1232">
        <w:rPr>
          <w:rFonts w:cstheme="majorBidi"/>
          <w:szCs w:val="24"/>
          <w:lang w:val="en-US" w:eastAsia="zh-CN"/>
        </w:rPr>
        <w:t>，考虑为回应全权代表大会</w:t>
      </w:r>
      <w:r w:rsidRPr="002D1232">
        <w:rPr>
          <w:rFonts w:hint="eastAsia"/>
          <w:szCs w:val="24"/>
          <w:lang w:val="en-US" w:eastAsia="zh-CN"/>
        </w:rPr>
        <w:t>第</w:t>
      </w:r>
      <w:r w:rsidRPr="002D1232">
        <w:rPr>
          <w:rFonts w:eastAsia="Times New Roman"/>
          <w:szCs w:val="24"/>
          <w:lang w:val="en-US" w:eastAsia="zh-CN"/>
        </w:rPr>
        <w:t>86</w:t>
      </w:r>
      <w:r w:rsidRPr="002D1232">
        <w:rPr>
          <w:rFonts w:hint="eastAsia"/>
          <w:szCs w:val="24"/>
          <w:lang w:val="en-US" w:eastAsia="zh-CN"/>
        </w:rPr>
        <w:t>号决议</w:t>
      </w:r>
      <w:r w:rsidRPr="002D1232">
        <w:rPr>
          <w:rFonts w:ascii="SimSun" w:hAnsi="SimSun" w:cs="SimSun" w:hint="eastAsia"/>
          <w:szCs w:val="24"/>
          <w:lang w:val="en-US" w:eastAsia="zh-CN"/>
        </w:rPr>
        <w:t>（</w:t>
      </w:r>
      <w:r w:rsidRPr="002D1232">
        <w:rPr>
          <w:rFonts w:eastAsia="Times New Roman"/>
          <w:szCs w:val="24"/>
          <w:lang w:val="en-US" w:eastAsia="zh-CN"/>
        </w:rPr>
        <w:t>2002</w:t>
      </w:r>
      <w:r w:rsidRPr="002D1232">
        <w:rPr>
          <w:rFonts w:hint="eastAsia"/>
          <w:szCs w:val="24"/>
          <w:lang w:val="en-US" w:eastAsia="zh-CN"/>
        </w:rPr>
        <w:t>年</w:t>
      </w:r>
      <w:r w:rsidRPr="002D1232">
        <w:rPr>
          <w:szCs w:val="24"/>
          <w:lang w:val="en-US" w:eastAsia="zh-CN"/>
        </w:rPr>
        <w:t>，马拉喀什，修订版</w:t>
      </w:r>
      <w:r w:rsidRPr="002D1232">
        <w:rPr>
          <w:rFonts w:ascii="SimSun" w:hAnsi="SimSun" w:cs="SimSun" w:hint="eastAsia"/>
          <w:szCs w:val="24"/>
          <w:lang w:val="en-US" w:eastAsia="zh-CN"/>
        </w:rPr>
        <w:t>）</w:t>
      </w:r>
      <w:r w:rsidR="002257D4">
        <w:rPr>
          <w:rFonts w:cstheme="majorBidi"/>
          <w:szCs w:val="24"/>
          <w:lang w:val="en-US" w:eastAsia="zh-CN"/>
        </w:rPr>
        <w:t xml:space="preserve"> </w:t>
      </w:r>
      <w:r w:rsidR="002257D4" w:rsidRPr="002257D4">
        <w:rPr>
          <w:rFonts w:cstheme="majorBidi"/>
          <w:szCs w:val="24"/>
          <w:lang w:val="en-US" w:eastAsia="zh-CN"/>
        </w:rPr>
        <w:t>–</w:t>
      </w:r>
      <w:r w:rsidR="002257D4">
        <w:rPr>
          <w:rFonts w:cstheme="majorBidi"/>
          <w:szCs w:val="24"/>
          <w:lang w:val="en-US" w:eastAsia="zh-CN"/>
        </w:rPr>
        <w:t xml:space="preserve"> </w:t>
      </w:r>
      <w:r w:rsidRPr="008E50BE">
        <w:rPr>
          <w:rFonts w:ascii="SimSun" w:hAnsi="SimSun" w:cstheme="majorBidi"/>
          <w:szCs w:val="24"/>
          <w:lang w:val="en-US" w:eastAsia="zh-CN"/>
        </w:rPr>
        <w:t>“</w:t>
      </w:r>
      <w:r w:rsidRPr="008E50BE">
        <w:rPr>
          <w:rFonts w:cstheme="majorBidi"/>
          <w:szCs w:val="24"/>
          <w:lang w:val="en-US" w:eastAsia="zh-CN"/>
        </w:rPr>
        <w:t>卫星网络频率指配的提前公布、协调、通知和登记程序</w:t>
      </w:r>
      <w:r w:rsidRPr="008E50BE">
        <w:rPr>
          <w:rFonts w:ascii="SimSun" w:hAnsi="SimSun" w:cstheme="majorBidi"/>
          <w:szCs w:val="24"/>
          <w:lang w:val="en-US" w:eastAsia="zh-CN"/>
        </w:rPr>
        <w:t>”</w:t>
      </w:r>
      <w:r w:rsidR="00940A0A">
        <w:rPr>
          <w:rFonts w:cstheme="majorBidi"/>
          <w:szCs w:val="24"/>
          <w:lang w:val="en-US" w:eastAsia="zh-CN"/>
        </w:rPr>
        <w:t xml:space="preserve"> </w:t>
      </w:r>
      <w:r w:rsidR="00940A0A" w:rsidRPr="002257D4">
        <w:rPr>
          <w:rFonts w:cstheme="majorBidi"/>
          <w:szCs w:val="24"/>
          <w:lang w:val="en-US" w:eastAsia="zh-CN"/>
        </w:rPr>
        <w:t>–</w:t>
      </w:r>
      <w:r w:rsidR="00940A0A">
        <w:rPr>
          <w:rFonts w:cstheme="majorBidi"/>
          <w:szCs w:val="24"/>
          <w:lang w:val="en-US" w:eastAsia="zh-CN"/>
        </w:rPr>
        <w:t xml:space="preserve"> </w:t>
      </w:r>
      <w:r w:rsidRPr="008E50BE">
        <w:rPr>
          <w:rFonts w:cstheme="majorBidi"/>
          <w:szCs w:val="24"/>
          <w:lang w:val="en-US" w:eastAsia="zh-CN"/>
        </w:rPr>
        <w:t>而可能做出的修改和采取的其它方案，以便为合理、高效和经济地使用无线电频率及任何相关联轨道（包括对地静止卫星轨道）提供便利；</w:t>
      </w:r>
    </w:p>
    <w:p w14:paraId="48579A6F" w14:textId="15B0AF49" w:rsidR="008B60D0" w:rsidRPr="008F1B12" w:rsidRDefault="00144C27" w:rsidP="00EA5110">
      <w:pPr>
        <w:rPr>
          <w:lang w:eastAsia="zh-CN"/>
        </w:rPr>
      </w:pPr>
      <w:r>
        <w:rPr>
          <w:lang w:val="en-US" w:eastAsia="zh-CN"/>
        </w:rPr>
        <w:t>7(A)</w:t>
      </w:r>
      <w:r w:rsidRPr="00656311">
        <w:rPr>
          <w:lang w:val="en-US" w:eastAsia="zh-CN"/>
        </w:rPr>
        <w:tab/>
      </w:r>
      <w:r w:rsidRPr="00EA5110">
        <w:rPr>
          <w:rFonts w:hint="eastAsia"/>
          <w:szCs w:val="24"/>
          <w:lang w:eastAsia="zh-CN"/>
        </w:rPr>
        <w:t>问题</w:t>
      </w:r>
      <w:r w:rsidRPr="00EA5110">
        <w:rPr>
          <w:rFonts w:hint="eastAsia"/>
          <w:szCs w:val="24"/>
          <w:lang w:eastAsia="zh-CN"/>
        </w:rPr>
        <w:t>A</w:t>
      </w:r>
      <w:r w:rsidR="00C24BD9">
        <w:rPr>
          <w:rFonts w:cstheme="majorBidi"/>
          <w:szCs w:val="24"/>
          <w:lang w:val="en-US" w:eastAsia="zh-CN"/>
        </w:rPr>
        <w:t xml:space="preserve"> </w:t>
      </w:r>
      <w:r w:rsidR="00C24BD9" w:rsidRPr="002257D4">
        <w:rPr>
          <w:rFonts w:cstheme="majorBidi"/>
          <w:szCs w:val="24"/>
          <w:lang w:val="en-US" w:eastAsia="zh-CN"/>
        </w:rPr>
        <w:t>–</w:t>
      </w:r>
      <w:r w:rsidR="00C24BD9">
        <w:rPr>
          <w:rFonts w:cstheme="majorBidi"/>
          <w:szCs w:val="24"/>
          <w:lang w:val="en-US" w:eastAsia="zh-CN"/>
        </w:rPr>
        <w:t xml:space="preserve"> </w:t>
      </w:r>
      <w:r w:rsidRPr="00EA5110">
        <w:rPr>
          <w:rFonts w:hint="eastAsia"/>
          <w:szCs w:val="24"/>
          <w:lang w:eastAsia="zh-CN"/>
        </w:rPr>
        <w:t>所有非静止卫星系统频率指配的投入使用，以及对特定频段和业务内非对地静止卫星系统采用的分阶段部署方式的考虑</w:t>
      </w:r>
    </w:p>
    <w:p w14:paraId="63CC6C5D" w14:textId="3D225DEA" w:rsidR="00D14313" w:rsidRPr="00B82BD5" w:rsidRDefault="003F0020" w:rsidP="00D14313">
      <w:pPr>
        <w:pStyle w:val="Headingb"/>
        <w:rPr>
          <w:rFonts w:eastAsiaTheme="minorEastAsia"/>
          <w:lang w:val="en-US" w:eastAsia="ko-KR"/>
        </w:rPr>
      </w:pPr>
      <w:r>
        <w:rPr>
          <w:rFonts w:eastAsiaTheme="minorEastAsia" w:hint="eastAsia"/>
          <w:lang w:val="en-US" w:eastAsia="ko-KR"/>
        </w:rPr>
        <w:t>引言</w:t>
      </w:r>
    </w:p>
    <w:p w14:paraId="34661609" w14:textId="04533F9D" w:rsidR="00D14313" w:rsidRPr="00631A64" w:rsidRDefault="003F0020" w:rsidP="002257D4">
      <w:pPr>
        <w:ind w:firstLineChars="200" w:firstLine="480"/>
        <w:rPr>
          <w:rFonts w:eastAsiaTheme="minorEastAsia"/>
          <w:lang w:eastAsia="zh-CN"/>
        </w:rPr>
      </w:pPr>
      <w:r>
        <w:rPr>
          <w:rFonts w:eastAsiaTheme="minorEastAsia" w:hint="eastAsia"/>
          <w:lang w:eastAsia="zh-CN"/>
        </w:rPr>
        <w:t>越南</w:t>
      </w:r>
      <w:r w:rsidR="0091277A">
        <w:rPr>
          <w:rFonts w:eastAsiaTheme="minorEastAsia" w:hint="eastAsia"/>
          <w:lang w:eastAsia="zh-CN"/>
        </w:rPr>
        <w:t>对这项</w:t>
      </w:r>
      <w:r>
        <w:rPr>
          <w:rFonts w:eastAsiaTheme="minorEastAsia" w:hint="eastAsia"/>
          <w:lang w:eastAsia="zh-CN"/>
        </w:rPr>
        <w:t>议题</w:t>
      </w:r>
      <w:r w:rsidRPr="003F0020">
        <w:rPr>
          <w:rFonts w:eastAsiaTheme="minorEastAsia" w:hint="eastAsia"/>
          <w:lang w:eastAsia="zh-CN"/>
        </w:rPr>
        <w:t>的关键问题持如下观点</w:t>
      </w:r>
      <w:r>
        <w:rPr>
          <w:rFonts w:eastAsiaTheme="minorEastAsia" w:hint="eastAsia"/>
          <w:lang w:eastAsia="zh-CN"/>
        </w:rPr>
        <w:t>：</w:t>
      </w:r>
    </w:p>
    <w:p w14:paraId="4B682079" w14:textId="4544442C" w:rsidR="00D14313" w:rsidRPr="00B82BD5" w:rsidRDefault="00380EE2" w:rsidP="00D14313">
      <w:pPr>
        <w:pStyle w:val="Headingb"/>
        <w:rPr>
          <w:rFonts w:eastAsiaTheme="minorEastAsia"/>
          <w:lang w:val="en-US" w:eastAsia="zh-CN"/>
        </w:rPr>
      </w:pPr>
      <w:r>
        <w:rPr>
          <w:rFonts w:eastAsiaTheme="minorEastAsia" w:hint="eastAsia"/>
          <w:lang w:val="en-US" w:eastAsia="zh-CN"/>
        </w:rPr>
        <w:t>投入使用</w:t>
      </w:r>
      <w:r w:rsidR="000A3B75" w:rsidRPr="000A3B75">
        <w:rPr>
          <w:rFonts w:eastAsiaTheme="minorEastAsia" w:hint="eastAsia"/>
          <w:lang w:val="en-US" w:eastAsia="zh-CN"/>
        </w:rPr>
        <w:t>（</w:t>
      </w:r>
      <w:r w:rsidR="000A3B75" w:rsidRPr="000A3B75">
        <w:rPr>
          <w:rFonts w:eastAsiaTheme="minorEastAsia" w:hint="eastAsia"/>
          <w:lang w:val="en-US" w:eastAsia="zh-CN"/>
        </w:rPr>
        <w:t>BIU</w:t>
      </w:r>
      <w:r w:rsidR="000A3B75" w:rsidRPr="000A3B75">
        <w:rPr>
          <w:rFonts w:eastAsiaTheme="minorEastAsia" w:hint="eastAsia"/>
          <w:lang w:val="en-US" w:eastAsia="zh-CN"/>
        </w:rPr>
        <w:t>）</w:t>
      </w:r>
      <w:r w:rsidR="000A3B75">
        <w:rPr>
          <w:rFonts w:eastAsiaTheme="minorEastAsia" w:hint="eastAsia"/>
          <w:lang w:val="en-US" w:eastAsia="zh-CN"/>
        </w:rPr>
        <w:t>的</w:t>
      </w:r>
      <w:r w:rsidR="003F0020">
        <w:rPr>
          <w:rFonts w:eastAsiaTheme="minorEastAsia" w:hint="eastAsia"/>
          <w:lang w:val="en-US" w:eastAsia="zh-CN"/>
        </w:rPr>
        <w:t>定义</w:t>
      </w:r>
    </w:p>
    <w:p w14:paraId="74B2AD8D" w14:textId="49AA7A1A" w:rsidR="00D14313" w:rsidRPr="00631A64" w:rsidRDefault="003F0020" w:rsidP="002257D4">
      <w:pPr>
        <w:ind w:firstLineChars="200" w:firstLine="480"/>
        <w:rPr>
          <w:lang w:eastAsia="zh-CN"/>
        </w:rPr>
      </w:pPr>
      <w:r>
        <w:rPr>
          <w:rFonts w:hint="eastAsia"/>
          <w:lang w:eastAsia="zh-CN"/>
        </w:rPr>
        <w:t>越南认为，</w:t>
      </w:r>
      <w:r w:rsidR="000A3B75">
        <w:rPr>
          <w:rFonts w:hint="eastAsia"/>
          <w:lang w:eastAsia="zh-CN"/>
        </w:rPr>
        <w:t>对</w:t>
      </w:r>
      <w:r w:rsidR="000A3B75">
        <w:rPr>
          <w:rFonts w:hint="eastAsia"/>
          <w:lang w:eastAsia="zh-CN"/>
        </w:rPr>
        <w:t>non-GSO</w:t>
      </w:r>
      <w:r w:rsidR="005E4ED0">
        <w:rPr>
          <w:rFonts w:hint="eastAsia"/>
          <w:lang w:eastAsia="zh-CN"/>
        </w:rPr>
        <w:t>系统</w:t>
      </w:r>
      <w:r w:rsidR="000A3B75" w:rsidRPr="000A3B75">
        <w:rPr>
          <w:rFonts w:hint="eastAsia"/>
          <w:lang w:eastAsia="zh-CN"/>
        </w:rPr>
        <w:t>频率指配的</w:t>
      </w:r>
      <w:r w:rsidR="005E4ED0">
        <w:rPr>
          <w:rFonts w:hint="eastAsia"/>
          <w:lang w:eastAsia="zh-CN"/>
        </w:rPr>
        <w:t>投入使用</w:t>
      </w:r>
      <w:r w:rsidR="000A3B75">
        <w:rPr>
          <w:rFonts w:hint="eastAsia"/>
          <w:lang w:eastAsia="zh-CN"/>
        </w:rPr>
        <w:t>定义应符合《程序规则》所载的现行惯例，这意味着</w:t>
      </w:r>
      <w:r w:rsidR="000A3B75" w:rsidRPr="00631A64">
        <w:rPr>
          <w:lang w:eastAsia="zh-CN"/>
        </w:rPr>
        <w:t>FSS/MSS/BS</w:t>
      </w:r>
      <w:r w:rsidR="000A3B75">
        <w:rPr>
          <w:rFonts w:hint="eastAsia"/>
          <w:lang w:eastAsia="zh-CN"/>
        </w:rPr>
        <w:t>S</w:t>
      </w:r>
      <w:r w:rsidR="000A3B75" w:rsidRPr="000A3B75">
        <w:rPr>
          <w:rFonts w:hint="eastAsia"/>
          <w:lang w:eastAsia="zh-CN"/>
        </w:rPr>
        <w:t>频率指配需保持连续</w:t>
      </w:r>
      <w:r w:rsidR="000A3B75" w:rsidRPr="000A3B75">
        <w:rPr>
          <w:rFonts w:hint="eastAsia"/>
          <w:lang w:eastAsia="zh-CN"/>
        </w:rPr>
        <w:t>90</w:t>
      </w:r>
      <w:r w:rsidR="000A3B75" w:rsidRPr="000A3B75">
        <w:rPr>
          <w:rFonts w:hint="eastAsia"/>
          <w:lang w:eastAsia="zh-CN"/>
        </w:rPr>
        <w:t>天的期限，对</w:t>
      </w:r>
      <w:r w:rsidR="000A3B75" w:rsidRPr="000A3B75">
        <w:rPr>
          <w:rFonts w:hint="eastAsia"/>
          <w:lang w:eastAsia="zh-CN"/>
        </w:rPr>
        <w:t>FSS/MSS/BSS</w:t>
      </w:r>
      <w:r w:rsidR="000A3B75" w:rsidRPr="000A3B75">
        <w:rPr>
          <w:rFonts w:hint="eastAsia"/>
          <w:lang w:eastAsia="zh-CN"/>
        </w:rPr>
        <w:t>以外的频率指配没有固定期限。</w:t>
      </w:r>
    </w:p>
    <w:p w14:paraId="05B8F423" w14:textId="14E1F349" w:rsidR="00622560" w:rsidRDefault="00380EE2" w:rsidP="002257D4">
      <w:pPr>
        <w:ind w:firstLineChars="200" w:firstLine="480"/>
        <w:rPr>
          <w:lang w:eastAsia="zh-CN"/>
        </w:rPr>
      </w:pPr>
      <w:r>
        <w:rPr>
          <w:rFonts w:ascii="SimSun" w:hAnsi="SimSun" w:cs="SimSun" w:hint="eastAsia"/>
          <w:lang w:eastAsia="ja-JP"/>
        </w:rPr>
        <w:t>关于投入使用的规则条款《无线电规则》第</w:t>
      </w:r>
      <w:r w:rsidRPr="001B3DF1">
        <w:rPr>
          <w:rFonts w:eastAsia="MS Mincho"/>
          <w:b/>
          <w:bCs/>
          <w:lang w:eastAsia="ja-JP"/>
        </w:rPr>
        <w:t>11.44C</w:t>
      </w:r>
      <w:r w:rsidR="004D2493">
        <w:rPr>
          <w:rFonts w:ascii="SimSun" w:hAnsi="SimSun" w:cs="SimSun" w:hint="eastAsia"/>
          <w:lang w:eastAsia="ja-JP"/>
        </w:rPr>
        <w:t>款、</w:t>
      </w:r>
      <w:r w:rsidR="005762EE" w:rsidRPr="005762EE">
        <w:rPr>
          <w:rFonts w:ascii="SimSun" w:hAnsi="SimSun" w:cs="SimSun" w:hint="eastAsia"/>
          <w:lang w:eastAsia="ja-JP"/>
        </w:rPr>
        <w:t>通知轨道面</w:t>
      </w:r>
      <w:r w:rsidR="005762EE">
        <w:rPr>
          <w:rFonts w:ascii="SimSun" w:hAnsi="SimSun" w:cs="SimSun" w:hint="eastAsia"/>
          <w:lang w:eastAsia="ja-JP"/>
        </w:rPr>
        <w:t>，越南可以支持</w:t>
      </w:r>
      <w:r w:rsidR="005762EE" w:rsidRPr="00C24BD9">
        <w:rPr>
          <w:rFonts w:hint="eastAsia"/>
          <w:lang w:eastAsia="ja-JP"/>
        </w:rPr>
        <w:t>WRC-19</w:t>
      </w:r>
      <w:r w:rsidR="005762EE" w:rsidRPr="00C24BD9">
        <w:rPr>
          <w:rFonts w:hint="eastAsia"/>
          <w:lang w:eastAsia="ja-JP"/>
        </w:rPr>
        <w:t>的</w:t>
      </w:r>
      <w:r w:rsidR="005762EE" w:rsidRPr="00C24BD9">
        <w:rPr>
          <w:rFonts w:hint="eastAsia"/>
          <w:lang w:eastAsia="ja-JP"/>
        </w:rPr>
        <w:t>CPM</w:t>
      </w:r>
      <w:r w:rsidR="005762EE" w:rsidRPr="00C24BD9">
        <w:rPr>
          <w:rFonts w:hint="eastAsia"/>
          <w:lang w:eastAsia="ja-JP"/>
        </w:rPr>
        <w:t>报告所载的</w:t>
      </w:r>
      <w:r w:rsidR="0048004F" w:rsidRPr="00C24BD9">
        <w:rPr>
          <w:rFonts w:hint="eastAsia"/>
          <w:lang w:eastAsia="ja-JP"/>
        </w:rPr>
        <w:t>选项</w:t>
      </w:r>
      <w:r w:rsidR="0048004F" w:rsidRPr="00C24BD9">
        <w:rPr>
          <w:rFonts w:hint="eastAsia"/>
          <w:lang w:eastAsia="ja-JP"/>
        </w:rPr>
        <w:t>2</w:t>
      </w:r>
      <w:r w:rsidR="00FE6797">
        <w:rPr>
          <w:rFonts w:ascii="SimSun" w:hAnsi="SimSun" w:cs="SimSun" w:hint="eastAsia"/>
          <w:lang w:eastAsia="ja-JP"/>
        </w:rPr>
        <w:t>。</w:t>
      </w:r>
    </w:p>
    <w:p w14:paraId="237A8436" w14:textId="77777777"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07F8F1C8" w14:textId="1817E3C2" w:rsidR="00246FEE" w:rsidRPr="00631A64" w:rsidRDefault="00AD2274" w:rsidP="00246FEE">
      <w:pPr>
        <w:pStyle w:val="Headingb"/>
        <w:rPr>
          <w:rFonts w:eastAsiaTheme="minorEastAsia"/>
        </w:rPr>
      </w:pPr>
      <w:proofErr w:type="spellStart"/>
      <w:r>
        <w:rPr>
          <w:rFonts w:eastAsiaTheme="minorEastAsia" w:hint="eastAsia"/>
        </w:rPr>
        <w:lastRenderedPageBreak/>
        <w:t>基于里程碑的</w:t>
      </w:r>
      <w:r w:rsidR="0070252E" w:rsidRPr="0070252E">
        <w:rPr>
          <w:rFonts w:eastAsiaTheme="minorEastAsia" w:hint="eastAsia"/>
        </w:rPr>
        <w:t>方法</w:t>
      </w:r>
      <w:proofErr w:type="spellEnd"/>
    </w:p>
    <w:p w14:paraId="74603F46" w14:textId="77777777" w:rsidR="00246FEE" w:rsidRPr="00631A64" w:rsidRDefault="00246FEE" w:rsidP="00246FEE">
      <w:pPr>
        <w:jc w:val="both"/>
        <w:rPr>
          <w:rFonts w:eastAsiaTheme="minorEastAsia"/>
          <w:b/>
          <w:bCs/>
          <w:u w:val="single"/>
        </w:rPr>
      </w:pPr>
    </w:p>
    <w:tbl>
      <w:tblPr>
        <w:tblStyle w:val="ECCTable-redheader2"/>
        <w:tblW w:w="7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686"/>
        <w:gridCol w:w="2106"/>
      </w:tblGrid>
      <w:tr w:rsidR="00246FEE" w:rsidRPr="00631A64" w14:paraId="6C433FCF" w14:textId="77777777" w:rsidTr="00C24BD9">
        <w:trPr>
          <w:cnfStyle w:val="100000000000" w:firstRow="1" w:lastRow="0" w:firstColumn="0" w:lastColumn="0" w:oddVBand="0" w:evenVBand="0" w:oddHBand="0" w:evenHBand="0" w:firstRowFirstColumn="0" w:firstRowLastColumn="0" w:lastRowFirstColumn="0" w:lastRowLastColumn="0"/>
        </w:trPr>
        <w:tc>
          <w:tcPr>
            <w:tcW w:w="16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2B68546C" w14:textId="34D2C4D6" w:rsidR="00246FEE" w:rsidRPr="00631A64" w:rsidRDefault="004163F5" w:rsidP="00AD2274">
            <w:pPr>
              <w:tabs>
                <w:tab w:val="clear" w:pos="1134"/>
                <w:tab w:val="clear" w:pos="1871"/>
                <w:tab w:val="clear" w:pos="2268"/>
              </w:tabs>
              <w:overflowPunct/>
              <w:autoSpaceDE/>
              <w:autoSpaceDN/>
              <w:adjustRightInd/>
              <w:spacing w:before="240"/>
              <w:textAlignment w:val="auto"/>
              <w:rPr>
                <w:bCs/>
                <w:color w:val="000000" w:themeColor="text1"/>
                <w:sz w:val="20"/>
                <w:lang w:eastAsia="de-DE"/>
              </w:rPr>
            </w:pPr>
            <w:r>
              <w:rPr>
                <w:rFonts w:hint="eastAsia"/>
                <w:bCs/>
                <w:color w:val="000000" w:themeColor="text1"/>
                <w:sz w:val="20"/>
                <w:lang w:eastAsia="de-DE"/>
              </w:rPr>
              <w:t>里程碑</w:t>
            </w:r>
          </w:p>
        </w:tc>
        <w:tc>
          <w:tcPr>
            <w:tcW w:w="368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C7B6D9A" w14:textId="67893562" w:rsidR="00246FEE" w:rsidRPr="00631A64" w:rsidRDefault="004163F5" w:rsidP="007E314D">
            <w:pPr>
              <w:tabs>
                <w:tab w:val="clear" w:pos="1134"/>
                <w:tab w:val="clear" w:pos="1871"/>
                <w:tab w:val="clear" w:pos="2268"/>
              </w:tabs>
              <w:overflowPunct/>
              <w:autoSpaceDE/>
              <w:autoSpaceDN/>
              <w:adjustRightInd/>
              <w:spacing w:before="240"/>
              <w:textAlignment w:val="auto"/>
              <w:rPr>
                <w:bCs/>
                <w:color w:val="000000" w:themeColor="text1"/>
                <w:sz w:val="20"/>
                <w:lang w:eastAsia="de-DE"/>
              </w:rPr>
            </w:pPr>
            <w:r w:rsidRPr="004163F5">
              <w:rPr>
                <w:rFonts w:hint="eastAsia"/>
                <w:bCs/>
                <w:color w:val="000000" w:themeColor="text1"/>
                <w:sz w:val="20"/>
                <w:lang w:eastAsia="de-DE"/>
              </w:rPr>
              <w:t>里程碑时间</w:t>
            </w:r>
          </w:p>
          <w:p w14:paraId="062899E5" w14:textId="555A2C37" w:rsidR="00246FEE" w:rsidRPr="00631A64" w:rsidRDefault="00673FEF" w:rsidP="007E314D">
            <w:pPr>
              <w:tabs>
                <w:tab w:val="clear" w:pos="1134"/>
                <w:tab w:val="clear" w:pos="1871"/>
                <w:tab w:val="clear" w:pos="2268"/>
              </w:tabs>
              <w:overflowPunct/>
              <w:autoSpaceDE/>
              <w:autoSpaceDN/>
              <w:adjustRightInd/>
              <w:spacing w:before="240"/>
              <w:textAlignment w:val="auto"/>
              <w:rPr>
                <w:bCs/>
                <w:sz w:val="20"/>
                <w:lang w:eastAsia="de-DE"/>
              </w:rPr>
            </w:pPr>
            <w:r>
              <w:rPr>
                <w:rFonts w:hint="eastAsia"/>
                <w:bCs/>
                <w:color w:val="000000" w:themeColor="text1"/>
                <w:sz w:val="20"/>
                <w:lang w:eastAsia="de-DE"/>
              </w:rPr>
              <w:t>（</w:t>
            </w:r>
            <w:r w:rsidR="006A338A">
              <w:rPr>
                <w:rFonts w:hint="eastAsia"/>
                <w:bCs/>
                <w:color w:val="000000" w:themeColor="text1"/>
                <w:sz w:val="20"/>
                <w:lang w:eastAsia="de-DE"/>
              </w:rPr>
              <w:t>七</w:t>
            </w:r>
            <w:r w:rsidR="005A0506" w:rsidRPr="005A0506">
              <w:rPr>
                <w:rFonts w:hint="eastAsia"/>
                <w:bCs/>
                <w:color w:val="000000" w:themeColor="text1"/>
                <w:sz w:val="20"/>
                <w:lang w:eastAsia="de-DE"/>
              </w:rPr>
              <w:t>年规则期限结束后或</w:t>
            </w:r>
            <w:r w:rsidR="005A0506" w:rsidRPr="005A0506">
              <w:rPr>
                <w:rFonts w:hint="eastAsia"/>
                <w:bCs/>
                <w:color w:val="000000" w:themeColor="text1"/>
                <w:sz w:val="20"/>
                <w:lang w:eastAsia="de-DE"/>
              </w:rPr>
              <w:t>2021</w:t>
            </w:r>
            <w:r w:rsidR="005A0506" w:rsidRPr="005A0506">
              <w:rPr>
                <w:rFonts w:hint="eastAsia"/>
                <w:bCs/>
                <w:color w:val="000000" w:themeColor="text1"/>
                <w:sz w:val="20"/>
                <w:lang w:eastAsia="de-DE"/>
              </w:rPr>
              <w:t>年</w:t>
            </w:r>
            <w:r w:rsidR="005A0506" w:rsidRPr="005A0506">
              <w:rPr>
                <w:rFonts w:hint="eastAsia"/>
                <w:bCs/>
                <w:color w:val="000000" w:themeColor="text1"/>
                <w:sz w:val="20"/>
                <w:lang w:eastAsia="de-DE"/>
              </w:rPr>
              <w:t>1</w:t>
            </w:r>
            <w:r w:rsidR="005A0506" w:rsidRPr="005A0506">
              <w:rPr>
                <w:rFonts w:hint="eastAsia"/>
                <w:bCs/>
                <w:color w:val="000000" w:themeColor="text1"/>
                <w:sz w:val="20"/>
                <w:lang w:eastAsia="de-DE"/>
              </w:rPr>
              <w:t>月</w:t>
            </w:r>
            <w:r w:rsidR="005A0506" w:rsidRPr="005A0506">
              <w:rPr>
                <w:rFonts w:hint="eastAsia"/>
                <w:bCs/>
                <w:color w:val="000000" w:themeColor="text1"/>
                <w:sz w:val="20"/>
                <w:lang w:eastAsia="de-DE"/>
              </w:rPr>
              <w:t>1</w:t>
            </w:r>
            <w:r w:rsidR="005A0506" w:rsidRPr="005A0506">
              <w:rPr>
                <w:rFonts w:hint="eastAsia"/>
                <w:bCs/>
                <w:color w:val="000000" w:themeColor="text1"/>
                <w:sz w:val="20"/>
                <w:lang w:eastAsia="de-DE"/>
              </w:rPr>
              <w:t>日之后的年数，以较迟者为准</w:t>
            </w:r>
            <w:r>
              <w:rPr>
                <w:rFonts w:hint="eastAsia"/>
                <w:bCs/>
                <w:color w:val="000000" w:themeColor="text1"/>
                <w:sz w:val="20"/>
                <w:lang w:eastAsia="de-DE"/>
              </w:rPr>
              <w:t>）</w:t>
            </w:r>
          </w:p>
        </w:tc>
        <w:tc>
          <w:tcPr>
            <w:tcW w:w="21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EA49DB6" w14:textId="39F045A2" w:rsidR="00246FEE" w:rsidRPr="00631A64" w:rsidRDefault="00E847E9" w:rsidP="00AD2274">
            <w:pPr>
              <w:tabs>
                <w:tab w:val="clear" w:pos="1134"/>
                <w:tab w:val="clear" w:pos="1871"/>
                <w:tab w:val="clear" w:pos="2268"/>
              </w:tabs>
              <w:overflowPunct/>
              <w:autoSpaceDE/>
              <w:autoSpaceDN/>
              <w:adjustRightInd/>
              <w:spacing w:before="240"/>
              <w:textAlignment w:val="auto"/>
              <w:rPr>
                <w:bCs/>
                <w:color w:val="000000" w:themeColor="text1"/>
                <w:sz w:val="20"/>
                <w:lang w:eastAsia="de-DE"/>
              </w:rPr>
            </w:pPr>
            <w:r w:rsidRPr="00E847E9">
              <w:rPr>
                <w:rFonts w:hint="eastAsia"/>
                <w:bCs/>
                <w:color w:val="000000" w:themeColor="text1"/>
                <w:sz w:val="20"/>
                <w:lang w:eastAsia="de-DE"/>
              </w:rPr>
              <w:t>满足里程碑最小卫星部署百分比</w:t>
            </w:r>
          </w:p>
        </w:tc>
      </w:tr>
      <w:tr w:rsidR="00246FEE" w:rsidRPr="00631A64" w14:paraId="6DAD3305" w14:textId="77777777" w:rsidTr="007E314D">
        <w:trPr>
          <w:trHeight w:val="75"/>
        </w:trPr>
        <w:tc>
          <w:tcPr>
            <w:tcW w:w="1669" w:type="dxa"/>
          </w:tcPr>
          <w:p w14:paraId="6AF3C93B" w14:textId="77777777" w:rsidR="00246FEE" w:rsidRPr="00631A64" w:rsidRDefault="00246FEE" w:rsidP="007E314D">
            <w:pPr>
              <w:tabs>
                <w:tab w:val="clear" w:pos="1134"/>
                <w:tab w:val="clear" w:pos="1871"/>
                <w:tab w:val="clear" w:pos="2268"/>
              </w:tabs>
              <w:overflowPunct/>
              <w:autoSpaceDE/>
              <w:autoSpaceDN/>
              <w:adjustRightInd/>
              <w:spacing w:before="0"/>
              <w:jc w:val="center"/>
              <w:textAlignment w:val="auto"/>
              <w:rPr>
                <w:sz w:val="20"/>
                <w:szCs w:val="22"/>
                <w:lang w:eastAsia="de-DE"/>
              </w:rPr>
            </w:pPr>
            <w:r w:rsidRPr="00631A64">
              <w:rPr>
                <w:sz w:val="20"/>
                <w:szCs w:val="22"/>
                <w:lang w:eastAsia="de-DE"/>
              </w:rPr>
              <w:t>1</w:t>
            </w:r>
            <w:r w:rsidRPr="00631A64">
              <w:rPr>
                <w:sz w:val="20"/>
                <w:szCs w:val="22"/>
                <w:vertAlign w:val="superscript"/>
                <w:lang w:eastAsia="de-DE"/>
              </w:rPr>
              <w:t>st</w:t>
            </w:r>
          </w:p>
        </w:tc>
        <w:tc>
          <w:tcPr>
            <w:tcW w:w="3686" w:type="dxa"/>
          </w:tcPr>
          <w:p w14:paraId="257BBEF7" w14:textId="5F05C833" w:rsidR="00246FEE" w:rsidRPr="00631A64" w:rsidRDefault="004163F5" w:rsidP="007E314D">
            <w:pPr>
              <w:tabs>
                <w:tab w:val="clear" w:pos="1134"/>
                <w:tab w:val="clear" w:pos="1871"/>
                <w:tab w:val="clear" w:pos="2268"/>
              </w:tabs>
              <w:overflowPunct/>
              <w:autoSpaceDE/>
              <w:autoSpaceDN/>
              <w:adjustRightInd/>
              <w:spacing w:before="0"/>
              <w:jc w:val="center"/>
              <w:textAlignment w:val="auto"/>
              <w:rPr>
                <w:sz w:val="20"/>
                <w:szCs w:val="22"/>
                <w:lang w:eastAsia="de-DE"/>
              </w:rPr>
            </w:pPr>
            <w:r>
              <w:rPr>
                <w:sz w:val="20"/>
                <w:szCs w:val="22"/>
                <w:lang w:eastAsia="de-DE"/>
              </w:rPr>
              <w:t>2</w:t>
            </w:r>
            <w:r>
              <w:rPr>
                <w:rFonts w:hint="eastAsia"/>
                <w:sz w:val="20"/>
                <w:szCs w:val="22"/>
                <w:lang w:eastAsia="de-DE"/>
              </w:rPr>
              <w:t>年</w:t>
            </w:r>
          </w:p>
        </w:tc>
        <w:tc>
          <w:tcPr>
            <w:tcW w:w="2106" w:type="dxa"/>
          </w:tcPr>
          <w:p w14:paraId="1759DE2D" w14:textId="77777777" w:rsidR="00246FEE" w:rsidRPr="00631A64" w:rsidRDefault="00246FEE" w:rsidP="007E314D">
            <w:pPr>
              <w:tabs>
                <w:tab w:val="clear" w:pos="1134"/>
                <w:tab w:val="clear" w:pos="1871"/>
                <w:tab w:val="clear" w:pos="2268"/>
              </w:tabs>
              <w:overflowPunct/>
              <w:autoSpaceDE/>
              <w:autoSpaceDN/>
              <w:adjustRightInd/>
              <w:spacing w:before="0"/>
              <w:jc w:val="center"/>
              <w:textAlignment w:val="auto"/>
              <w:rPr>
                <w:sz w:val="20"/>
                <w:szCs w:val="22"/>
                <w:lang w:eastAsia="de-DE"/>
              </w:rPr>
            </w:pPr>
            <w:r w:rsidRPr="00631A64">
              <w:rPr>
                <w:sz w:val="20"/>
                <w:szCs w:val="22"/>
                <w:lang w:eastAsia="de-DE"/>
              </w:rPr>
              <w:t>10%</w:t>
            </w:r>
          </w:p>
        </w:tc>
      </w:tr>
      <w:tr w:rsidR="00246FEE" w:rsidRPr="00631A64" w14:paraId="4F7273CC" w14:textId="77777777" w:rsidTr="007E314D">
        <w:trPr>
          <w:trHeight w:val="75"/>
        </w:trPr>
        <w:tc>
          <w:tcPr>
            <w:tcW w:w="1669" w:type="dxa"/>
          </w:tcPr>
          <w:p w14:paraId="288B3C61" w14:textId="77777777" w:rsidR="00246FEE" w:rsidRPr="00631A64" w:rsidRDefault="00246FEE" w:rsidP="007E314D">
            <w:pPr>
              <w:tabs>
                <w:tab w:val="clear" w:pos="1134"/>
                <w:tab w:val="clear" w:pos="1871"/>
                <w:tab w:val="clear" w:pos="2268"/>
              </w:tabs>
              <w:overflowPunct/>
              <w:autoSpaceDE/>
              <w:autoSpaceDN/>
              <w:adjustRightInd/>
              <w:spacing w:before="0"/>
              <w:jc w:val="center"/>
              <w:textAlignment w:val="auto"/>
              <w:rPr>
                <w:sz w:val="20"/>
                <w:szCs w:val="22"/>
                <w:lang w:eastAsia="de-DE"/>
              </w:rPr>
            </w:pPr>
            <w:r w:rsidRPr="00631A64">
              <w:rPr>
                <w:sz w:val="20"/>
                <w:szCs w:val="22"/>
                <w:lang w:eastAsia="de-DE"/>
              </w:rPr>
              <w:t>2</w:t>
            </w:r>
            <w:r w:rsidRPr="00631A64">
              <w:rPr>
                <w:sz w:val="20"/>
                <w:szCs w:val="22"/>
                <w:vertAlign w:val="superscript"/>
                <w:lang w:eastAsia="de-DE"/>
              </w:rPr>
              <w:t>nd</w:t>
            </w:r>
          </w:p>
        </w:tc>
        <w:tc>
          <w:tcPr>
            <w:tcW w:w="3686" w:type="dxa"/>
          </w:tcPr>
          <w:p w14:paraId="00982EEF" w14:textId="62D27D0A" w:rsidR="00246FEE" w:rsidRPr="00631A64" w:rsidRDefault="004163F5" w:rsidP="007E314D">
            <w:pPr>
              <w:tabs>
                <w:tab w:val="clear" w:pos="1134"/>
                <w:tab w:val="clear" w:pos="1871"/>
                <w:tab w:val="clear" w:pos="2268"/>
              </w:tabs>
              <w:overflowPunct/>
              <w:autoSpaceDE/>
              <w:autoSpaceDN/>
              <w:adjustRightInd/>
              <w:spacing w:before="0"/>
              <w:jc w:val="center"/>
              <w:textAlignment w:val="auto"/>
              <w:rPr>
                <w:sz w:val="20"/>
                <w:szCs w:val="22"/>
                <w:lang w:eastAsia="de-DE"/>
              </w:rPr>
            </w:pPr>
            <w:r>
              <w:rPr>
                <w:sz w:val="20"/>
                <w:szCs w:val="22"/>
                <w:lang w:eastAsia="de-DE"/>
              </w:rPr>
              <w:t>4</w:t>
            </w:r>
            <w:r>
              <w:rPr>
                <w:rFonts w:hint="eastAsia"/>
                <w:sz w:val="20"/>
                <w:szCs w:val="22"/>
                <w:lang w:eastAsia="de-DE"/>
              </w:rPr>
              <w:t>年</w:t>
            </w:r>
          </w:p>
        </w:tc>
        <w:tc>
          <w:tcPr>
            <w:tcW w:w="2106" w:type="dxa"/>
          </w:tcPr>
          <w:p w14:paraId="694D2432" w14:textId="77777777" w:rsidR="00246FEE" w:rsidRPr="00631A64" w:rsidRDefault="00246FEE" w:rsidP="007E314D">
            <w:pPr>
              <w:tabs>
                <w:tab w:val="clear" w:pos="1134"/>
                <w:tab w:val="clear" w:pos="1871"/>
                <w:tab w:val="clear" w:pos="2268"/>
              </w:tabs>
              <w:overflowPunct/>
              <w:autoSpaceDE/>
              <w:autoSpaceDN/>
              <w:adjustRightInd/>
              <w:spacing w:before="0"/>
              <w:jc w:val="center"/>
              <w:textAlignment w:val="auto"/>
              <w:rPr>
                <w:sz w:val="20"/>
                <w:szCs w:val="22"/>
                <w:lang w:eastAsia="de-DE"/>
              </w:rPr>
            </w:pPr>
            <w:r w:rsidRPr="00631A64">
              <w:rPr>
                <w:sz w:val="20"/>
                <w:szCs w:val="22"/>
                <w:lang w:eastAsia="de-DE"/>
              </w:rPr>
              <w:t>40%</w:t>
            </w:r>
          </w:p>
        </w:tc>
      </w:tr>
      <w:tr w:rsidR="00246FEE" w:rsidRPr="00631A64" w14:paraId="48CC0FA7" w14:textId="77777777" w:rsidTr="007E314D">
        <w:trPr>
          <w:trHeight w:val="75"/>
        </w:trPr>
        <w:tc>
          <w:tcPr>
            <w:tcW w:w="1669" w:type="dxa"/>
          </w:tcPr>
          <w:p w14:paraId="74D1320C" w14:textId="77777777" w:rsidR="00246FEE" w:rsidRPr="00631A64" w:rsidRDefault="00246FEE" w:rsidP="007E314D">
            <w:pPr>
              <w:tabs>
                <w:tab w:val="clear" w:pos="1134"/>
                <w:tab w:val="clear" w:pos="1871"/>
                <w:tab w:val="clear" w:pos="2268"/>
              </w:tabs>
              <w:overflowPunct/>
              <w:autoSpaceDE/>
              <w:autoSpaceDN/>
              <w:adjustRightInd/>
              <w:spacing w:before="0"/>
              <w:jc w:val="center"/>
              <w:textAlignment w:val="auto"/>
              <w:rPr>
                <w:sz w:val="20"/>
                <w:szCs w:val="22"/>
                <w:lang w:eastAsia="de-DE"/>
              </w:rPr>
            </w:pPr>
            <w:r w:rsidRPr="00631A64">
              <w:rPr>
                <w:sz w:val="20"/>
                <w:szCs w:val="22"/>
                <w:lang w:eastAsia="de-DE"/>
              </w:rPr>
              <w:t>3</w:t>
            </w:r>
            <w:r w:rsidRPr="00631A64">
              <w:rPr>
                <w:sz w:val="20"/>
                <w:szCs w:val="22"/>
                <w:vertAlign w:val="superscript"/>
                <w:lang w:eastAsia="de-DE"/>
              </w:rPr>
              <w:t>rd</w:t>
            </w:r>
          </w:p>
        </w:tc>
        <w:tc>
          <w:tcPr>
            <w:tcW w:w="3686" w:type="dxa"/>
          </w:tcPr>
          <w:p w14:paraId="1879E781" w14:textId="28FB7117" w:rsidR="00246FEE" w:rsidRPr="00631A64" w:rsidRDefault="004163F5" w:rsidP="007E314D">
            <w:pPr>
              <w:tabs>
                <w:tab w:val="clear" w:pos="1134"/>
                <w:tab w:val="clear" w:pos="1871"/>
                <w:tab w:val="clear" w:pos="2268"/>
              </w:tabs>
              <w:overflowPunct/>
              <w:autoSpaceDE/>
              <w:autoSpaceDN/>
              <w:adjustRightInd/>
              <w:spacing w:before="0"/>
              <w:jc w:val="center"/>
              <w:textAlignment w:val="auto"/>
              <w:rPr>
                <w:sz w:val="20"/>
                <w:szCs w:val="22"/>
                <w:lang w:eastAsia="de-DE"/>
              </w:rPr>
            </w:pPr>
            <w:r>
              <w:rPr>
                <w:sz w:val="20"/>
                <w:szCs w:val="22"/>
                <w:lang w:eastAsia="de-DE"/>
              </w:rPr>
              <w:t>7</w:t>
            </w:r>
            <w:r>
              <w:rPr>
                <w:rFonts w:hint="eastAsia"/>
                <w:sz w:val="20"/>
                <w:szCs w:val="22"/>
                <w:lang w:eastAsia="de-DE"/>
              </w:rPr>
              <w:t>年</w:t>
            </w:r>
          </w:p>
        </w:tc>
        <w:tc>
          <w:tcPr>
            <w:tcW w:w="2106" w:type="dxa"/>
          </w:tcPr>
          <w:p w14:paraId="17B2FE22" w14:textId="77777777" w:rsidR="00246FEE" w:rsidRPr="00631A64" w:rsidRDefault="00246FEE" w:rsidP="007E314D">
            <w:pPr>
              <w:tabs>
                <w:tab w:val="clear" w:pos="1134"/>
                <w:tab w:val="clear" w:pos="1871"/>
                <w:tab w:val="clear" w:pos="2268"/>
              </w:tabs>
              <w:overflowPunct/>
              <w:autoSpaceDE/>
              <w:autoSpaceDN/>
              <w:adjustRightInd/>
              <w:spacing w:before="0"/>
              <w:jc w:val="center"/>
              <w:textAlignment w:val="auto"/>
              <w:rPr>
                <w:sz w:val="20"/>
                <w:szCs w:val="22"/>
                <w:lang w:eastAsia="de-DE"/>
              </w:rPr>
            </w:pPr>
            <w:r w:rsidRPr="00631A64">
              <w:rPr>
                <w:sz w:val="20"/>
                <w:szCs w:val="22"/>
                <w:lang w:eastAsia="de-DE"/>
              </w:rPr>
              <w:t>100%</w:t>
            </w:r>
          </w:p>
        </w:tc>
      </w:tr>
    </w:tbl>
    <w:p w14:paraId="64E12321" w14:textId="77777777" w:rsidR="00C24BD9" w:rsidRDefault="00C24BD9" w:rsidP="00940A0A">
      <w:pPr>
        <w:rPr>
          <w:lang w:eastAsia="zh-CN"/>
        </w:rPr>
      </w:pPr>
    </w:p>
    <w:p w14:paraId="21292916" w14:textId="5B54F252" w:rsidR="00D14313" w:rsidRPr="00631A64" w:rsidRDefault="0094191E" w:rsidP="00D14313">
      <w:pPr>
        <w:pStyle w:val="Note"/>
        <w:rPr>
          <w:lang w:eastAsia="zh-CN"/>
        </w:rPr>
      </w:pPr>
      <w:r>
        <w:rPr>
          <w:rFonts w:hint="eastAsia"/>
          <w:lang w:eastAsia="zh-CN"/>
        </w:rPr>
        <w:t>注：</w:t>
      </w:r>
      <w:r w:rsidR="000B1022">
        <w:rPr>
          <w:rFonts w:hint="eastAsia"/>
          <w:lang w:eastAsia="zh-CN"/>
        </w:rPr>
        <w:t>在考虑</w:t>
      </w:r>
      <w:r w:rsidR="006D321C">
        <w:rPr>
          <w:rFonts w:hint="eastAsia"/>
          <w:lang w:eastAsia="zh-CN"/>
        </w:rPr>
        <w:t>上表里程碑范围和相关部署因素</w:t>
      </w:r>
      <w:r w:rsidR="000B1022" w:rsidRPr="000B1022">
        <w:rPr>
          <w:rFonts w:hint="eastAsia"/>
          <w:lang w:eastAsia="zh-CN"/>
        </w:rPr>
        <w:t>时，</w:t>
      </w:r>
      <w:r w:rsidR="006D321C" w:rsidRPr="000B1022">
        <w:rPr>
          <w:rFonts w:hint="eastAsia"/>
          <w:lang w:eastAsia="zh-CN"/>
        </w:rPr>
        <w:t>WRC-19</w:t>
      </w:r>
      <w:r w:rsidR="006D321C">
        <w:rPr>
          <w:rFonts w:hint="eastAsia"/>
          <w:lang w:eastAsia="zh-CN"/>
        </w:rPr>
        <w:t>大会可以考虑</w:t>
      </w:r>
      <w:r w:rsidR="00654073">
        <w:rPr>
          <w:rFonts w:hint="eastAsia"/>
          <w:lang w:eastAsia="zh-CN"/>
        </w:rPr>
        <w:t>给与</w:t>
      </w:r>
      <w:r w:rsidR="006D321C">
        <w:rPr>
          <w:rFonts w:hint="eastAsia"/>
          <w:lang w:eastAsia="zh-CN"/>
        </w:rPr>
        <w:t>non-GSO</w:t>
      </w:r>
      <w:r w:rsidR="006D321C">
        <w:rPr>
          <w:rFonts w:hint="eastAsia"/>
          <w:lang w:eastAsia="zh-CN"/>
        </w:rPr>
        <w:t>卫星操作者一定程度</w:t>
      </w:r>
      <w:r w:rsidR="00654073">
        <w:rPr>
          <w:rFonts w:hint="eastAsia"/>
          <w:lang w:eastAsia="zh-CN"/>
        </w:rPr>
        <w:t>的</w:t>
      </w:r>
      <w:r w:rsidR="00D64041">
        <w:rPr>
          <w:rFonts w:hint="eastAsia"/>
          <w:lang w:eastAsia="zh-CN"/>
        </w:rPr>
        <w:t>灵活性，如果他们未达到上述第</w:t>
      </w:r>
      <w:r w:rsidR="00D64041">
        <w:rPr>
          <w:rFonts w:hint="eastAsia"/>
          <w:lang w:eastAsia="zh-CN"/>
        </w:rPr>
        <w:t>1</w:t>
      </w:r>
      <w:r w:rsidR="00D64041">
        <w:rPr>
          <w:rFonts w:hint="eastAsia"/>
          <w:lang w:eastAsia="zh-CN"/>
        </w:rPr>
        <w:t>个</w:t>
      </w:r>
      <w:r w:rsidR="000B1022" w:rsidRPr="000B1022">
        <w:rPr>
          <w:rFonts w:hint="eastAsia"/>
          <w:lang w:eastAsia="zh-CN"/>
        </w:rPr>
        <w:t>或</w:t>
      </w:r>
      <w:r w:rsidR="00D64041">
        <w:rPr>
          <w:rFonts w:hint="eastAsia"/>
          <w:lang w:eastAsia="zh-CN"/>
        </w:rPr>
        <w:t>第</w:t>
      </w:r>
      <w:r w:rsidR="00D64041">
        <w:rPr>
          <w:rFonts w:hint="eastAsia"/>
          <w:lang w:eastAsia="zh-CN"/>
        </w:rPr>
        <w:t>2</w:t>
      </w:r>
      <w:r w:rsidR="00D64041">
        <w:rPr>
          <w:rFonts w:hint="eastAsia"/>
          <w:lang w:eastAsia="zh-CN"/>
        </w:rPr>
        <w:t>个</w:t>
      </w:r>
      <w:r w:rsidR="00654073">
        <w:rPr>
          <w:rFonts w:hint="eastAsia"/>
          <w:lang w:eastAsia="zh-CN"/>
        </w:rPr>
        <w:t>里程碑</w:t>
      </w:r>
      <w:r w:rsidR="00D64041">
        <w:rPr>
          <w:rFonts w:hint="eastAsia"/>
          <w:lang w:eastAsia="zh-CN"/>
        </w:rPr>
        <w:t>的百分比标准，</w:t>
      </w:r>
      <w:r w:rsidR="00D64041" w:rsidRPr="00D64041">
        <w:rPr>
          <w:rFonts w:hint="eastAsia"/>
          <w:lang w:eastAsia="zh-CN"/>
        </w:rPr>
        <w:t>则需要在随后的里程</w:t>
      </w:r>
      <w:r w:rsidR="00D64041">
        <w:rPr>
          <w:rFonts w:hint="eastAsia"/>
          <w:lang w:eastAsia="zh-CN"/>
        </w:rPr>
        <w:t>碑</w:t>
      </w:r>
      <w:r w:rsidR="00D64041" w:rsidRPr="00D64041">
        <w:rPr>
          <w:rFonts w:hint="eastAsia"/>
          <w:lang w:eastAsia="zh-CN"/>
        </w:rPr>
        <w:t>达到这些标准。</w:t>
      </w:r>
    </w:p>
    <w:p w14:paraId="4319ED9C" w14:textId="5E28AB00" w:rsidR="00D14313" w:rsidRPr="00B82BD5" w:rsidRDefault="00AD2274" w:rsidP="00D14313">
      <w:pPr>
        <w:pStyle w:val="Headingb"/>
        <w:rPr>
          <w:rFonts w:eastAsiaTheme="minorEastAsia"/>
          <w:lang w:val="en-US" w:eastAsia="zh-CN"/>
        </w:rPr>
      </w:pPr>
      <w:r>
        <w:rPr>
          <w:rFonts w:eastAsiaTheme="minorEastAsia" w:hint="eastAsia"/>
          <w:lang w:val="en-US" w:eastAsia="zh-CN"/>
        </w:rPr>
        <w:t>投入使用</w:t>
      </w:r>
      <w:r w:rsidR="004E65E0">
        <w:rPr>
          <w:rFonts w:eastAsiaTheme="minorEastAsia" w:hint="eastAsia"/>
          <w:lang w:val="en-US" w:eastAsia="zh-CN"/>
        </w:rPr>
        <w:t xml:space="preserve"> </w:t>
      </w:r>
      <w:r w:rsidR="004E65E0" w:rsidRPr="004E65E0">
        <w:rPr>
          <w:rFonts w:eastAsiaTheme="minorEastAsia"/>
          <w:lang w:val="en-US" w:eastAsia="zh-CN"/>
        </w:rPr>
        <w:t>–</w:t>
      </w:r>
      <w:r w:rsidR="004E65E0">
        <w:rPr>
          <w:rFonts w:eastAsiaTheme="minorEastAsia"/>
          <w:lang w:val="en-US" w:eastAsia="zh-CN"/>
        </w:rPr>
        <w:t xml:space="preserve"> </w:t>
      </w:r>
      <w:bookmarkStart w:id="7" w:name="_GoBack"/>
      <w:bookmarkEnd w:id="7"/>
      <w:r w:rsidR="00CE72B2">
        <w:rPr>
          <w:rFonts w:eastAsiaTheme="minorEastAsia" w:hint="eastAsia"/>
          <w:lang w:val="en-US" w:eastAsia="zh-CN"/>
        </w:rPr>
        <w:t>轨道</w:t>
      </w:r>
      <w:r w:rsidR="006D2846">
        <w:rPr>
          <w:rFonts w:eastAsiaTheme="minorEastAsia" w:hint="eastAsia"/>
          <w:lang w:val="en-US" w:eastAsia="zh-CN"/>
        </w:rPr>
        <w:t>参数</w:t>
      </w:r>
      <w:r w:rsidR="00D64041" w:rsidRPr="00D64041">
        <w:rPr>
          <w:rFonts w:eastAsiaTheme="minorEastAsia" w:hint="eastAsia"/>
          <w:lang w:val="en-US" w:eastAsia="zh-CN"/>
        </w:rPr>
        <w:t>值的容限</w:t>
      </w:r>
    </w:p>
    <w:p w14:paraId="6172AAAE" w14:textId="1130BA10" w:rsidR="00262FA8" w:rsidRPr="00C24BD9" w:rsidRDefault="00511A5A" w:rsidP="00C24BD9">
      <w:pPr>
        <w:ind w:firstLineChars="200" w:firstLine="480"/>
        <w:rPr>
          <w:rFonts w:ascii="Calibri" w:eastAsiaTheme="minorEastAsia" w:hAnsi="Calibri" w:cs="Mangal"/>
          <w:lang w:eastAsia="zh-CN"/>
        </w:rPr>
      </w:pPr>
      <w:r>
        <w:rPr>
          <w:rFonts w:hint="eastAsia"/>
          <w:szCs w:val="24"/>
          <w:lang w:val="en-US" w:eastAsia="zh-CN"/>
        </w:rPr>
        <w:t>越南不支持在这一阶段适用容限</w:t>
      </w:r>
      <w:r w:rsidR="00FD58C4">
        <w:rPr>
          <w:rFonts w:hint="eastAsia"/>
          <w:szCs w:val="24"/>
          <w:lang w:val="en-US" w:eastAsia="zh-CN"/>
        </w:rPr>
        <w:t>值</w:t>
      </w:r>
      <w:r>
        <w:rPr>
          <w:rFonts w:hint="eastAsia"/>
          <w:szCs w:val="24"/>
          <w:lang w:val="en-US" w:eastAsia="zh-CN"/>
        </w:rPr>
        <w:t>，因为</w:t>
      </w:r>
      <w:r w:rsidR="00246FEE" w:rsidRPr="002F5BAE">
        <w:rPr>
          <w:szCs w:val="24"/>
          <w:lang w:eastAsia="zh-CN"/>
        </w:rPr>
        <w:t>ITU-R</w:t>
      </w:r>
      <w:r w:rsidR="008E4EE8">
        <w:rPr>
          <w:rFonts w:hint="eastAsia"/>
          <w:szCs w:val="24"/>
          <w:lang w:eastAsia="zh-CN"/>
        </w:rPr>
        <w:t>在本研究期内未</w:t>
      </w:r>
      <w:r w:rsidR="00246FEE" w:rsidRPr="002F5BAE">
        <w:rPr>
          <w:rFonts w:hint="eastAsia"/>
          <w:szCs w:val="24"/>
          <w:lang w:eastAsia="zh-CN"/>
        </w:rPr>
        <w:t>制定</w:t>
      </w:r>
      <w:r w:rsidR="008E4EE8">
        <w:rPr>
          <w:rFonts w:hint="eastAsia"/>
          <w:szCs w:val="24"/>
          <w:lang w:eastAsia="zh-CN"/>
        </w:rPr>
        <w:t>任何技术基础，以确定通知轨道平面的特性与任何已部署空间电台相关</w:t>
      </w:r>
      <w:r w:rsidR="00246FEE" w:rsidRPr="002F5BAE">
        <w:rPr>
          <w:rFonts w:hint="eastAsia"/>
          <w:szCs w:val="24"/>
          <w:lang w:eastAsia="zh-CN"/>
        </w:rPr>
        <w:t>轨道平面特性之间可以容许多少偏差。</w:t>
      </w:r>
    </w:p>
    <w:p w14:paraId="070ABFD6" w14:textId="77777777" w:rsidR="00D14313" w:rsidRDefault="00262FA8" w:rsidP="00262FA8">
      <w:pPr>
        <w:rPr>
          <w:lang w:eastAsia="zh-CN"/>
        </w:rPr>
      </w:pPr>
      <w:r w:rsidRPr="00631A64">
        <w:rPr>
          <w:lang w:eastAsia="zh-CN"/>
        </w:rPr>
        <w:br w:type="page"/>
      </w:r>
    </w:p>
    <w:p w14:paraId="53ADD78B" w14:textId="1BF7EC4B" w:rsidR="00C24BD9" w:rsidRPr="00C24BD9" w:rsidRDefault="00C24BD9" w:rsidP="00C24BD9">
      <w:pPr>
        <w:pStyle w:val="Headingb"/>
        <w:rPr>
          <w:rFonts w:eastAsia="Malgun Gothic"/>
          <w:lang w:val="en-US" w:eastAsia="ko-KR"/>
        </w:rPr>
      </w:pPr>
      <w:r>
        <w:rPr>
          <w:rFonts w:eastAsiaTheme="minorEastAsia" w:hint="eastAsia"/>
          <w:lang w:val="en-US" w:eastAsia="ko-KR"/>
        </w:rPr>
        <w:lastRenderedPageBreak/>
        <w:t>提案</w:t>
      </w:r>
    </w:p>
    <w:p w14:paraId="426E3A6D" w14:textId="3DC8994C" w:rsidR="00852C48" w:rsidRDefault="00144C27">
      <w:pPr>
        <w:pStyle w:val="Proposal"/>
      </w:pPr>
      <w:r>
        <w:rPr>
          <w:lang w:eastAsia="zh-CN"/>
        </w:rPr>
        <w:tab/>
      </w:r>
      <w:r>
        <w:t>VTN/49A19A1/1</w:t>
      </w:r>
    </w:p>
    <w:p w14:paraId="18A1FC47" w14:textId="2813F941" w:rsidR="00D14313" w:rsidRPr="00B82BD5" w:rsidRDefault="00600A3F" w:rsidP="00D14313">
      <w:pPr>
        <w:pStyle w:val="Headingb"/>
        <w:rPr>
          <w:rFonts w:eastAsiaTheme="minorEastAsia"/>
          <w:lang w:val="en-US"/>
        </w:rPr>
      </w:pPr>
      <w:proofErr w:type="spellStart"/>
      <w:r>
        <w:rPr>
          <w:rFonts w:eastAsiaTheme="minorEastAsia" w:hint="eastAsia"/>
        </w:rPr>
        <w:t>基于里程碑的</w:t>
      </w:r>
      <w:r w:rsidRPr="0070252E">
        <w:rPr>
          <w:rFonts w:eastAsiaTheme="minorEastAsia" w:hint="eastAsia"/>
        </w:rPr>
        <w:t>方法</w:t>
      </w:r>
      <w:proofErr w:type="spellEnd"/>
    </w:p>
    <w:p w14:paraId="1957E5F8" w14:textId="77777777" w:rsidR="00D14313" w:rsidRPr="00631A64" w:rsidRDefault="00D14313" w:rsidP="00D14313">
      <w:pPr>
        <w:rPr>
          <w:rFonts w:eastAsiaTheme="minorEastAsia"/>
        </w:rPr>
      </w:pPr>
    </w:p>
    <w:tbl>
      <w:tblPr>
        <w:tblStyle w:val="ECCTable-redheader"/>
        <w:tblW w:w="7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686"/>
        <w:gridCol w:w="2106"/>
      </w:tblGrid>
      <w:tr w:rsidR="000C4A0A" w:rsidRPr="00631A64" w14:paraId="0AE77085" w14:textId="77777777" w:rsidTr="00C24BD9">
        <w:trPr>
          <w:cnfStyle w:val="100000000000" w:firstRow="1" w:lastRow="0" w:firstColumn="0" w:lastColumn="0" w:oddVBand="0" w:evenVBand="0" w:oddHBand="0" w:evenHBand="0" w:firstRowFirstColumn="0" w:firstRowLastColumn="0" w:lastRowFirstColumn="0" w:lastRowLastColumn="0"/>
        </w:trPr>
        <w:tc>
          <w:tcPr>
            <w:tcW w:w="1669"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5C1E1B15" w14:textId="1E502B48" w:rsidR="000C4A0A" w:rsidRPr="00631A64" w:rsidRDefault="000C4A0A" w:rsidP="00B82BD5">
            <w:pPr>
              <w:tabs>
                <w:tab w:val="clear" w:pos="1134"/>
                <w:tab w:val="clear" w:pos="1871"/>
                <w:tab w:val="clear" w:pos="2268"/>
              </w:tabs>
              <w:overflowPunct/>
              <w:autoSpaceDE/>
              <w:autoSpaceDN/>
              <w:adjustRightInd/>
              <w:spacing w:before="240"/>
              <w:textAlignment w:val="auto"/>
              <w:rPr>
                <w:bCs/>
                <w:color w:val="000000" w:themeColor="text1"/>
                <w:sz w:val="20"/>
                <w:lang w:eastAsia="de-DE"/>
              </w:rPr>
            </w:pPr>
            <w:r>
              <w:rPr>
                <w:rFonts w:hint="eastAsia"/>
                <w:bCs/>
                <w:color w:val="000000" w:themeColor="text1"/>
                <w:sz w:val="20"/>
                <w:lang w:eastAsia="de-DE"/>
              </w:rPr>
              <w:t>里程碑</w:t>
            </w:r>
          </w:p>
        </w:tc>
        <w:tc>
          <w:tcPr>
            <w:tcW w:w="368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010EC2FA" w14:textId="77777777" w:rsidR="000C4A0A" w:rsidRPr="00631A64" w:rsidRDefault="000C4A0A" w:rsidP="005A4794">
            <w:pPr>
              <w:tabs>
                <w:tab w:val="clear" w:pos="1134"/>
                <w:tab w:val="clear" w:pos="1871"/>
                <w:tab w:val="clear" w:pos="2268"/>
              </w:tabs>
              <w:overflowPunct/>
              <w:autoSpaceDE/>
              <w:autoSpaceDN/>
              <w:adjustRightInd/>
              <w:spacing w:before="240"/>
              <w:textAlignment w:val="auto"/>
              <w:rPr>
                <w:bCs/>
                <w:color w:val="000000" w:themeColor="text1"/>
                <w:sz w:val="20"/>
                <w:lang w:eastAsia="de-DE"/>
              </w:rPr>
            </w:pPr>
            <w:r w:rsidRPr="004163F5">
              <w:rPr>
                <w:rFonts w:hint="eastAsia"/>
                <w:bCs/>
                <w:color w:val="000000" w:themeColor="text1"/>
                <w:sz w:val="20"/>
                <w:lang w:eastAsia="de-DE"/>
              </w:rPr>
              <w:t>里程碑时间</w:t>
            </w:r>
          </w:p>
          <w:p w14:paraId="030CDB40" w14:textId="2E5A98C2" w:rsidR="000C4A0A" w:rsidRPr="00631A64" w:rsidRDefault="000C4A0A" w:rsidP="00B82BD5">
            <w:pPr>
              <w:tabs>
                <w:tab w:val="clear" w:pos="1134"/>
                <w:tab w:val="clear" w:pos="1871"/>
                <w:tab w:val="clear" w:pos="2268"/>
              </w:tabs>
              <w:overflowPunct/>
              <w:autoSpaceDE/>
              <w:autoSpaceDN/>
              <w:adjustRightInd/>
              <w:spacing w:before="240"/>
              <w:textAlignment w:val="auto"/>
              <w:rPr>
                <w:bCs/>
                <w:color w:val="000000" w:themeColor="text1"/>
                <w:sz w:val="20"/>
                <w:lang w:eastAsia="de-DE"/>
              </w:rPr>
            </w:pPr>
            <w:r>
              <w:rPr>
                <w:rFonts w:hint="eastAsia"/>
                <w:bCs/>
                <w:color w:val="000000" w:themeColor="text1"/>
                <w:sz w:val="20"/>
                <w:lang w:eastAsia="de-DE"/>
              </w:rPr>
              <w:t>（七</w:t>
            </w:r>
            <w:r w:rsidRPr="005A0506">
              <w:rPr>
                <w:rFonts w:hint="eastAsia"/>
                <w:bCs/>
                <w:color w:val="000000" w:themeColor="text1"/>
                <w:sz w:val="20"/>
                <w:lang w:eastAsia="de-DE"/>
              </w:rPr>
              <w:t>年规则期限结束后或</w:t>
            </w:r>
            <w:r w:rsidRPr="005A0506">
              <w:rPr>
                <w:rFonts w:hint="eastAsia"/>
                <w:bCs/>
                <w:color w:val="000000" w:themeColor="text1"/>
                <w:sz w:val="20"/>
                <w:lang w:eastAsia="de-DE"/>
              </w:rPr>
              <w:t>2021</w:t>
            </w:r>
            <w:r w:rsidRPr="005A0506">
              <w:rPr>
                <w:rFonts w:hint="eastAsia"/>
                <w:bCs/>
                <w:color w:val="000000" w:themeColor="text1"/>
                <w:sz w:val="20"/>
                <w:lang w:eastAsia="de-DE"/>
              </w:rPr>
              <w:t>年</w:t>
            </w:r>
            <w:r w:rsidRPr="005A0506">
              <w:rPr>
                <w:rFonts w:hint="eastAsia"/>
                <w:bCs/>
                <w:color w:val="000000" w:themeColor="text1"/>
                <w:sz w:val="20"/>
                <w:lang w:eastAsia="de-DE"/>
              </w:rPr>
              <w:t>1</w:t>
            </w:r>
            <w:r w:rsidRPr="005A0506">
              <w:rPr>
                <w:rFonts w:hint="eastAsia"/>
                <w:bCs/>
                <w:color w:val="000000" w:themeColor="text1"/>
                <w:sz w:val="20"/>
                <w:lang w:eastAsia="de-DE"/>
              </w:rPr>
              <w:t>月</w:t>
            </w:r>
            <w:r w:rsidRPr="005A0506">
              <w:rPr>
                <w:rFonts w:hint="eastAsia"/>
                <w:bCs/>
                <w:color w:val="000000" w:themeColor="text1"/>
                <w:sz w:val="20"/>
                <w:lang w:eastAsia="de-DE"/>
              </w:rPr>
              <w:t>1</w:t>
            </w:r>
            <w:r w:rsidRPr="005A0506">
              <w:rPr>
                <w:rFonts w:hint="eastAsia"/>
                <w:bCs/>
                <w:color w:val="000000" w:themeColor="text1"/>
                <w:sz w:val="20"/>
                <w:lang w:eastAsia="de-DE"/>
              </w:rPr>
              <w:t>日之后的年数，以较迟者为准</w:t>
            </w:r>
            <w:r>
              <w:rPr>
                <w:rFonts w:hint="eastAsia"/>
                <w:bCs/>
                <w:color w:val="000000" w:themeColor="text1"/>
                <w:sz w:val="20"/>
                <w:lang w:eastAsia="de-DE"/>
              </w:rPr>
              <w:t>）</w:t>
            </w:r>
          </w:p>
        </w:tc>
        <w:tc>
          <w:tcPr>
            <w:tcW w:w="210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1F43E651" w14:textId="60A400E2" w:rsidR="000C4A0A" w:rsidRPr="00631A64" w:rsidRDefault="000C4A0A" w:rsidP="00B82BD5">
            <w:pPr>
              <w:tabs>
                <w:tab w:val="clear" w:pos="1134"/>
                <w:tab w:val="clear" w:pos="1871"/>
                <w:tab w:val="clear" w:pos="2268"/>
              </w:tabs>
              <w:overflowPunct/>
              <w:autoSpaceDE/>
              <w:autoSpaceDN/>
              <w:adjustRightInd/>
              <w:spacing w:before="240"/>
              <w:textAlignment w:val="auto"/>
              <w:rPr>
                <w:bCs/>
                <w:color w:val="000000" w:themeColor="text1"/>
                <w:sz w:val="20"/>
                <w:lang w:eastAsia="de-DE"/>
              </w:rPr>
            </w:pPr>
            <w:r w:rsidRPr="00E847E9">
              <w:rPr>
                <w:rFonts w:hint="eastAsia"/>
                <w:bCs/>
                <w:color w:val="000000" w:themeColor="text1"/>
                <w:sz w:val="20"/>
                <w:lang w:eastAsia="de-DE"/>
              </w:rPr>
              <w:t>满足里程碑最小卫星部署百分比</w:t>
            </w:r>
          </w:p>
        </w:tc>
      </w:tr>
      <w:tr w:rsidR="000C4A0A" w:rsidRPr="00631A64" w14:paraId="5120149A" w14:textId="77777777" w:rsidTr="00B82BD5">
        <w:trPr>
          <w:trHeight w:val="75"/>
        </w:trPr>
        <w:tc>
          <w:tcPr>
            <w:tcW w:w="1669" w:type="dxa"/>
          </w:tcPr>
          <w:p w14:paraId="6BD4668C" w14:textId="77777777" w:rsidR="000C4A0A" w:rsidRPr="00631A64" w:rsidRDefault="000C4A0A" w:rsidP="00B82BD5">
            <w:pPr>
              <w:tabs>
                <w:tab w:val="clear" w:pos="1134"/>
                <w:tab w:val="clear" w:pos="1871"/>
                <w:tab w:val="clear" w:pos="2268"/>
              </w:tabs>
              <w:overflowPunct/>
              <w:autoSpaceDE/>
              <w:autoSpaceDN/>
              <w:adjustRightInd/>
              <w:spacing w:before="0"/>
              <w:jc w:val="center"/>
              <w:textAlignment w:val="auto"/>
              <w:rPr>
                <w:sz w:val="20"/>
                <w:szCs w:val="22"/>
              </w:rPr>
            </w:pPr>
            <w:r w:rsidRPr="00631A64">
              <w:rPr>
                <w:sz w:val="20"/>
                <w:szCs w:val="22"/>
              </w:rPr>
              <w:t>1</w:t>
            </w:r>
            <w:r w:rsidRPr="00631A64">
              <w:rPr>
                <w:sz w:val="20"/>
                <w:szCs w:val="22"/>
                <w:vertAlign w:val="superscript"/>
              </w:rPr>
              <w:t>st</w:t>
            </w:r>
          </w:p>
        </w:tc>
        <w:tc>
          <w:tcPr>
            <w:tcW w:w="3686" w:type="dxa"/>
          </w:tcPr>
          <w:p w14:paraId="4E6EE698" w14:textId="1EDA0515" w:rsidR="000C4A0A" w:rsidRPr="00631A64" w:rsidRDefault="000C4A0A" w:rsidP="00B82BD5">
            <w:pPr>
              <w:tabs>
                <w:tab w:val="clear" w:pos="1134"/>
                <w:tab w:val="clear" w:pos="1871"/>
                <w:tab w:val="clear" w:pos="2268"/>
              </w:tabs>
              <w:overflowPunct/>
              <w:autoSpaceDE/>
              <w:autoSpaceDN/>
              <w:adjustRightInd/>
              <w:spacing w:before="0"/>
              <w:jc w:val="center"/>
              <w:textAlignment w:val="auto"/>
              <w:rPr>
                <w:sz w:val="20"/>
                <w:szCs w:val="22"/>
              </w:rPr>
            </w:pPr>
            <w:r>
              <w:rPr>
                <w:sz w:val="20"/>
                <w:szCs w:val="22"/>
                <w:lang w:eastAsia="de-DE"/>
              </w:rPr>
              <w:t>2</w:t>
            </w:r>
            <w:r>
              <w:rPr>
                <w:rFonts w:hint="eastAsia"/>
                <w:sz w:val="20"/>
                <w:szCs w:val="22"/>
                <w:lang w:eastAsia="de-DE"/>
              </w:rPr>
              <w:t>年</w:t>
            </w:r>
          </w:p>
        </w:tc>
        <w:tc>
          <w:tcPr>
            <w:tcW w:w="2106" w:type="dxa"/>
          </w:tcPr>
          <w:p w14:paraId="0F91380D" w14:textId="77777777" w:rsidR="000C4A0A" w:rsidRPr="00631A64" w:rsidRDefault="000C4A0A" w:rsidP="00B82BD5">
            <w:pPr>
              <w:tabs>
                <w:tab w:val="clear" w:pos="1134"/>
                <w:tab w:val="clear" w:pos="1871"/>
                <w:tab w:val="clear" w:pos="2268"/>
              </w:tabs>
              <w:overflowPunct/>
              <w:autoSpaceDE/>
              <w:autoSpaceDN/>
              <w:adjustRightInd/>
              <w:spacing w:before="0"/>
              <w:jc w:val="center"/>
              <w:textAlignment w:val="auto"/>
              <w:rPr>
                <w:sz w:val="20"/>
                <w:szCs w:val="22"/>
              </w:rPr>
            </w:pPr>
            <w:r w:rsidRPr="00631A64">
              <w:rPr>
                <w:sz w:val="20"/>
                <w:szCs w:val="22"/>
              </w:rPr>
              <w:t>10%</w:t>
            </w:r>
          </w:p>
        </w:tc>
      </w:tr>
      <w:tr w:rsidR="000C4A0A" w:rsidRPr="00631A64" w14:paraId="2074E6AB" w14:textId="77777777" w:rsidTr="00B82BD5">
        <w:trPr>
          <w:trHeight w:val="75"/>
        </w:trPr>
        <w:tc>
          <w:tcPr>
            <w:tcW w:w="1669" w:type="dxa"/>
          </w:tcPr>
          <w:p w14:paraId="56C33588" w14:textId="77777777" w:rsidR="000C4A0A" w:rsidRPr="00631A64" w:rsidRDefault="000C4A0A" w:rsidP="00B82BD5">
            <w:pPr>
              <w:tabs>
                <w:tab w:val="clear" w:pos="1134"/>
                <w:tab w:val="clear" w:pos="1871"/>
                <w:tab w:val="clear" w:pos="2268"/>
              </w:tabs>
              <w:overflowPunct/>
              <w:autoSpaceDE/>
              <w:autoSpaceDN/>
              <w:adjustRightInd/>
              <w:spacing w:before="0"/>
              <w:jc w:val="center"/>
              <w:textAlignment w:val="auto"/>
              <w:rPr>
                <w:sz w:val="20"/>
                <w:szCs w:val="22"/>
              </w:rPr>
            </w:pPr>
            <w:r w:rsidRPr="00631A64">
              <w:rPr>
                <w:sz w:val="20"/>
                <w:szCs w:val="22"/>
              </w:rPr>
              <w:t>2</w:t>
            </w:r>
            <w:r w:rsidRPr="00631A64">
              <w:rPr>
                <w:sz w:val="20"/>
                <w:szCs w:val="22"/>
                <w:vertAlign w:val="superscript"/>
              </w:rPr>
              <w:t>nd</w:t>
            </w:r>
          </w:p>
        </w:tc>
        <w:tc>
          <w:tcPr>
            <w:tcW w:w="3686" w:type="dxa"/>
          </w:tcPr>
          <w:p w14:paraId="19E9773A" w14:textId="36E71CF4" w:rsidR="000C4A0A" w:rsidRPr="00631A64" w:rsidRDefault="000C4A0A" w:rsidP="00B82BD5">
            <w:pPr>
              <w:tabs>
                <w:tab w:val="clear" w:pos="1134"/>
                <w:tab w:val="clear" w:pos="1871"/>
                <w:tab w:val="clear" w:pos="2268"/>
              </w:tabs>
              <w:overflowPunct/>
              <w:autoSpaceDE/>
              <w:autoSpaceDN/>
              <w:adjustRightInd/>
              <w:spacing w:before="0"/>
              <w:jc w:val="center"/>
              <w:textAlignment w:val="auto"/>
              <w:rPr>
                <w:sz w:val="20"/>
                <w:szCs w:val="22"/>
              </w:rPr>
            </w:pPr>
            <w:r>
              <w:rPr>
                <w:sz w:val="20"/>
                <w:szCs w:val="22"/>
                <w:lang w:eastAsia="de-DE"/>
              </w:rPr>
              <w:t>4</w:t>
            </w:r>
            <w:r>
              <w:rPr>
                <w:rFonts w:hint="eastAsia"/>
                <w:sz w:val="20"/>
                <w:szCs w:val="22"/>
                <w:lang w:eastAsia="de-DE"/>
              </w:rPr>
              <w:t>年</w:t>
            </w:r>
          </w:p>
        </w:tc>
        <w:tc>
          <w:tcPr>
            <w:tcW w:w="2106" w:type="dxa"/>
          </w:tcPr>
          <w:p w14:paraId="2C8FB73A" w14:textId="77777777" w:rsidR="000C4A0A" w:rsidRPr="00631A64" w:rsidRDefault="000C4A0A" w:rsidP="00B82BD5">
            <w:pPr>
              <w:tabs>
                <w:tab w:val="clear" w:pos="1134"/>
                <w:tab w:val="clear" w:pos="1871"/>
                <w:tab w:val="clear" w:pos="2268"/>
              </w:tabs>
              <w:overflowPunct/>
              <w:autoSpaceDE/>
              <w:autoSpaceDN/>
              <w:adjustRightInd/>
              <w:spacing w:before="0"/>
              <w:jc w:val="center"/>
              <w:textAlignment w:val="auto"/>
              <w:rPr>
                <w:sz w:val="20"/>
                <w:szCs w:val="22"/>
              </w:rPr>
            </w:pPr>
            <w:r w:rsidRPr="00631A64">
              <w:rPr>
                <w:sz w:val="20"/>
                <w:szCs w:val="22"/>
              </w:rPr>
              <w:t>40%</w:t>
            </w:r>
          </w:p>
        </w:tc>
      </w:tr>
      <w:tr w:rsidR="000C4A0A" w:rsidRPr="00631A64" w14:paraId="72E0100C" w14:textId="77777777" w:rsidTr="00B82BD5">
        <w:trPr>
          <w:trHeight w:val="75"/>
        </w:trPr>
        <w:tc>
          <w:tcPr>
            <w:tcW w:w="1669" w:type="dxa"/>
          </w:tcPr>
          <w:p w14:paraId="3FC1E33F" w14:textId="77777777" w:rsidR="000C4A0A" w:rsidRPr="00631A64" w:rsidRDefault="000C4A0A" w:rsidP="00B82BD5">
            <w:pPr>
              <w:tabs>
                <w:tab w:val="clear" w:pos="1134"/>
                <w:tab w:val="clear" w:pos="1871"/>
                <w:tab w:val="clear" w:pos="2268"/>
              </w:tabs>
              <w:overflowPunct/>
              <w:autoSpaceDE/>
              <w:autoSpaceDN/>
              <w:adjustRightInd/>
              <w:spacing w:before="0"/>
              <w:jc w:val="center"/>
              <w:textAlignment w:val="auto"/>
              <w:rPr>
                <w:sz w:val="20"/>
                <w:szCs w:val="22"/>
              </w:rPr>
            </w:pPr>
            <w:r w:rsidRPr="00631A64">
              <w:rPr>
                <w:sz w:val="20"/>
                <w:szCs w:val="22"/>
              </w:rPr>
              <w:t>3</w:t>
            </w:r>
            <w:r w:rsidRPr="00631A64">
              <w:rPr>
                <w:sz w:val="20"/>
                <w:szCs w:val="22"/>
                <w:vertAlign w:val="superscript"/>
              </w:rPr>
              <w:t>rd</w:t>
            </w:r>
          </w:p>
        </w:tc>
        <w:tc>
          <w:tcPr>
            <w:tcW w:w="3686" w:type="dxa"/>
          </w:tcPr>
          <w:p w14:paraId="0C37B96A" w14:textId="6CF34C44" w:rsidR="000C4A0A" w:rsidRPr="00631A64" w:rsidRDefault="000C4A0A" w:rsidP="00B82BD5">
            <w:pPr>
              <w:tabs>
                <w:tab w:val="clear" w:pos="1134"/>
                <w:tab w:val="clear" w:pos="1871"/>
                <w:tab w:val="clear" w:pos="2268"/>
              </w:tabs>
              <w:overflowPunct/>
              <w:autoSpaceDE/>
              <w:autoSpaceDN/>
              <w:adjustRightInd/>
              <w:spacing w:before="0"/>
              <w:jc w:val="center"/>
              <w:textAlignment w:val="auto"/>
              <w:rPr>
                <w:sz w:val="20"/>
                <w:szCs w:val="22"/>
              </w:rPr>
            </w:pPr>
            <w:r>
              <w:rPr>
                <w:sz w:val="20"/>
                <w:szCs w:val="22"/>
                <w:lang w:eastAsia="de-DE"/>
              </w:rPr>
              <w:t>7</w:t>
            </w:r>
            <w:r>
              <w:rPr>
                <w:rFonts w:hint="eastAsia"/>
                <w:sz w:val="20"/>
                <w:szCs w:val="22"/>
                <w:lang w:eastAsia="de-DE"/>
              </w:rPr>
              <w:t>年</w:t>
            </w:r>
          </w:p>
        </w:tc>
        <w:tc>
          <w:tcPr>
            <w:tcW w:w="2106" w:type="dxa"/>
          </w:tcPr>
          <w:p w14:paraId="50D0BC99" w14:textId="77777777" w:rsidR="000C4A0A" w:rsidRPr="00631A64" w:rsidRDefault="000C4A0A" w:rsidP="00B82BD5">
            <w:pPr>
              <w:tabs>
                <w:tab w:val="clear" w:pos="1134"/>
                <w:tab w:val="clear" w:pos="1871"/>
                <w:tab w:val="clear" w:pos="2268"/>
              </w:tabs>
              <w:overflowPunct/>
              <w:autoSpaceDE/>
              <w:autoSpaceDN/>
              <w:adjustRightInd/>
              <w:spacing w:before="0"/>
              <w:jc w:val="center"/>
              <w:textAlignment w:val="auto"/>
              <w:rPr>
                <w:sz w:val="20"/>
                <w:szCs w:val="22"/>
              </w:rPr>
            </w:pPr>
            <w:r w:rsidRPr="00631A64">
              <w:rPr>
                <w:sz w:val="20"/>
                <w:szCs w:val="22"/>
              </w:rPr>
              <w:t>100%</w:t>
            </w:r>
          </w:p>
        </w:tc>
      </w:tr>
    </w:tbl>
    <w:p w14:paraId="2D4DEBAB" w14:textId="036AC08E" w:rsidR="00D14313" w:rsidRDefault="00D14313" w:rsidP="00AD31C1">
      <w:pPr>
        <w:pStyle w:val="Note"/>
      </w:pPr>
    </w:p>
    <w:p w14:paraId="1F380AA2" w14:textId="069BE74F" w:rsidR="00503D1B" w:rsidRPr="00631A64" w:rsidRDefault="00503D1B" w:rsidP="00503D1B">
      <w:pPr>
        <w:pStyle w:val="Note"/>
        <w:rPr>
          <w:lang w:eastAsia="zh-CN"/>
        </w:rPr>
      </w:pPr>
      <w:r>
        <w:rPr>
          <w:rFonts w:hint="eastAsia"/>
          <w:lang w:eastAsia="zh-CN"/>
        </w:rPr>
        <w:t>注：在考虑上表里程碑范围和相关部署因素</w:t>
      </w:r>
      <w:r w:rsidRPr="000B1022">
        <w:rPr>
          <w:rFonts w:hint="eastAsia"/>
          <w:lang w:eastAsia="zh-CN"/>
        </w:rPr>
        <w:t>时，</w:t>
      </w:r>
      <w:r w:rsidRPr="000B1022">
        <w:rPr>
          <w:rFonts w:hint="eastAsia"/>
          <w:lang w:eastAsia="zh-CN"/>
        </w:rPr>
        <w:t>WRC-19</w:t>
      </w:r>
      <w:r>
        <w:rPr>
          <w:rFonts w:hint="eastAsia"/>
          <w:lang w:eastAsia="zh-CN"/>
        </w:rPr>
        <w:t>大会可以考虑给与</w:t>
      </w:r>
      <w:r>
        <w:rPr>
          <w:rFonts w:hint="eastAsia"/>
          <w:lang w:eastAsia="zh-CN"/>
        </w:rPr>
        <w:t>non-GSO</w:t>
      </w:r>
      <w:r>
        <w:rPr>
          <w:rFonts w:hint="eastAsia"/>
          <w:lang w:eastAsia="zh-CN"/>
        </w:rPr>
        <w:t>卫星操作者一定程度的灵活性，如果他们未达到上述第</w:t>
      </w:r>
      <w:r>
        <w:rPr>
          <w:rFonts w:hint="eastAsia"/>
          <w:lang w:eastAsia="zh-CN"/>
        </w:rPr>
        <w:t>1</w:t>
      </w:r>
      <w:r>
        <w:rPr>
          <w:rFonts w:hint="eastAsia"/>
          <w:lang w:eastAsia="zh-CN"/>
        </w:rPr>
        <w:t>个</w:t>
      </w:r>
      <w:r w:rsidRPr="000B1022">
        <w:rPr>
          <w:rFonts w:hint="eastAsia"/>
          <w:lang w:eastAsia="zh-CN"/>
        </w:rPr>
        <w:t>或</w:t>
      </w:r>
      <w:r>
        <w:rPr>
          <w:rFonts w:hint="eastAsia"/>
          <w:lang w:eastAsia="zh-CN"/>
        </w:rPr>
        <w:t>第</w:t>
      </w:r>
      <w:r>
        <w:rPr>
          <w:rFonts w:hint="eastAsia"/>
          <w:lang w:eastAsia="zh-CN"/>
        </w:rPr>
        <w:t>2</w:t>
      </w:r>
      <w:r>
        <w:rPr>
          <w:rFonts w:hint="eastAsia"/>
          <w:lang w:eastAsia="zh-CN"/>
        </w:rPr>
        <w:t>个里程碑的百分比标准，</w:t>
      </w:r>
      <w:r w:rsidRPr="00D64041">
        <w:rPr>
          <w:rFonts w:hint="eastAsia"/>
          <w:lang w:eastAsia="zh-CN"/>
        </w:rPr>
        <w:t>则需要在随后的里程</w:t>
      </w:r>
      <w:r>
        <w:rPr>
          <w:rFonts w:hint="eastAsia"/>
          <w:lang w:eastAsia="zh-CN"/>
        </w:rPr>
        <w:t>碑</w:t>
      </w:r>
      <w:r w:rsidRPr="00D64041">
        <w:rPr>
          <w:rFonts w:hint="eastAsia"/>
          <w:lang w:eastAsia="zh-CN"/>
        </w:rPr>
        <w:t>达到这些标准。</w:t>
      </w:r>
    </w:p>
    <w:p w14:paraId="2156C375" w14:textId="4DAFAC8F" w:rsidR="00144C27" w:rsidRDefault="00144C27" w:rsidP="00411C49">
      <w:pPr>
        <w:pStyle w:val="Reasons"/>
        <w:rPr>
          <w:lang w:eastAsia="zh-CN"/>
        </w:rPr>
      </w:pPr>
      <w:r>
        <w:rPr>
          <w:b/>
          <w:lang w:eastAsia="zh-CN"/>
        </w:rPr>
        <w:t>理由：</w:t>
      </w:r>
      <w:r>
        <w:rPr>
          <w:lang w:eastAsia="zh-CN"/>
        </w:rPr>
        <w:tab/>
      </w:r>
      <w:r w:rsidR="006D2846">
        <w:rPr>
          <w:rFonts w:eastAsiaTheme="minorEastAsia" w:hint="eastAsia"/>
          <w:lang w:eastAsia="zh-CN"/>
        </w:rPr>
        <w:t>以满足</w:t>
      </w:r>
      <w:r w:rsidR="006D2846">
        <w:rPr>
          <w:rFonts w:eastAsiaTheme="minorEastAsia" w:hint="eastAsia"/>
          <w:lang w:eastAsia="zh-CN"/>
        </w:rPr>
        <w:t>WRC-19</w:t>
      </w:r>
      <w:r w:rsidR="006D2846">
        <w:rPr>
          <w:rFonts w:eastAsiaTheme="minorEastAsia" w:hint="eastAsia"/>
          <w:lang w:eastAsia="zh-CN"/>
        </w:rPr>
        <w:t>议项</w:t>
      </w:r>
      <w:r w:rsidR="006D2846">
        <w:rPr>
          <w:rFonts w:eastAsiaTheme="minorEastAsia" w:hint="eastAsia"/>
          <w:lang w:eastAsia="zh-CN"/>
        </w:rPr>
        <w:t>7</w:t>
      </w:r>
      <w:r w:rsidR="006D2846">
        <w:rPr>
          <w:rFonts w:eastAsiaTheme="minorEastAsia" w:hint="eastAsia"/>
          <w:lang w:eastAsia="zh-CN"/>
        </w:rPr>
        <w:t>问题</w:t>
      </w:r>
      <w:r w:rsidR="006D2846">
        <w:rPr>
          <w:rFonts w:eastAsiaTheme="minorEastAsia" w:hint="eastAsia"/>
          <w:lang w:eastAsia="zh-CN"/>
        </w:rPr>
        <w:t>A</w:t>
      </w:r>
      <w:r w:rsidR="006D2846">
        <w:rPr>
          <w:rFonts w:eastAsiaTheme="minorEastAsia" w:hint="eastAsia"/>
          <w:lang w:eastAsia="zh-CN"/>
        </w:rPr>
        <w:t>。</w:t>
      </w:r>
    </w:p>
    <w:p w14:paraId="692ECD97" w14:textId="77777777" w:rsidR="00C24BD9" w:rsidRDefault="00C24BD9" w:rsidP="00C24BD9">
      <w:pPr>
        <w:jc w:val="center"/>
      </w:pPr>
      <w:r>
        <w:t>______________</w:t>
      </w:r>
    </w:p>
    <w:p w14:paraId="4391F5F1" w14:textId="77777777" w:rsidR="00C24BD9" w:rsidRDefault="00C24BD9" w:rsidP="00C24BD9"/>
    <w:sectPr w:rsidR="00C24BD9">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DB2E8" w14:textId="77777777" w:rsidR="004D3F1F" w:rsidRDefault="004D3F1F">
      <w:r>
        <w:separator/>
      </w:r>
    </w:p>
  </w:endnote>
  <w:endnote w:type="continuationSeparator" w:id="0">
    <w:p w14:paraId="0FB54F1A" w14:textId="77777777" w:rsidR="004D3F1F" w:rsidRDefault="004D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93385" w14:textId="2F9F6B64"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2257D4">
      <w:rPr>
        <w:lang w:val="en-US"/>
      </w:rPr>
      <w:t>P:\CHI\ITU-R\CONF-R\CMR19\000\049ADD19ADD01C.docx</w:t>
    </w:r>
    <w:r>
      <w:fldChar w:fldCharType="end"/>
    </w:r>
    <w:r w:rsidR="002257D4">
      <w:rPr>
        <w:rFonts w:hint="eastAsia"/>
        <w:lang w:eastAsia="zh-CN"/>
      </w:rPr>
      <w:t>(</w:t>
    </w:r>
    <w:r w:rsidR="00246FEE">
      <w:rPr>
        <w:rFonts w:hint="eastAsia"/>
        <w:lang w:eastAsia="zh-CN"/>
      </w:rPr>
      <w:t>462057</w:t>
    </w:r>
    <w:r w:rsidR="002257D4">
      <w:rPr>
        <w:rFonts w:hint="eastAsia"/>
        <w:lang w:eastAsia="zh-CN"/>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9F45" w14:textId="54379496" w:rsidR="00B851D4" w:rsidRPr="00246FEE" w:rsidRDefault="00B851D4" w:rsidP="003B6399">
    <w:pPr>
      <w:pStyle w:val="Footer"/>
      <w:rPr>
        <w:lang w:eastAsia="zh-CN"/>
      </w:rPr>
    </w:pPr>
    <w:r>
      <w:fldChar w:fldCharType="begin"/>
    </w:r>
    <w:r w:rsidRPr="00DA0469">
      <w:rPr>
        <w:lang w:val="en-US"/>
      </w:rPr>
      <w:instrText xml:space="preserve"> FILENAME \p \* MERGEFORMAT </w:instrText>
    </w:r>
    <w:r>
      <w:fldChar w:fldCharType="separate"/>
    </w:r>
    <w:r w:rsidR="002257D4">
      <w:rPr>
        <w:lang w:val="en-US"/>
      </w:rPr>
      <w:t>P:\CHI\ITU-R\CONF-R\CMR19\000\049ADD19ADD01C.docx</w:t>
    </w:r>
    <w:r>
      <w:fldChar w:fldCharType="end"/>
    </w:r>
    <w:r w:rsidR="002257D4">
      <w:rPr>
        <w:rFonts w:hint="eastAsia"/>
        <w:lang w:eastAsia="zh-CN"/>
      </w:rPr>
      <w:t>(</w:t>
    </w:r>
    <w:r w:rsidR="00246FEE">
      <w:rPr>
        <w:rFonts w:hint="eastAsia"/>
        <w:lang w:eastAsia="zh-CN"/>
      </w:rPr>
      <w:t>462057</w:t>
    </w:r>
    <w:r w:rsidR="002257D4">
      <w:rPr>
        <w:rFonts w:hint="eastAsia"/>
        <w:lang w:eastAsia="zh-C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E56A9" w14:textId="77777777" w:rsidR="004D3F1F" w:rsidRDefault="004D3F1F">
      <w:r>
        <w:t>____________________</w:t>
      </w:r>
    </w:p>
  </w:footnote>
  <w:footnote w:type="continuationSeparator" w:id="0">
    <w:p w14:paraId="19ACEDA4" w14:textId="77777777" w:rsidR="004D3F1F" w:rsidRDefault="004D3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405C2"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D31C1">
      <w:rPr>
        <w:rStyle w:val="PageNumber"/>
        <w:noProof/>
      </w:rPr>
      <w:t>3</w:t>
    </w:r>
    <w:r>
      <w:rPr>
        <w:rStyle w:val="PageNumber"/>
      </w:rPr>
      <w:fldChar w:fldCharType="end"/>
    </w:r>
  </w:p>
  <w:p w14:paraId="459DB7C5"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49(Add.19)(Add.1)-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US" w:vendorID="64" w:dllVersion="0" w:nlCheck="1" w:checkStyle="0"/>
  <w:activeWritingStyle w:appName="MSWord" w:lang="zh-CN" w:vendorID="64" w:dllVersion="0" w:nlCheck="1" w:checkStyle="1"/>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ja-JP" w:vendorID="64" w:dllVersion="0" w:nlCheck="1" w:checkStyle="1"/>
  <w:activeWritingStyle w:appName="MSWord" w:lang="de-DE"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0411"/>
    <w:rsid w:val="000264C2"/>
    <w:rsid w:val="000273B7"/>
    <w:rsid w:val="00037C90"/>
    <w:rsid w:val="00060B2F"/>
    <w:rsid w:val="000A3B75"/>
    <w:rsid w:val="000B1022"/>
    <w:rsid w:val="000C0212"/>
    <w:rsid w:val="000C09BA"/>
    <w:rsid w:val="000C1F1E"/>
    <w:rsid w:val="000C4A0A"/>
    <w:rsid w:val="000C6AA7"/>
    <w:rsid w:val="000E26F6"/>
    <w:rsid w:val="000F67DD"/>
    <w:rsid w:val="00106535"/>
    <w:rsid w:val="00123C07"/>
    <w:rsid w:val="00144C27"/>
    <w:rsid w:val="00166859"/>
    <w:rsid w:val="001765EC"/>
    <w:rsid w:val="001853E8"/>
    <w:rsid w:val="001A4E73"/>
    <w:rsid w:val="001B6360"/>
    <w:rsid w:val="001F4EA6"/>
    <w:rsid w:val="00214959"/>
    <w:rsid w:val="0022272C"/>
    <w:rsid w:val="002257D4"/>
    <w:rsid w:val="002260A6"/>
    <w:rsid w:val="0023592E"/>
    <w:rsid w:val="00246FEE"/>
    <w:rsid w:val="00262FA8"/>
    <w:rsid w:val="002742B3"/>
    <w:rsid w:val="002A4C9C"/>
    <w:rsid w:val="002B509B"/>
    <w:rsid w:val="002B54F7"/>
    <w:rsid w:val="002B55FE"/>
    <w:rsid w:val="002E2A59"/>
    <w:rsid w:val="002E4507"/>
    <w:rsid w:val="002F76ED"/>
    <w:rsid w:val="00305254"/>
    <w:rsid w:val="003169D2"/>
    <w:rsid w:val="00330EEF"/>
    <w:rsid w:val="00380EE2"/>
    <w:rsid w:val="003B4BEF"/>
    <w:rsid w:val="003B6399"/>
    <w:rsid w:val="003C04A2"/>
    <w:rsid w:val="003C6B45"/>
    <w:rsid w:val="003E48E2"/>
    <w:rsid w:val="003E5931"/>
    <w:rsid w:val="003F0020"/>
    <w:rsid w:val="0041282E"/>
    <w:rsid w:val="004163F5"/>
    <w:rsid w:val="00437869"/>
    <w:rsid w:val="004637C7"/>
    <w:rsid w:val="00465A34"/>
    <w:rsid w:val="0048004F"/>
    <w:rsid w:val="004B1CD7"/>
    <w:rsid w:val="004B4C76"/>
    <w:rsid w:val="004B5229"/>
    <w:rsid w:val="004C4554"/>
    <w:rsid w:val="004D2493"/>
    <w:rsid w:val="004D2DEC"/>
    <w:rsid w:val="004D3F1F"/>
    <w:rsid w:val="004E65E0"/>
    <w:rsid w:val="004F2BE6"/>
    <w:rsid w:val="00503D1B"/>
    <w:rsid w:val="00511A5A"/>
    <w:rsid w:val="00527E8A"/>
    <w:rsid w:val="00542E85"/>
    <w:rsid w:val="00561A4B"/>
    <w:rsid w:val="00562479"/>
    <w:rsid w:val="005762EE"/>
    <w:rsid w:val="00576849"/>
    <w:rsid w:val="005A0506"/>
    <w:rsid w:val="005A0ACB"/>
    <w:rsid w:val="005E08D2"/>
    <w:rsid w:val="005E4ED0"/>
    <w:rsid w:val="005E7FD8"/>
    <w:rsid w:val="00600A3F"/>
    <w:rsid w:val="00622560"/>
    <w:rsid w:val="00644391"/>
    <w:rsid w:val="00647712"/>
    <w:rsid w:val="00654073"/>
    <w:rsid w:val="00662E12"/>
    <w:rsid w:val="00673FEF"/>
    <w:rsid w:val="00691142"/>
    <w:rsid w:val="006A338A"/>
    <w:rsid w:val="006B67CE"/>
    <w:rsid w:val="006C38ED"/>
    <w:rsid w:val="006D2846"/>
    <w:rsid w:val="006D321C"/>
    <w:rsid w:val="006E6182"/>
    <w:rsid w:val="006E6997"/>
    <w:rsid w:val="006F3C60"/>
    <w:rsid w:val="0070252E"/>
    <w:rsid w:val="00736415"/>
    <w:rsid w:val="00770977"/>
    <w:rsid w:val="00770D2A"/>
    <w:rsid w:val="007864F6"/>
    <w:rsid w:val="007B7C4B"/>
    <w:rsid w:val="007F0FC5"/>
    <w:rsid w:val="007F5C36"/>
    <w:rsid w:val="008047DB"/>
    <w:rsid w:val="00810D7E"/>
    <w:rsid w:val="008129A9"/>
    <w:rsid w:val="008221A4"/>
    <w:rsid w:val="00824BD6"/>
    <w:rsid w:val="0083672D"/>
    <w:rsid w:val="00844734"/>
    <w:rsid w:val="00852C48"/>
    <w:rsid w:val="00856574"/>
    <w:rsid w:val="00865DFB"/>
    <w:rsid w:val="00896A79"/>
    <w:rsid w:val="008A7416"/>
    <w:rsid w:val="008B6852"/>
    <w:rsid w:val="008C26FF"/>
    <w:rsid w:val="008D1D14"/>
    <w:rsid w:val="008D6D9C"/>
    <w:rsid w:val="008E1785"/>
    <w:rsid w:val="008E4EE8"/>
    <w:rsid w:val="008E7127"/>
    <w:rsid w:val="008E7C8E"/>
    <w:rsid w:val="0091277A"/>
    <w:rsid w:val="00912959"/>
    <w:rsid w:val="00940A0A"/>
    <w:rsid w:val="0094191E"/>
    <w:rsid w:val="009657F9"/>
    <w:rsid w:val="0099525B"/>
    <w:rsid w:val="009C72B7"/>
    <w:rsid w:val="00A0052C"/>
    <w:rsid w:val="00A31B14"/>
    <w:rsid w:val="00A323DC"/>
    <w:rsid w:val="00A466E6"/>
    <w:rsid w:val="00A815BE"/>
    <w:rsid w:val="00A93295"/>
    <w:rsid w:val="00AA5DA1"/>
    <w:rsid w:val="00AC2C94"/>
    <w:rsid w:val="00AD2274"/>
    <w:rsid w:val="00AD31C1"/>
    <w:rsid w:val="00AE369F"/>
    <w:rsid w:val="00B026CB"/>
    <w:rsid w:val="00B50377"/>
    <w:rsid w:val="00B6115E"/>
    <w:rsid w:val="00B711CC"/>
    <w:rsid w:val="00B851D4"/>
    <w:rsid w:val="00B868FC"/>
    <w:rsid w:val="00B95072"/>
    <w:rsid w:val="00BB26CD"/>
    <w:rsid w:val="00C07239"/>
    <w:rsid w:val="00C24BD9"/>
    <w:rsid w:val="00C364B1"/>
    <w:rsid w:val="00C47D87"/>
    <w:rsid w:val="00C627F9"/>
    <w:rsid w:val="00C6584D"/>
    <w:rsid w:val="00C929E0"/>
    <w:rsid w:val="00CB4E5A"/>
    <w:rsid w:val="00CC73D7"/>
    <w:rsid w:val="00CE72B2"/>
    <w:rsid w:val="00CF0AD7"/>
    <w:rsid w:val="00CF0BE1"/>
    <w:rsid w:val="00CF7C2B"/>
    <w:rsid w:val="00D14313"/>
    <w:rsid w:val="00D25609"/>
    <w:rsid w:val="00D52A14"/>
    <w:rsid w:val="00D5451C"/>
    <w:rsid w:val="00D6206A"/>
    <w:rsid w:val="00D64041"/>
    <w:rsid w:val="00D74599"/>
    <w:rsid w:val="00DA0469"/>
    <w:rsid w:val="00DD13B7"/>
    <w:rsid w:val="00DF3B0C"/>
    <w:rsid w:val="00E14984"/>
    <w:rsid w:val="00E22A25"/>
    <w:rsid w:val="00E560F1"/>
    <w:rsid w:val="00E66F9B"/>
    <w:rsid w:val="00E847E9"/>
    <w:rsid w:val="00E92319"/>
    <w:rsid w:val="00F837F4"/>
    <w:rsid w:val="00FC59C4"/>
    <w:rsid w:val="00FD58C4"/>
    <w:rsid w:val="00FE67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D2FD1"/>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paragraph" w:customStyle="1" w:styleId="VolumeTitle0">
    <w:name w:val="VolumeTitle"/>
    <w:basedOn w:val="Normal"/>
    <w:next w:val="Normal"/>
    <w:rsid w:val="007F3EFC"/>
    <w:pPr>
      <w:tabs>
        <w:tab w:val="clear" w:pos="1134"/>
        <w:tab w:val="clear" w:pos="1871"/>
        <w:tab w:val="clear" w:pos="2268"/>
      </w:tabs>
      <w:overflowPunct/>
      <w:autoSpaceDE/>
      <w:autoSpaceDN/>
      <w:adjustRightInd/>
      <w:spacing w:before="0" w:after="200" w:line="276" w:lineRule="auto"/>
      <w:jc w:val="center"/>
      <w:textAlignment w:val="auto"/>
    </w:pPr>
    <w:rPr>
      <w:rFonts w:asciiTheme="minorHAnsi" w:eastAsiaTheme="minorEastAsia" w:hAnsiTheme="minorHAnsi" w:cstheme="minorBidi"/>
      <w:b/>
      <w:bCs/>
      <w:sz w:val="32"/>
      <w:szCs w:val="32"/>
      <w:lang w:val="en-US" w:eastAsia="zh-CN"/>
    </w:rPr>
  </w:style>
  <w:style w:type="character" w:customStyle="1" w:styleId="BalloonTextChar">
    <w:name w:val="Balloon Text Char"/>
    <w:basedOn w:val="DefaultParagraphFont"/>
    <w:link w:val="BalloonText"/>
    <w:semiHidden/>
    <w:rsid w:val="00D14313"/>
    <w:rPr>
      <w:rFonts w:ascii="Tahoma" w:hAnsi="Tahoma" w:cs="Tahoma"/>
      <w:sz w:val="16"/>
      <w:szCs w:val="16"/>
      <w:lang w:val="en-GB" w:eastAsia="en-US"/>
    </w:rPr>
  </w:style>
  <w:style w:type="table" w:customStyle="1" w:styleId="ECCTable-redheader">
    <w:name w:val="ECC Table - red header"/>
    <w:basedOn w:val="TableNormal"/>
    <w:uiPriority w:val="99"/>
    <w:rsid w:val="00D14313"/>
    <w:pPr>
      <w:spacing w:before="60" w:after="60"/>
      <w:jc w:val="both"/>
    </w:pPr>
    <w:rPr>
      <w:rFonts w:ascii="Arial" w:eastAsia="Calibri" w:hAnsi="Arial"/>
      <w:lang w:val="de-DE" w:eastAsia="de-DE" w:bidi="fa-IR"/>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table" w:customStyle="1" w:styleId="ECCTable-redheader2">
    <w:name w:val="ECC Table - red header2"/>
    <w:basedOn w:val="TableNormal"/>
    <w:uiPriority w:val="99"/>
    <w:rsid w:val="00D14313"/>
    <w:pPr>
      <w:spacing w:before="60" w:after="60"/>
      <w:jc w:val="both"/>
    </w:pPr>
    <w:rPr>
      <w:rFonts w:ascii="Arial" w:eastAsia="Calibri" w:hAnsi="Arial"/>
      <w:lang w:val="de-DE" w:eastAsia="de-DE" w:bidi="fa-IR"/>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Autospacing="0" w:afterLines="0" w:afterAutospacing="0" w:line="240" w:lineRule="auto"/>
        <w:jc w:val="center"/>
      </w:pPr>
      <w:rPr>
        <w:b/>
        <w:i w:val="0"/>
        <w:color w:val="FFFFFF"/>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l2br w:val="nil"/>
          <w:tr2bl w:val="nil"/>
        </w:tcBorders>
        <w:shd w:val="clear" w:color="auto" w:fill="D22A23"/>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12188">
      <w:bodyDiv w:val="1"/>
      <w:marLeft w:val="0"/>
      <w:marRight w:val="0"/>
      <w:marTop w:val="0"/>
      <w:marBottom w:val="0"/>
      <w:divBdr>
        <w:top w:val="none" w:sz="0" w:space="0" w:color="auto"/>
        <w:left w:val="none" w:sz="0" w:space="0" w:color="auto"/>
        <w:bottom w:val="none" w:sz="0" w:space="0" w:color="auto"/>
        <w:right w:val="none" w:sz="0" w:space="0" w:color="auto"/>
      </w:divBdr>
    </w:div>
    <w:div w:id="214003827">
      <w:bodyDiv w:val="1"/>
      <w:marLeft w:val="0"/>
      <w:marRight w:val="0"/>
      <w:marTop w:val="0"/>
      <w:marBottom w:val="0"/>
      <w:divBdr>
        <w:top w:val="none" w:sz="0" w:space="0" w:color="auto"/>
        <w:left w:val="none" w:sz="0" w:space="0" w:color="auto"/>
        <w:bottom w:val="none" w:sz="0" w:space="0" w:color="auto"/>
        <w:right w:val="none" w:sz="0" w:space="0" w:color="auto"/>
      </w:divBdr>
    </w:div>
    <w:div w:id="309091956">
      <w:bodyDiv w:val="1"/>
      <w:marLeft w:val="0"/>
      <w:marRight w:val="0"/>
      <w:marTop w:val="0"/>
      <w:marBottom w:val="0"/>
      <w:divBdr>
        <w:top w:val="none" w:sz="0" w:space="0" w:color="auto"/>
        <w:left w:val="none" w:sz="0" w:space="0" w:color="auto"/>
        <w:bottom w:val="none" w:sz="0" w:space="0" w:color="auto"/>
        <w:right w:val="none" w:sz="0" w:space="0" w:color="auto"/>
      </w:divBdr>
    </w:div>
    <w:div w:id="338892705">
      <w:bodyDiv w:val="1"/>
      <w:marLeft w:val="0"/>
      <w:marRight w:val="0"/>
      <w:marTop w:val="0"/>
      <w:marBottom w:val="0"/>
      <w:divBdr>
        <w:top w:val="none" w:sz="0" w:space="0" w:color="auto"/>
        <w:left w:val="none" w:sz="0" w:space="0" w:color="auto"/>
        <w:bottom w:val="none" w:sz="0" w:space="0" w:color="auto"/>
        <w:right w:val="none" w:sz="0" w:space="0" w:color="auto"/>
      </w:divBdr>
    </w:div>
    <w:div w:id="420764206">
      <w:bodyDiv w:val="1"/>
      <w:marLeft w:val="0"/>
      <w:marRight w:val="0"/>
      <w:marTop w:val="0"/>
      <w:marBottom w:val="0"/>
      <w:divBdr>
        <w:top w:val="none" w:sz="0" w:space="0" w:color="auto"/>
        <w:left w:val="none" w:sz="0" w:space="0" w:color="auto"/>
        <w:bottom w:val="none" w:sz="0" w:space="0" w:color="auto"/>
        <w:right w:val="none" w:sz="0" w:space="0" w:color="auto"/>
      </w:divBdr>
    </w:div>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621305848">
      <w:bodyDiv w:val="1"/>
      <w:marLeft w:val="0"/>
      <w:marRight w:val="0"/>
      <w:marTop w:val="0"/>
      <w:marBottom w:val="0"/>
      <w:divBdr>
        <w:top w:val="none" w:sz="0" w:space="0" w:color="auto"/>
        <w:left w:val="none" w:sz="0" w:space="0" w:color="auto"/>
        <w:bottom w:val="none" w:sz="0" w:space="0" w:color="auto"/>
        <w:right w:val="none" w:sz="0" w:space="0" w:color="auto"/>
      </w:divBdr>
    </w:div>
    <w:div w:id="709649376">
      <w:bodyDiv w:val="1"/>
      <w:marLeft w:val="0"/>
      <w:marRight w:val="0"/>
      <w:marTop w:val="0"/>
      <w:marBottom w:val="0"/>
      <w:divBdr>
        <w:top w:val="none" w:sz="0" w:space="0" w:color="auto"/>
        <w:left w:val="none" w:sz="0" w:space="0" w:color="auto"/>
        <w:bottom w:val="none" w:sz="0" w:space="0" w:color="auto"/>
        <w:right w:val="none" w:sz="0" w:space="0" w:color="auto"/>
      </w:divBdr>
    </w:div>
    <w:div w:id="835655715">
      <w:bodyDiv w:val="1"/>
      <w:marLeft w:val="0"/>
      <w:marRight w:val="0"/>
      <w:marTop w:val="0"/>
      <w:marBottom w:val="0"/>
      <w:divBdr>
        <w:top w:val="none" w:sz="0" w:space="0" w:color="auto"/>
        <w:left w:val="none" w:sz="0" w:space="0" w:color="auto"/>
        <w:bottom w:val="none" w:sz="0" w:space="0" w:color="auto"/>
        <w:right w:val="none" w:sz="0" w:space="0" w:color="auto"/>
      </w:divBdr>
    </w:div>
    <w:div w:id="898590077">
      <w:bodyDiv w:val="1"/>
      <w:marLeft w:val="0"/>
      <w:marRight w:val="0"/>
      <w:marTop w:val="0"/>
      <w:marBottom w:val="0"/>
      <w:divBdr>
        <w:top w:val="none" w:sz="0" w:space="0" w:color="auto"/>
        <w:left w:val="none" w:sz="0" w:space="0" w:color="auto"/>
        <w:bottom w:val="none" w:sz="0" w:space="0" w:color="auto"/>
        <w:right w:val="none" w:sz="0" w:space="0" w:color="auto"/>
      </w:divBdr>
    </w:div>
    <w:div w:id="1420372957">
      <w:bodyDiv w:val="1"/>
      <w:marLeft w:val="0"/>
      <w:marRight w:val="0"/>
      <w:marTop w:val="0"/>
      <w:marBottom w:val="0"/>
      <w:divBdr>
        <w:top w:val="none" w:sz="0" w:space="0" w:color="auto"/>
        <w:left w:val="none" w:sz="0" w:space="0" w:color="auto"/>
        <w:bottom w:val="none" w:sz="0" w:space="0" w:color="auto"/>
        <w:right w:val="none" w:sz="0" w:space="0" w:color="auto"/>
      </w:divBdr>
    </w:div>
    <w:div w:id="1648970530">
      <w:bodyDiv w:val="1"/>
      <w:marLeft w:val="0"/>
      <w:marRight w:val="0"/>
      <w:marTop w:val="0"/>
      <w:marBottom w:val="0"/>
      <w:divBdr>
        <w:top w:val="none" w:sz="0" w:space="0" w:color="auto"/>
        <w:left w:val="none" w:sz="0" w:space="0" w:color="auto"/>
        <w:bottom w:val="none" w:sz="0" w:space="0" w:color="auto"/>
        <w:right w:val="none" w:sz="0" w:space="0" w:color="auto"/>
      </w:divBdr>
    </w:div>
    <w:div w:id="1875998515">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84a5c7d-34ec-48b6-8fa0-261ec4a5f368" targetNamespace="http://schemas.microsoft.com/office/2006/metadata/properties" ma:root="true" ma:fieldsID="d41af5c836d734370eb92e7ee5f83852" ns2:_="" ns3:_="">
    <xsd:import namespace="996b2e75-67fd-4955-a3b0-5ab9934cb50b"/>
    <xsd:import namespace="584a5c7d-34ec-48b6-8fa0-261ec4a5f36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84a5c7d-34ec-48b6-8fa0-261ec4a5f36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584a5c7d-34ec-48b6-8fa0-261ec4a5f368">DPM</DPM_x0020_Author>
    <DPM_x0020_File_x0020_name xmlns="584a5c7d-34ec-48b6-8fa0-261ec4a5f368">R16-WRC19-C-0049!A19-A1!MSW-C</DPM_x0020_File_x0020_name>
    <DPM_x0020_Version xmlns="584a5c7d-34ec-48b6-8fa0-261ec4a5f368">DPM_2019.10.01.01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84a5c7d-34ec-48b6-8fa0-261ec4a5f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584a5c7d-34ec-48b6-8fa0-261ec4a5f368"/>
  </ds:schemaRefs>
</ds:datastoreItem>
</file>

<file path=customXml/itemProps4.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830</Words>
  <Characters>289</Characters>
  <Application>Microsoft Office Word</Application>
  <DocSecurity>0</DocSecurity>
  <Lines>2</Lines>
  <Paragraphs>2</Paragraphs>
  <ScaleCrop>false</ScaleCrop>
  <HeadingPairs>
    <vt:vector size="2" baseType="variant">
      <vt:variant>
        <vt:lpstr>Title</vt:lpstr>
      </vt:variant>
      <vt:variant>
        <vt:i4>1</vt:i4>
      </vt:variant>
    </vt:vector>
  </HeadingPairs>
  <TitlesOfParts>
    <vt:vector size="1" baseType="lpstr">
      <vt:lpstr>R16-WRC19-C-0049!A19-A1!MSW-C</vt:lpstr>
    </vt:vector>
  </TitlesOfParts>
  <Manager>General Secretariat - Pool</Manager>
  <Company>International Telecommunication Union (ITU)</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R16-WRC19-C-0049!A19-A1!MSW-C</dc:title>
  <dc:subject>World Radiocommunication Conference - 2019</dc:subject>
  <dc:creator>Documents Proposals Manager (DPM)</dc:creator>
  <cp:keywords>DPM_v2019.10.8.1_prod</cp:keywords>
  <dc:description/>
  <cp:lastModifiedBy>Yuan, Tianxiang</cp:lastModifiedBy>
  <cp:revision>5</cp:revision>
  <cp:lastPrinted>2006-07-03T06:56:00Z</cp:lastPrinted>
  <dcterms:created xsi:type="dcterms:W3CDTF">2019-10-18T13:00:00Z</dcterms:created>
  <dcterms:modified xsi:type="dcterms:W3CDTF">2019-10-20T07:33:00Z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