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C1563" w14:paraId="393A53E6" w14:textId="77777777" w:rsidTr="00F83854">
        <w:trPr>
          <w:cantSplit/>
        </w:trPr>
        <w:tc>
          <w:tcPr>
            <w:tcW w:w="6911" w:type="dxa"/>
          </w:tcPr>
          <w:p w14:paraId="17A211DF" w14:textId="77777777" w:rsidR="00BB1D82" w:rsidRPr="00BC1563" w:rsidRDefault="00851625" w:rsidP="00AD50C0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BC1563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BC1563">
              <w:rPr>
                <w:rFonts w:ascii="Verdana" w:hAnsi="Verdana"/>
                <w:b/>
                <w:bCs/>
                <w:sz w:val="20"/>
              </w:rPr>
              <w:t>9</w:t>
            </w:r>
            <w:r w:rsidRPr="00BC1563">
              <w:rPr>
                <w:rFonts w:ascii="Verdana" w:hAnsi="Verdana"/>
                <w:b/>
                <w:bCs/>
                <w:sz w:val="20"/>
              </w:rPr>
              <w:t>)</w:t>
            </w:r>
            <w:r w:rsidRPr="00BC1563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BC1563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BC1563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BC1563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BC1563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BC156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C156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C1563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BC156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BC156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C156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C156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BC1563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BC156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3F945980" w14:textId="77777777" w:rsidR="00BB1D82" w:rsidRPr="00BC1563" w:rsidRDefault="000A55AE" w:rsidP="00AD50C0">
            <w:pPr>
              <w:spacing w:before="0"/>
              <w:jc w:val="right"/>
            </w:pPr>
            <w:r w:rsidRPr="00BC1563">
              <w:rPr>
                <w:rFonts w:ascii="Verdana" w:hAnsi="Verdana"/>
                <w:b/>
                <w:bCs/>
                <w:lang w:eastAsia="zh-CN"/>
              </w:rPr>
              <w:drawing>
                <wp:inline distT="0" distB="0" distL="0" distR="0" wp14:anchorId="1164C47B" wp14:editId="61D26BD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C1563" w14:paraId="70628CC0" w14:textId="77777777" w:rsidTr="00F8385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B17493" w14:textId="77777777" w:rsidR="00BB1D82" w:rsidRPr="00BC1563" w:rsidRDefault="00BB1D82" w:rsidP="00AD50C0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BD1F2F5" w14:textId="77777777" w:rsidR="00BB1D82" w:rsidRPr="00BC1563" w:rsidRDefault="00BB1D82" w:rsidP="00AD50C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BC1563" w14:paraId="48E8F5EF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FBE8363" w14:textId="77777777" w:rsidR="00BB1D82" w:rsidRPr="00BC1563" w:rsidRDefault="00BB1D82" w:rsidP="00AD50C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AC31428" w14:textId="77777777" w:rsidR="00BB1D82" w:rsidRPr="00BC1563" w:rsidRDefault="00BB1D82" w:rsidP="00AD50C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BC1563" w14:paraId="1B454970" w14:textId="77777777" w:rsidTr="00BB1D82">
        <w:trPr>
          <w:cantSplit/>
        </w:trPr>
        <w:tc>
          <w:tcPr>
            <w:tcW w:w="6911" w:type="dxa"/>
          </w:tcPr>
          <w:p w14:paraId="2C2F9C87" w14:textId="77777777" w:rsidR="00BB1D82" w:rsidRPr="00BC1563" w:rsidRDefault="006D4724" w:rsidP="00AD50C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1563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3994C48E" w14:textId="77777777" w:rsidR="00BB1D82" w:rsidRPr="00BC1563" w:rsidRDefault="006D4724" w:rsidP="00AD50C0">
            <w:pPr>
              <w:spacing w:before="0"/>
              <w:rPr>
                <w:rFonts w:ascii="Verdana" w:hAnsi="Verdana"/>
                <w:sz w:val="20"/>
              </w:rPr>
            </w:pPr>
            <w:r w:rsidRPr="00BC1563">
              <w:rPr>
                <w:rFonts w:ascii="Verdana" w:hAnsi="Verdana"/>
                <w:b/>
                <w:sz w:val="20"/>
              </w:rPr>
              <w:t>Addendum 16 au</w:t>
            </w:r>
            <w:r w:rsidRPr="00BC1563">
              <w:rPr>
                <w:rFonts w:ascii="Verdana" w:hAnsi="Verdana"/>
                <w:b/>
                <w:sz w:val="20"/>
              </w:rPr>
              <w:br/>
              <w:t>Document 47</w:t>
            </w:r>
            <w:r w:rsidR="00BB1D82" w:rsidRPr="00BC1563">
              <w:rPr>
                <w:rFonts w:ascii="Verdana" w:hAnsi="Verdana"/>
                <w:b/>
                <w:sz w:val="20"/>
              </w:rPr>
              <w:t>-</w:t>
            </w:r>
            <w:r w:rsidRPr="00BC1563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BC1563" w14:paraId="7E69EE48" w14:textId="77777777" w:rsidTr="00BB1D82">
        <w:trPr>
          <w:cantSplit/>
        </w:trPr>
        <w:tc>
          <w:tcPr>
            <w:tcW w:w="6911" w:type="dxa"/>
          </w:tcPr>
          <w:p w14:paraId="4C1F1CF6" w14:textId="77777777" w:rsidR="00690C7B" w:rsidRPr="00BC1563" w:rsidRDefault="00690C7B" w:rsidP="00AD50C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60A6E9F3" w14:textId="77777777" w:rsidR="00690C7B" w:rsidRPr="00BC1563" w:rsidRDefault="00690C7B" w:rsidP="00AD50C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1563">
              <w:rPr>
                <w:rFonts w:ascii="Verdana" w:hAnsi="Verdana"/>
                <w:b/>
                <w:sz w:val="20"/>
              </w:rPr>
              <w:t>7 octobre 2019</w:t>
            </w:r>
          </w:p>
        </w:tc>
      </w:tr>
      <w:tr w:rsidR="00690C7B" w:rsidRPr="00BC1563" w14:paraId="7BACB70B" w14:textId="77777777" w:rsidTr="00BB1D82">
        <w:trPr>
          <w:cantSplit/>
        </w:trPr>
        <w:tc>
          <w:tcPr>
            <w:tcW w:w="6911" w:type="dxa"/>
          </w:tcPr>
          <w:p w14:paraId="40E74CA6" w14:textId="77777777" w:rsidR="00690C7B" w:rsidRPr="00BC1563" w:rsidRDefault="00690C7B" w:rsidP="00AD50C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047445F7" w14:textId="77777777" w:rsidR="00690C7B" w:rsidRPr="00BC1563" w:rsidRDefault="00690C7B" w:rsidP="00AD50C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1563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BC1563" w14:paraId="43DB269A" w14:textId="77777777" w:rsidTr="00F83854">
        <w:trPr>
          <w:cantSplit/>
        </w:trPr>
        <w:tc>
          <w:tcPr>
            <w:tcW w:w="10031" w:type="dxa"/>
            <w:gridSpan w:val="2"/>
          </w:tcPr>
          <w:p w14:paraId="2BF7288B" w14:textId="77777777" w:rsidR="00690C7B" w:rsidRPr="00BC1563" w:rsidRDefault="00690C7B" w:rsidP="00AD50C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C1563" w14:paraId="3676D75C" w14:textId="77777777" w:rsidTr="00F83854">
        <w:trPr>
          <w:cantSplit/>
        </w:trPr>
        <w:tc>
          <w:tcPr>
            <w:tcW w:w="10031" w:type="dxa"/>
            <w:gridSpan w:val="2"/>
          </w:tcPr>
          <w:p w14:paraId="4964AE12" w14:textId="77777777" w:rsidR="00690C7B" w:rsidRPr="00BC1563" w:rsidRDefault="00690C7B" w:rsidP="00AD50C0">
            <w:pPr>
              <w:pStyle w:val="Source"/>
            </w:pPr>
            <w:bookmarkStart w:id="1" w:name="dsource" w:colFirst="0" w:colLast="0"/>
            <w:r w:rsidRPr="00BC1563">
              <w:t>Australie</w:t>
            </w:r>
          </w:p>
        </w:tc>
      </w:tr>
      <w:tr w:rsidR="00690C7B" w:rsidRPr="00BC1563" w14:paraId="4EF7996B" w14:textId="77777777" w:rsidTr="00F83854">
        <w:trPr>
          <w:cantSplit/>
        </w:trPr>
        <w:tc>
          <w:tcPr>
            <w:tcW w:w="10031" w:type="dxa"/>
            <w:gridSpan w:val="2"/>
          </w:tcPr>
          <w:p w14:paraId="0830B0B4" w14:textId="7794D942" w:rsidR="00690C7B" w:rsidRPr="00BC1563" w:rsidRDefault="00941ED6" w:rsidP="00AD50C0">
            <w:pPr>
              <w:pStyle w:val="Title1"/>
            </w:pPr>
            <w:bookmarkStart w:id="2" w:name="dtitle1" w:colFirst="0" w:colLast="0"/>
            <w:bookmarkEnd w:id="1"/>
            <w:r w:rsidRPr="00BC1563">
              <w:t>PROPOSITIONS POUR LES TRAVAUX DE LA CONFéRENCE</w:t>
            </w:r>
          </w:p>
        </w:tc>
      </w:tr>
      <w:tr w:rsidR="00690C7B" w:rsidRPr="00BC1563" w14:paraId="34099636" w14:textId="77777777" w:rsidTr="00F83854">
        <w:trPr>
          <w:cantSplit/>
        </w:trPr>
        <w:tc>
          <w:tcPr>
            <w:tcW w:w="10031" w:type="dxa"/>
            <w:gridSpan w:val="2"/>
          </w:tcPr>
          <w:p w14:paraId="0BC58846" w14:textId="77777777" w:rsidR="00690C7B" w:rsidRPr="00BC1563" w:rsidRDefault="00690C7B" w:rsidP="00962B87">
            <w:pPr>
              <w:pStyle w:val="Title2"/>
              <w:spacing w:before="240"/>
            </w:pPr>
            <w:bookmarkStart w:id="3" w:name="dtitle2" w:colFirst="0" w:colLast="0"/>
            <w:bookmarkEnd w:id="2"/>
          </w:p>
        </w:tc>
      </w:tr>
      <w:tr w:rsidR="00690C7B" w:rsidRPr="00BC1563" w14:paraId="6271FEF7" w14:textId="77777777" w:rsidTr="00F83854">
        <w:trPr>
          <w:cantSplit/>
        </w:trPr>
        <w:tc>
          <w:tcPr>
            <w:tcW w:w="10031" w:type="dxa"/>
            <w:gridSpan w:val="2"/>
          </w:tcPr>
          <w:p w14:paraId="6ED4529B" w14:textId="77777777" w:rsidR="00690C7B" w:rsidRPr="00BC1563" w:rsidRDefault="00690C7B" w:rsidP="00AD50C0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BC1563">
              <w:rPr>
                <w:lang w:val="fr-FR"/>
              </w:rPr>
              <w:t>Point 1.16 de l'ordre du jour</w:t>
            </w:r>
          </w:p>
        </w:tc>
      </w:tr>
    </w:tbl>
    <w:bookmarkEnd w:id="4"/>
    <w:p w14:paraId="4A4F30E8" w14:textId="27B98777" w:rsidR="00F83854" w:rsidRPr="00BC1563" w:rsidRDefault="0018459C" w:rsidP="00AD50C0">
      <w:r w:rsidRPr="00BC1563">
        <w:t>1.16</w:t>
      </w:r>
      <w:r w:rsidRPr="00BC1563">
        <w:tab/>
        <w:t>examiner les questions relatives aux systèmes d'accès hertzien, y compris les réseaux locaux hertziens (WAS/RLAN), dans les bandes de fréquences comprises entre 5 150 MHz et 5</w:t>
      </w:r>
      <w:r w:rsidR="005803C0" w:rsidRPr="00BC1563">
        <w:t> </w:t>
      </w:r>
      <w:r w:rsidRPr="00BC1563">
        <w:t>925</w:t>
      </w:r>
      <w:r w:rsidR="005803C0" w:rsidRPr="00BC1563">
        <w:t> </w:t>
      </w:r>
      <w:r w:rsidRPr="00BC1563">
        <w:t xml:space="preserve">MHz, et prendre les mesures réglementaires appropriées, y compris des attributions de fréquences additionnelles au service mobile, conformément à la Résolution </w:t>
      </w:r>
      <w:r w:rsidRPr="00BC1563">
        <w:rPr>
          <w:b/>
          <w:bCs/>
        </w:rPr>
        <w:t>239 (CMR-15)</w:t>
      </w:r>
      <w:r w:rsidRPr="00BC1563">
        <w:t>;</w:t>
      </w:r>
    </w:p>
    <w:p w14:paraId="48F71E3D" w14:textId="77777777" w:rsidR="00941ED6" w:rsidRPr="00BC1563" w:rsidRDefault="00941ED6" w:rsidP="00AD50C0">
      <w:pPr>
        <w:pStyle w:val="Heading1"/>
        <w:rPr>
          <w:rFonts w:eastAsia="BatangChe"/>
          <w:lang w:eastAsia="ko-KR"/>
        </w:rPr>
      </w:pPr>
      <w:r w:rsidRPr="00BC1563">
        <w:rPr>
          <w:rFonts w:eastAsia="BatangChe"/>
          <w:lang w:eastAsia="ko-KR"/>
        </w:rPr>
        <w:t>1</w:t>
      </w:r>
      <w:r w:rsidRPr="00BC1563">
        <w:rPr>
          <w:rFonts w:eastAsia="BatangChe"/>
          <w:lang w:eastAsia="ko-KR"/>
        </w:rPr>
        <w:tab/>
        <w:t>Introduction</w:t>
      </w:r>
    </w:p>
    <w:p w14:paraId="4B4FE739" w14:textId="65D8380C" w:rsidR="00941ED6" w:rsidRPr="00BC1563" w:rsidRDefault="000E1CE7" w:rsidP="00AD50C0">
      <w:pPr>
        <w:rPr>
          <w:rFonts w:eastAsia="Batang"/>
        </w:rPr>
      </w:pPr>
      <w:r w:rsidRPr="00BC1563">
        <w:rPr>
          <w:rFonts w:eastAsia="BatangChe"/>
        </w:rPr>
        <w:t>Ces quatre dernières années</w:t>
      </w:r>
      <w:r w:rsidR="00941ED6" w:rsidRPr="00BC1563">
        <w:rPr>
          <w:rFonts w:eastAsia="BatangChe"/>
        </w:rPr>
        <w:t xml:space="preserve">, </w:t>
      </w:r>
      <w:r w:rsidRPr="00BC1563">
        <w:rPr>
          <w:rFonts w:eastAsia="BatangChe"/>
        </w:rPr>
        <w:t xml:space="preserve">conformément à la </w:t>
      </w:r>
      <w:r w:rsidR="00941ED6" w:rsidRPr="00BC1563">
        <w:rPr>
          <w:rFonts w:eastAsia="BatangChe"/>
        </w:rPr>
        <w:t>R</w:t>
      </w:r>
      <w:r w:rsidRPr="00BC1563">
        <w:rPr>
          <w:rFonts w:eastAsia="BatangChe"/>
        </w:rPr>
        <w:t>é</w:t>
      </w:r>
      <w:r w:rsidR="00941ED6" w:rsidRPr="00BC1563">
        <w:rPr>
          <w:rFonts w:eastAsia="BatangChe"/>
        </w:rPr>
        <w:t xml:space="preserve">solution </w:t>
      </w:r>
      <w:r w:rsidR="00941ED6" w:rsidRPr="00BC1563">
        <w:rPr>
          <w:rFonts w:eastAsia="BatangChe"/>
          <w:b/>
        </w:rPr>
        <w:t>239 (C</w:t>
      </w:r>
      <w:r w:rsidRPr="00BC1563">
        <w:rPr>
          <w:rFonts w:eastAsia="BatangChe"/>
          <w:b/>
        </w:rPr>
        <w:t>MR</w:t>
      </w:r>
      <w:r w:rsidR="00941ED6" w:rsidRPr="00BC1563">
        <w:rPr>
          <w:rFonts w:eastAsia="BatangChe"/>
          <w:b/>
        </w:rPr>
        <w:t>-15)</w:t>
      </w:r>
      <w:r w:rsidR="00941ED6" w:rsidRPr="00BC1563">
        <w:rPr>
          <w:rFonts w:eastAsia="BatangChe"/>
        </w:rPr>
        <w:t xml:space="preserve">, </w:t>
      </w:r>
      <w:r w:rsidRPr="00BC1563">
        <w:rPr>
          <w:rFonts w:eastAsia="BatangChe"/>
        </w:rPr>
        <w:t>le Groupe de travail 5A (GT 5A) de l'UIT</w:t>
      </w:r>
      <w:r w:rsidR="00941ED6" w:rsidRPr="00BC1563">
        <w:rPr>
          <w:rFonts w:eastAsia="Batang"/>
        </w:rPr>
        <w:t xml:space="preserve">-R </w:t>
      </w:r>
      <w:r w:rsidRPr="00BC1563">
        <w:rPr>
          <w:rFonts w:eastAsia="Batang"/>
        </w:rPr>
        <w:t xml:space="preserve">a mené des études approfondies sur les aspects des réseaux </w:t>
      </w:r>
      <w:r w:rsidR="00941ED6" w:rsidRPr="00BC1563">
        <w:rPr>
          <w:rFonts w:eastAsia="Batang"/>
        </w:rPr>
        <w:t xml:space="preserve">WAS/RLAN </w:t>
      </w:r>
      <w:r w:rsidRPr="00BC1563">
        <w:rPr>
          <w:rFonts w:eastAsia="Batang"/>
        </w:rPr>
        <w:t xml:space="preserve">dans cinq bandes de fréquences </w:t>
      </w:r>
      <w:r w:rsidR="00941ED6" w:rsidRPr="00BC1563">
        <w:rPr>
          <w:rFonts w:eastAsia="Batang"/>
        </w:rPr>
        <w:t>(5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150</w:t>
      </w:r>
      <w:r w:rsidR="005803C0" w:rsidRPr="00BC1563">
        <w:rPr>
          <w:rFonts w:eastAsia="Batang"/>
        </w:rPr>
        <w:noBreakHyphen/>
      </w:r>
      <w:r w:rsidR="00941ED6" w:rsidRPr="00BC1563">
        <w:rPr>
          <w:rFonts w:eastAsia="Batang"/>
        </w:rPr>
        <w:t>5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250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MHz, 5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250</w:t>
      </w:r>
      <w:r w:rsidR="005803C0" w:rsidRPr="00BC1563">
        <w:rPr>
          <w:rFonts w:eastAsia="Batang"/>
        </w:rPr>
        <w:noBreakHyphen/>
      </w:r>
      <w:r w:rsidR="00941ED6" w:rsidRPr="00BC1563">
        <w:rPr>
          <w:rFonts w:eastAsia="Batang"/>
        </w:rPr>
        <w:t>5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350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MHz, 5 350</w:t>
      </w:r>
      <w:r w:rsidR="005803C0" w:rsidRPr="00BC1563">
        <w:rPr>
          <w:rFonts w:eastAsia="Batang"/>
        </w:rPr>
        <w:noBreakHyphen/>
      </w:r>
      <w:r w:rsidR="00941ED6" w:rsidRPr="00BC1563">
        <w:rPr>
          <w:rFonts w:eastAsia="Batang"/>
        </w:rPr>
        <w:t>5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470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MHz, 5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725</w:t>
      </w:r>
      <w:r w:rsidR="005803C0" w:rsidRPr="00BC1563">
        <w:rPr>
          <w:rFonts w:eastAsia="Batang"/>
        </w:rPr>
        <w:noBreakHyphen/>
      </w:r>
      <w:r w:rsidR="00941ED6" w:rsidRPr="00BC1563">
        <w:rPr>
          <w:rFonts w:eastAsia="Batang"/>
        </w:rPr>
        <w:t>5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850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 xml:space="preserve">MHz </w:t>
      </w:r>
      <w:r w:rsidRPr="00BC1563">
        <w:rPr>
          <w:rFonts w:eastAsia="Batang"/>
        </w:rPr>
        <w:t xml:space="preserve">et </w:t>
      </w:r>
      <w:r w:rsidR="00941ED6" w:rsidRPr="00BC1563">
        <w:rPr>
          <w:rFonts w:eastAsia="Batang"/>
        </w:rPr>
        <w:t>5 850</w:t>
      </w:r>
      <w:r w:rsidR="005803C0" w:rsidRPr="00BC1563">
        <w:rPr>
          <w:rFonts w:eastAsia="Batang"/>
        </w:rPr>
        <w:noBreakHyphen/>
      </w:r>
      <w:r w:rsidR="00941ED6" w:rsidRPr="00BC1563">
        <w:rPr>
          <w:rFonts w:eastAsia="Batang"/>
        </w:rPr>
        <w:t>5 925</w:t>
      </w:r>
      <w:r w:rsidR="005803C0" w:rsidRPr="00BC1563">
        <w:rPr>
          <w:rFonts w:eastAsia="Batang"/>
        </w:rPr>
        <w:t> </w:t>
      </w:r>
      <w:r w:rsidR="00941ED6" w:rsidRPr="00BC1563">
        <w:rPr>
          <w:rFonts w:eastAsia="Batang"/>
        </w:rPr>
        <w:t>MHz).</w:t>
      </w:r>
    </w:p>
    <w:p w14:paraId="5366401C" w14:textId="54D1BBA2" w:rsidR="00941ED6" w:rsidRPr="00BC1563" w:rsidRDefault="00011029" w:rsidP="00AD50C0">
      <w:pPr>
        <w:rPr>
          <w:rFonts w:eastAsia="BatangChe"/>
        </w:rPr>
      </w:pPr>
      <w:r w:rsidRPr="00BC1563">
        <w:rPr>
          <w:rFonts w:eastAsia="BatangChe"/>
        </w:rPr>
        <w:t>En plus de ces études de partage et de compatibilité,</w:t>
      </w:r>
      <w:r w:rsidR="00941ED6" w:rsidRPr="00BC1563">
        <w:rPr>
          <w:rFonts w:eastAsia="BatangChe"/>
        </w:rPr>
        <w:t xml:space="preserve"> </w:t>
      </w:r>
      <w:r w:rsidRPr="00BC1563">
        <w:rPr>
          <w:rFonts w:eastAsia="BatangChe"/>
        </w:rPr>
        <w:t xml:space="preserve">le GT 5A a examiné les caractéristiques techniques, les exigences opérationnelles et les </w:t>
      </w:r>
      <w:r w:rsidR="00282554" w:rsidRPr="00BC1563">
        <w:rPr>
          <w:rFonts w:eastAsia="BatangChe"/>
        </w:rPr>
        <w:t xml:space="preserve">éventuelles </w:t>
      </w:r>
      <w:r w:rsidRPr="00BC1563">
        <w:rPr>
          <w:rFonts w:eastAsia="BatangChe"/>
        </w:rPr>
        <w:t>techniques d</w:t>
      </w:r>
      <w:r w:rsidR="00A80069" w:rsidRPr="00BC1563">
        <w:rPr>
          <w:rFonts w:eastAsia="BatangChe"/>
        </w:rPr>
        <w:t xml:space="preserve">'atténuation des brouillages </w:t>
      </w:r>
      <w:r w:rsidR="00282554" w:rsidRPr="00BC1563">
        <w:rPr>
          <w:rFonts w:eastAsia="BatangChe"/>
        </w:rPr>
        <w:t>qui pourraient</w:t>
      </w:r>
      <w:r w:rsidRPr="00BC1563">
        <w:rPr>
          <w:rFonts w:eastAsia="BatangChe"/>
        </w:rPr>
        <w:t xml:space="preserve"> permettre d'utiliser les réseaux </w:t>
      </w:r>
      <w:r w:rsidR="00941ED6" w:rsidRPr="00BC1563">
        <w:rPr>
          <w:rFonts w:eastAsia="BatangChe"/>
        </w:rPr>
        <w:t xml:space="preserve">WAS/RLAN </w:t>
      </w:r>
      <w:r w:rsidRPr="00BC1563">
        <w:rPr>
          <w:rFonts w:eastAsia="BatangChe"/>
        </w:rPr>
        <w:t xml:space="preserve">dans certains segments de la bande de fréquences des </w:t>
      </w:r>
      <w:r w:rsidR="00941ED6" w:rsidRPr="00BC1563">
        <w:rPr>
          <w:rFonts w:eastAsia="BatangChe"/>
        </w:rPr>
        <w:t>5</w:t>
      </w:r>
      <w:r w:rsidR="005803C0" w:rsidRPr="00BC1563">
        <w:rPr>
          <w:rFonts w:eastAsia="BatangChe"/>
        </w:rPr>
        <w:t> </w:t>
      </w:r>
      <w:r w:rsidR="00941ED6" w:rsidRPr="00BC1563">
        <w:rPr>
          <w:rFonts w:eastAsia="BatangChe"/>
        </w:rPr>
        <w:t xml:space="preserve">GHz </w:t>
      </w:r>
      <w:r w:rsidRPr="00BC1563">
        <w:rPr>
          <w:rFonts w:eastAsia="BatangChe"/>
        </w:rPr>
        <w:t xml:space="preserve">et </w:t>
      </w:r>
      <w:r w:rsidR="00282554" w:rsidRPr="00BC1563">
        <w:rPr>
          <w:rFonts w:eastAsia="BatangChe"/>
        </w:rPr>
        <w:t>de</w:t>
      </w:r>
      <w:r w:rsidRPr="00BC1563">
        <w:rPr>
          <w:rFonts w:eastAsia="BatangChe"/>
        </w:rPr>
        <w:t xml:space="preserve"> protéger les services existants</w:t>
      </w:r>
      <w:r w:rsidR="00941ED6" w:rsidRPr="00BC1563">
        <w:rPr>
          <w:rFonts w:eastAsia="BatangChe"/>
        </w:rPr>
        <w:t xml:space="preserve">. </w:t>
      </w:r>
      <w:r w:rsidR="00BF2F8C" w:rsidRPr="00BC1563">
        <w:rPr>
          <w:rFonts w:eastAsia="BatangChe"/>
        </w:rPr>
        <w:t>Il a également étudié la possibilité d'exploiter ces réseaux en extérieur dans le segment</w:t>
      </w:r>
      <w:r w:rsidR="00941ED6" w:rsidRPr="00BC1563">
        <w:rPr>
          <w:rFonts w:eastAsia="BatangChe"/>
        </w:rPr>
        <w:t xml:space="preserve"> 5</w:t>
      </w:r>
      <w:r w:rsidR="005803C0" w:rsidRPr="00BC1563">
        <w:rPr>
          <w:rFonts w:eastAsia="BatangChe"/>
        </w:rPr>
        <w:t> </w:t>
      </w:r>
      <w:r w:rsidR="00941ED6" w:rsidRPr="00BC1563">
        <w:rPr>
          <w:rFonts w:eastAsia="BatangChe"/>
        </w:rPr>
        <w:t>150</w:t>
      </w:r>
      <w:r w:rsidR="005803C0" w:rsidRPr="00BC1563">
        <w:rPr>
          <w:rFonts w:eastAsia="BatangChe"/>
        </w:rPr>
        <w:noBreakHyphen/>
      </w:r>
      <w:r w:rsidR="00941ED6" w:rsidRPr="00BC1563">
        <w:rPr>
          <w:rFonts w:eastAsia="BatangChe"/>
        </w:rPr>
        <w:t>5 250</w:t>
      </w:r>
      <w:r w:rsidR="005803C0" w:rsidRPr="00BC1563">
        <w:rPr>
          <w:rFonts w:eastAsia="BatangChe"/>
        </w:rPr>
        <w:t> </w:t>
      </w:r>
      <w:r w:rsidR="00941ED6" w:rsidRPr="00BC1563">
        <w:rPr>
          <w:rFonts w:eastAsia="BatangChe"/>
        </w:rPr>
        <w:t xml:space="preserve">MHz </w:t>
      </w:r>
      <w:r w:rsidR="00BF2F8C" w:rsidRPr="00BC1563">
        <w:rPr>
          <w:rFonts w:eastAsia="BatangChe"/>
        </w:rPr>
        <w:t xml:space="preserve">et les limites </w:t>
      </w:r>
      <w:r w:rsidR="00282554" w:rsidRPr="00BC1563">
        <w:rPr>
          <w:rFonts w:eastAsia="BatangChe"/>
        </w:rPr>
        <w:t>de leur</w:t>
      </w:r>
      <w:r w:rsidR="00BF2F8C" w:rsidRPr="00BC1563">
        <w:rPr>
          <w:rFonts w:eastAsia="BatangChe"/>
        </w:rPr>
        <w:t xml:space="preserve"> exploitation en intérieur ou en extérieur dans le segment adjacent </w:t>
      </w:r>
      <w:r w:rsidR="00941ED6" w:rsidRPr="00BC1563">
        <w:rPr>
          <w:rFonts w:eastAsia="BatangChe"/>
        </w:rPr>
        <w:t>5</w:t>
      </w:r>
      <w:r w:rsidR="005803C0" w:rsidRPr="00BC1563">
        <w:rPr>
          <w:rFonts w:eastAsia="BatangChe"/>
        </w:rPr>
        <w:t> </w:t>
      </w:r>
      <w:r w:rsidR="00941ED6" w:rsidRPr="00BC1563">
        <w:rPr>
          <w:rFonts w:eastAsia="BatangChe"/>
        </w:rPr>
        <w:t>250</w:t>
      </w:r>
      <w:r w:rsidR="005803C0" w:rsidRPr="00BC1563">
        <w:rPr>
          <w:rFonts w:eastAsia="BatangChe"/>
        </w:rPr>
        <w:noBreakHyphen/>
      </w:r>
      <w:r w:rsidR="00941ED6" w:rsidRPr="00BC1563">
        <w:rPr>
          <w:rFonts w:eastAsia="BatangChe"/>
        </w:rPr>
        <w:t>5</w:t>
      </w:r>
      <w:r w:rsidR="005803C0" w:rsidRPr="00BC1563">
        <w:rPr>
          <w:rFonts w:eastAsia="BatangChe"/>
        </w:rPr>
        <w:t> </w:t>
      </w:r>
      <w:r w:rsidR="00941ED6" w:rsidRPr="00BC1563">
        <w:rPr>
          <w:rFonts w:eastAsia="BatangChe"/>
        </w:rPr>
        <w:t>350</w:t>
      </w:r>
      <w:r w:rsidR="005803C0" w:rsidRPr="00BC1563">
        <w:rPr>
          <w:rFonts w:eastAsia="BatangChe"/>
        </w:rPr>
        <w:t> </w:t>
      </w:r>
      <w:r w:rsidR="00941ED6" w:rsidRPr="00BC1563">
        <w:rPr>
          <w:rFonts w:eastAsia="BatangChe"/>
        </w:rPr>
        <w:t>MHz.</w:t>
      </w:r>
    </w:p>
    <w:p w14:paraId="14B65A2D" w14:textId="7DE30EE9" w:rsidR="00941ED6" w:rsidRPr="00BC1563" w:rsidRDefault="002D1067" w:rsidP="00AD50C0">
      <w:r w:rsidRPr="00BC1563">
        <w:rPr>
          <w:lang w:bidi="en-US"/>
        </w:rPr>
        <w:t xml:space="preserve">En Australie, </w:t>
      </w:r>
      <w:r w:rsidR="00BE4149" w:rsidRPr="00BC1563">
        <w:rPr>
          <w:lang w:bidi="en-US"/>
        </w:rPr>
        <w:t xml:space="preserve">cinq passerelles du service fixe par satellite autorisées à utiliser </w:t>
      </w:r>
      <w:r w:rsidRPr="00BC1563">
        <w:rPr>
          <w:lang w:bidi="en-US"/>
        </w:rPr>
        <w:t>la bande de fréquences</w:t>
      </w:r>
      <w:r w:rsidR="00941ED6" w:rsidRPr="00BC1563">
        <w:rPr>
          <w:lang w:bidi="en-US"/>
        </w:rPr>
        <w:t xml:space="preserve"> 5</w:t>
      </w:r>
      <w:r w:rsidR="005803C0" w:rsidRPr="00BC1563">
        <w:rPr>
          <w:lang w:bidi="en-US"/>
        </w:rPr>
        <w:t> </w:t>
      </w:r>
      <w:r w:rsidR="00941ED6" w:rsidRPr="00BC1563">
        <w:rPr>
          <w:lang w:bidi="en-US"/>
        </w:rPr>
        <w:t>150</w:t>
      </w:r>
      <w:r w:rsidR="005803C0" w:rsidRPr="00BC1563">
        <w:rPr>
          <w:lang w:bidi="en-US"/>
        </w:rPr>
        <w:noBreakHyphen/>
      </w:r>
      <w:r w:rsidR="00941ED6" w:rsidRPr="00BC1563">
        <w:rPr>
          <w:lang w:bidi="en-US"/>
        </w:rPr>
        <w:t>5</w:t>
      </w:r>
      <w:r w:rsidR="005803C0" w:rsidRPr="00BC1563">
        <w:rPr>
          <w:lang w:bidi="en-US"/>
        </w:rPr>
        <w:t> </w:t>
      </w:r>
      <w:r w:rsidR="00941ED6" w:rsidRPr="00BC1563">
        <w:rPr>
          <w:lang w:bidi="en-US"/>
        </w:rPr>
        <w:t>250</w:t>
      </w:r>
      <w:r w:rsidR="005803C0" w:rsidRPr="00BC1563">
        <w:rPr>
          <w:lang w:bidi="en-US"/>
        </w:rPr>
        <w:t> </w:t>
      </w:r>
      <w:r w:rsidR="00941ED6" w:rsidRPr="00BC1563">
        <w:rPr>
          <w:lang w:bidi="en-US"/>
        </w:rPr>
        <w:t xml:space="preserve">MHz </w:t>
      </w:r>
      <w:r w:rsidR="00A06138" w:rsidRPr="00BC1563">
        <w:rPr>
          <w:lang w:bidi="en-US"/>
        </w:rPr>
        <w:t xml:space="preserve">prennent en charge les </w:t>
      </w:r>
      <w:r w:rsidR="00BE4149" w:rsidRPr="00BC1563">
        <w:rPr>
          <w:lang w:bidi="en-US"/>
        </w:rPr>
        <w:t xml:space="preserve">systèmes non OSG du SMS </w:t>
      </w:r>
      <w:r w:rsidR="00941ED6" w:rsidRPr="00BC1563">
        <w:rPr>
          <w:i/>
          <w:lang w:bidi="en-US"/>
        </w:rPr>
        <w:t xml:space="preserve">Globalstar, Omnispace </w:t>
      </w:r>
      <w:r w:rsidR="00BE4149" w:rsidRPr="00BC1563">
        <w:rPr>
          <w:iCs/>
          <w:lang w:bidi="en-US"/>
        </w:rPr>
        <w:t>et</w:t>
      </w:r>
      <w:r w:rsidR="00941ED6" w:rsidRPr="00BC1563">
        <w:rPr>
          <w:i/>
          <w:lang w:bidi="en-US"/>
        </w:rPr>
        <w:t xml:space="preserve"> Sirion</w:t>
      </w:r>
      <w:r w:rsidR="00941ED6" w:rsidRPr="00BC1563">
        <w:rPr>
          <w:lang w:bidi="en-US"/>
        </w:rPr>
        <w:t xml:space="preserve">. </w:t>
      </w:r>
      <w:r w:rsidR="00BE4149" w:rsidRPr="00BC1563">
        <w:rPr>
          <w:lang w:bidi="en-US"/>
        </w:rPr>
        <w:t>Dans certains cas, les stations passerelles utilisent plusieurs liaisons de connexion Terre vers espace, ce qui permet d'accéder à de multiples satellites</w:t>
      </w:r>
      <w:r w:rsidR="00A06138" w:rsidRPr="00BC1563">
        <w:rPr>
          <w:lang w:bidi="en-US"/>
        </w:rPr>
        <w:t xml:space="preserve"> qui font partie</w:t>
      </w:r>
      <w:r w:rsidR="00BE4149" w:rsidRPr="00BC1563">
        <w:rPr>
          <w:lang w:bidi="en-US"/>
        </w:rPr>
        <w:t xml:space="preserve"> de ces systèmes</w:t>
      </w:r>
      <w:r w:rsidR="00941ED6" w:rsidRPr="00BC1563">
        <w:rPr>
          <w:lang w:bidi="en-US"/>
        </w:rPr>
        <w:t>.</w:t>
      </w:r>
    </w:p>
    <w:p w14:paraId="32AE2852" w14:textId="0ABFF815" w:rsidR="00941ED6" w:rsidRPr="00BC1563" w:rsidRDefault="00BE4149" w:rsidP="00AD50C0">
      <w:pPr>
        <w:rPr>
          <w:rFonts w:eastAsia="BatangChe"/>
        </w:rPr>
      </w:pPr>
      <w:r w:rsidRPr="00BC1563">
        <w:rPr>
          <w:rFonts w:eastAsia="BatangChe"/>
        </w:rPr>
        <w:t>En Australie, dans la bande de fréquences</w:t>
      </w:r>
      <w:r w:rsidR="00941ED6" w:rsidRPr="00BC1563">
        <w:rPr>
          <w:rFonts w:eastAsia="BatangChe"/>
        </w:rPr>
        <w:t xml:space="preserve"> 5</w:t>
      </w:r>
      <w:r w:rsidR="005803C0" w:rsidRPr="00BC1563">
        <w:rPr>
          <w:rFonts w:eastAsia="BatangChe"/>
        </w:rPr>
        <w:t> </w:t>
      </w:r>
      <w:r w:rsidR="00941ED6" w:rsidRPr="00BC1563">
        <w:rPr>
          <w:rFonts w:eastAsia="BatangChe"/>
        </w:rPr>
        <w:t>725</w:t>
      </w:r>
      <w:r w:rsidR="005803C0" w:rsidRPr="00BC1563">
        <w:rPr>
          <w:rFonts w:eastAsia="BatangChe"/>
        </w:rPr>
        <w:noBreakHyphen/>
      </w:r>
      <w:r w:rsidR="00941ED6" w:rsidRPr="00BC1563">
        <w:rPr>
          <w:rFonts w:eastAsia="BatangChe"/>
        </w:rPr>
        <w:t>5</w:t>
      </w:r>
      <w:r w:rsidR="005803C0" w:rsidRPr="00BC1563">
        <w:rPr>
          <w:rFonts w:eastAsia="BatangChe"/>
        </w:rPr>
        <w:t> </w:t>
      </w:r>
      <w:r w:rsidR="00941ED6" w:rsidRPr="00BC1563">
        <w:rPr>
          <w:rFonts w:eastAsia="BatangChe"/>
        </w:rPr>
        <w:t>850</w:t>
      </w:r>
      <w:r w:rsidR="005803C0" w:rsidRPr="00BC1563">
        <w:rPr>
          <w:rFonts w:eastAsia="BatangChe"/>
        </w:rPr>
        <w:t> </w:t>
      </w:r>
      <w:r w:rsidR="009F346E" w:rsidRPr="00BC1563">
        <w:rPr>
          <w:rFonts w:eastAsia="BatangChe"/>
        </w:rPr>
        <w:t>MHz</w:t>
      </w:r>
      <w:r w:rsidRPr="00BC1563">
        <w:rPr>
          <w:rFonts w:eastAsia="BatangChe"/>
        </w:rPr>
        <w:t>,</w:t>
      </w:r>
      <w:r w:rsidR="00941ED6" w:rsidRPr="00BC1563">
        <w:rPr>
          <w:rFonts w:eastAsia="BatangChe"/>
        </w:rPr>
        <w:t xml:space="preserve"> </w:t>
      </w:r>
      <w:r w:rsidRPr="00BC1563">
        <w:rPr>
          <w:rFonts w:eastAsia="BatangChe"/>
        </w:rPr>
        <w:t xml:space="preserve">les </w:t>
      </w:r>
      <w:r w:rsidR="00A80069" w:rsidRPr="00BC1563">
        <w:rPr>
          <w:rFonts w:eastAsia="BatangChe"/>
        </w:rPr>
        <w:t>systèmes</w:t>
      </w:r>
      <w:r w:rsidRPr="00BC1563">
        <w:rPr>
          <w:rFonts w:eastAsia="BatangChe"/>
        </w:rPr>
        <w:t xml:space="preserve"> de radiolocalisation </w:t>
      </w:r>
      <w:r w:rsidR="00E66FBC" w:rsidRPr="00BC1563">
        <w:rPr>
          <w:rFonts w:eastAsia="BatangChe"/>
        </w:rPr>
        <w:t>t</w:t>
      </w:r>
      <w:r w:rsidRPr="00BC1563">
        <w:rPr>
          <w:rFonts w:eastAsia="BatangChe"/>
        </w:rPr>
        <w:t>erre</w:t>
      </w:r>
      <w:r w:rsidR="00A80069" w:rsidRPr="00BC1563">
        <w:rPr>
          <w:rFonts w:eastAsia="BatangChe"/>
        </w:rPr>
        <w:t>stres</w:t>
      </w:r>
      <w:r w:rsidRPr="00BC1563">
        <w:rPr>
          <w:rFonts w:eastAsia="BatangChe"/>
        </w:rPr>
        <w:t xml:space="preserve"> et </w:t>
      </w:r>
      <w:r w:rsidR="00E66FBC" w:rsidRPr="00BC1563">
        <w:rPr>
          <w:rFonts w:eastAsia="BatangChe"/>
        </w:rPr>
        <w:t>m</w:t>
      </w:r>
      <w:r w:rsidR="00A80069" w:rsidRPr="00BC1563">
        <w:rPr>
          <w:rFonts w:eastAsia="BatangChe"/>
        </w:rPr>
        <w:t>a</w:t>
      </w:r>
      <w:r w:rsidR="00E66FBC" w:rsidRPr="00BC1563">
        <w:rPr>
          <w:rFonts w:eastAsia="BatangChe"/>
        </w:rPr>
        <w:t>r</w:t>
      </w:r>
      <w:r w:rsidR="00A80069" w:rsidRPr="00BC1563">
        <w:rPr>
          <w:rFonts w:eastAsia="BatangChe"/>
        </w:rPr>
        <w:t>itimes</w:t>
      </w:r>
      <w:r w:rsidR="00E66FBC" w:rsidRPr="00BC1563">
        <w:rPr>
          <w:rFonts w:eastAsia="BatangChe"/>
        </w:rPr>
        <w:t xml:space="preserve"> </w:t>
      </w:r>
      <w:r w:rsidR="002F42E6" w:rsidRPr="00BC1563">
        <w:rPr>
          <w:rFonts w:eastAsia="BatangChe"/>
        </w:rPr>
        <w:t xml:space="preserve">doivent être continuellement protégés vis-à-vis des réseaux </w:t>
      </w:r>
      <w:r w:rsidR="00941ED6" w:rsidRPr="00BC1563">
        <w:rPr>
          <w:rFonts w:eastAsia="BatangChe"/>
        </w:rPr>
        <w:t xml:space="preserve">WAS/RLAN </w:t>
      </w:r>
      <w:r w:rsidR="002F42E6" w:rsidRPr="00BC1563">
        <w:rPr>
          <w:rFonts w:eastAsia="BatangChe"/>
        </w:rPr>
        <w:t xml:space="preserve">exploités dans cette </w:t>
      </w:r>
      <w:r w:rsidR="00941ED6" w:rsidRPr="00BC1563">
        <w:rPr>
          <w:rFonts w:eastAsia="BatangChe"/>
        </w:rPr>
        <w:t>band</w:t>
      </w:r>
      <w:r w:rsidR="002F42E6" w:rsidRPr="00BC1563">
        <w:rPr>
          <w:rFonts w:eastAsia="BatangChe"/>
        </w:rPr>
        <w:t>e</w:t>
      </w:r>
      <w:r w:rsidR="00941ED6" w:rsidRPr="00BC1563">
        <w:rPr>
          <w:rFonts w:eastAsia="BatangChe"/>
        </w:rPr>
        <w:t xml:space="preserve">. </w:t>
      </w:r>
      <w:r w:rsidR="002F42E6" w:rsidRPr="00BC1563">
        <w:rPr>
          <w:rFonts w:eastAsia="BatangChe"/>
        </w:rPr>
        <w:t xml:space="preserve">Même si, dans certains pays, des réseaux </w:t>
      </w:r>
      <w:r w:rsidR="00941ED6" w:rsidRPr="00BC1563">
        <w:rPr>
          <w:rFonts w:eastAsia="BatangChe"/>
        </w:rPr>
        <w:t>WAS/RLAN</w:t>
      </w:r>
      <w:r w:rsidR="002F42E6" w:rsidRPr="00BC1563">
        <w:rPr>
          <w:rFonts w:eastAsia="BatangChe"/>
        </w:rPr>
        <w:t xml:space="preserve"> de faible puissance utilisent cette bande sans causer de brouillage et sans demander de protection depuis plusieurs années, il est possible que des systèmes </w:t>
      </w:r>
      <w:r w:rsidR="00941ED6" w:rsidRPr="00BC1563">
        <w:rPr>
          <w:rFonts w:eastAsia="BatangChe"/>
        </w:rPr>
        <w:t xml:space="preserve">WAS/RLAN </w:t>
      </w:r>
      <w:r w:rsidR="002F42E6" w:rsidRPr="00BC1563">
        <w:rPr>
          <w:rFonts w:eastAsia="BatangChe"/>
        </w:rPr>
        <w:t>plus puissants et à plus forte densité augmentent le bruit de fond et gênent les systèmes de radiolocalisation existants</w:t>
      </w:r>
      <w:r w:rsidR="00941ED6" w:rsidRPr="00BC1563">
        <w:rPr>
          <w:rFonts w:eastAsia="BatangChe"/>
        </w:rPr>
        <w:t>.</w:t>
      </w:r>
    </w:p>
    <w:p w14:paraId="5E4D9F90" w14:textId="32E2656D" w:rsidR="00941ED6" w:rsidRPr="00BC1563" w:rsidRDefault="00FC7EDB" w:rsidP="00AD50C0">
      <w:pPr>
        <w:rPr>
          <w:rFonts w:eastAsia="BatangChe"/>
          <w:lang w:eastAsia="ko-KR"/>
        </w:rPr>
      </w:pPr>
      <w:r w:rsidRPr="00BC1563">
        <w:rPr>
          <w:rFonts w:eastAsia="BatangChe"/>
          <w:spacing w:val="-3"/>
          <w:lang w:eastAsia="ko-KR"/>
        </w:rPr>
        <w:lastRenderedPageBreak/>
        <w:t>L'</w:t>
      </w:r>
      <w:r w:rsidR="00941ED6" w:rsidRPr="00BC1563">
        <w:rPr>
          <w:rFonts w:eastAsia="BatangChe"/>
          <w:spacing w:val="-3"/>
          <w:lang w:eastAsia="ko-KR"/>
        </w:rPr>
        <w:t>Australi</w:t>
      </w:r>
      <w:r w:rsidRPr="00BC1563">
        <w:rPr>
          <w:rFonts w:eastAsia="BatangChe"/>
          <w:spacing w:val="-3"/>
          <w:lang w:eastAsia="ko-KR"/>
        </w:rPr>
        <w:t>e</w:t>
      </w:r>
      <w:r w:rsidR="00941ED6" w:rsidRPr="00BC1563">
        <w:rPr>
          <w:rFonts w:eastAsia="BatangChe"/>
          <w:spacing w:val="-3"/>
          <w:lang w:eastAsia="ko-KR"/>
        </w:rPr>
        <w:t xml:space="preserve"> </w:t>
      </w:r>
      <w:r w:rsidRPr="00BC1563">
        <w:rPr>
          <w:rFonts w:eastAsia="BatangChe"/>
          <w:spacing w:val="-3"/>
          <w:lang w:eastAsia="ko-KR"/>
        </w:rPr>
        <w:t xml:space="preserve">est favorable à la Méthode </w:t>
      </w:r>
      <w:r w:rsidR="00941ED6" w:rsidRPr="00BC1563">
        <w:rPr>
          <w:rFonts w:eastAsia="BatangChe"/>
          <w:spacing w:val="-3"/>
          <w:lang w:eastAsia="ko-KR"/>
        </w:rPr>
        <w:t xml:space="preserve">A1 (NOC) </w:t>
      </w:r>
      <w:r w:rsidRPr="00BC1563">
        <w:rPr>
          <w:rFonts w:eastAsia="BatangChe"/>
          <w:spacing w:val="-3"/>
          <w:lang w:eastAsia="ko-KR"/>
        </w:rPr>
        <w:t xml:space="preserve">pour la bande </w:t>
      </w:r>
      <w:r w:rsidR="00941ED6" w:rsidRPr="00BC1563">
        <w:rPr>
          <w:rFonts w:eastAsia="BatangChe"/>
          <w:spacing w:val="-3"/>
          <w:lang w:eastAsia="ko-KR"/>
        </w:rPr>
        <w:t>5</w:t>
      </w:r>
      <w:r w:rsidR="005803C0" w:rsidRPr="00BC1563">
        <w:rPr>
          <w:rFonts w:eastAsia="BatangChe"/>
          <w:spacing w:val="-3"/>
          <w:lang w:eastAsia="ko-KR"/>
        </w:rPr>
        <w:t> </w:t>
      </w:r>
      <w:r w:rsidR="00941ED6" w:rsidRPr="00BC1563">
        <w:rPr>
          <w:rFonts w:eastAsia="BatangChe"/>
          <w:spacing w:val="-3"/>
          <w:lang w:eastAsia="ko-KR"/>
        </w:rPr>
        <w:t>150</w:t>
      </w:r>
      <w:r w:rsidR="005803C0" w:rsidRPr="00BC1563">
        <w:rPr>
          <w:rFonts w:eastAsia="BatangChe"/>
          <w:spacing w:val="-3"/>
          <w:lang w:eastAsia="ko-KR"/>
        </w:rPr>
        <w:noBreakHyphen/>
      </w:r>
      <w:r w:rsidR="00941ED6" w:rsidRPr="00BC1563">
        <w:rPr>
          <w:rFonts w:eastAsia="BatangChe"/>
          <w:spacing w:val="-3"/>
          <w:lang w:eastAsia="ko-KR"/>
        </w:rPr>
        <w:t>5</w:t>
      </w:r>
      <w:r w:rsidR="005803C0" w:rsidRPr="00BC1563">
        <w:rPr>
          <w:rFonts w:eastAsia="BatangChe"/>
          <w:spacing w:val="-3"/>
          <w:lang w:eastAsia="ko-KR"/>
        </w:rPr>
        <w:t> </w:t>
      </w:r>
      <w:r w:rsidR="00941ED6" w:rsidRPr="00BC1563">
        <w:rPr>
          <w:rFonts w:eastAsia="BatangChe"/>
          <w:spacing w:val="-3"/>
          <w:lang w:eastAsia="ko-KR"/>
        </w:rPr>
        <w:t>250</w:t>
      </w:r>
      <w:r w:rsidR="005803C0" w:rsidRPr="00BC1563">
        <w:rPr>
          <w:rFonts w:eastAsia="BatangChe"/>
          <w:spacing w:val="-3"/>
          <w:lang w:eastAsia="ko-KR"/>
        </w:rPr>
        <w:t> </w:t>
      </w:r>
      <w:r w:rsidR="00941ED6" w:rsidRPr="00BC1563">
        <w:rPr>
          <w:rFonts w:eastAsia="BatangChe"/>
          <w:spacing w:val="-3"/>
          <w:lang w:eastAsia="ko-KR"/>
        </w:rPr>
        <w:t xml:space="preserve">MHz </w:t>
      </w:r>
      <w:r w:rsidRPr="00BC1563">
        <w:rPr>
          <w:rFonts w:eastAsia="BatangChe"/>
          <w:spacing w:val="-3"/>
          <w:lang w:eastAsia="ko-KR"/>
        </w:rPr>
        <w:t xml:space="preserve">et à la </w:t>
      </w:r>
      <w:r w:rsidR="00941ED6" w:rsidRPr="00BC1563">
        <w:rPr>
          <w:rFonts w:eastAsia="BatangChe"/>
          <w:spacing w:val="-3"/>
          <w:lang w:eastAsia="ko-KR"/>
        </w:rPr>
        <w:t>M</w:t>
      </w:r>
      <w:r w:rsidRPr="00BC1563">
        <w:rPr>
          <w:rFonts w:eastAsia="BatangChe"/>
          <w:spacing w:val="-3"/>
          <w:lang w:eastAsia="ko-KR"/>
        </w:rPr>
        <w:t>é</w:t>
      </w:r>
      <w:r w:rsidR="00941ED6" w:rsidRPr="00BC1563">
        <w:rPr>
          <w:rFonts w:eastAsia="BatangChe"/>
          <w:spacing w:val="-3"/>
          <w:lang w:eastAsia="ko-KR"/>
        </w:rPr>
        <w:t>thod</w:t>
      </w:r>
      <w:r w:rsidRPr="00BC1563">
        <w:rPr>
          <w:rFonts w:eastAsia="BatangChe"/>
          <w:spacing w:val="-3"/>
          <w:lang w:eastAsia="ko-KR"/>
        </w:rPr>
        <w:t>e</w:t>
      </w:r>
      <w:r w:rsidR="00941ED6" w:rsidRPr="00BC1563">
        <w:rPr>
          <w:rFonts w:eastAsia="BatangChe"/>
          <w:spacing w:val="-3"/>
          <w:lang w:eastAsia="ko-KR"/>
        </w:rPr>
        <w:t xml:space="preserve"> D1</w:t>
      </w:r>
      <w:r w:rsidR="00941ED6" w:rsidRPr="00BC1563">
        <w:rPr>
          <w:rFonts w:eastAsia="BatangChe"/>
          <w:lang w:eastAsia="ko-KR"/>
        </w:rPr>
        <w:t xml:space="preserve"> (NOC) </w:t>
      </w:r>
      <w:r w:rsidRPr="00BC1563">
        <w:rPr>
          <w:rFonts w:eastAsia="BatangChe"/>
          <w:lang w:eastAsia="ko-KR"/>
        </w:rPr>
        <w:t xml:space="preserve">pour la bande </w:t>
      </w:r>
      <w:r w:rsidR="00941ED6" w:rsidRPr="00BC1563">
        <w:rPr>
          <w:rFonts w:eastAsia="BatangChe"/>
          <w:lang w:eastAsia="ko-KR"/>
        </w:rPr>
        <w:t>5</w:t>
      </w:r>
      <w:r w:rsidR="005803C0" w:rsidRPr="00BC1563">
        <w:rPr>
          <w:rFonts w:eastAsia="BatangChe"/>
          <w:lang w:eastAsia="ko-KR"/>
        </w:rPr>
        <w:t> </w:t>
      </w:r>
      <w:r w:rsidR="00941ED6" w:rsidRPr="00BC1563">
        <w:rPr>
          <w:rFonts w:eastAsia="BatangChe"/>
          <w:lang w:eastAsia="ko-KR"/>
        </w:rPr>
        <w:t>725</w:t>
      </w:r>
      <w:r w:rsidR="005803C0" w:rsidRPr="00BC1563">
        <w:rPr>
          <w:rFonts w:eastAsia="BatangChe"/>
          <w:lang w:eastAsia="ko-KR"/>
        </w:rPr>
        <w:noBreakHyphen/>
      </w:r>
      <w:r w:rsidR="00941ED6" w:rsidRPr="00BC1563">
        <w:rPr>
          <w:rFonts w:eastAsia="BatangChe"/>
          <w:lang w:eastAsia="ko-KR"/>
        </w:rPr>
        <w:t>5</w:t>
      </w:r>
      <w:r w:rsidR="005803C0" w:rsidRPr="00BC1563">
        <w:rPr>
          <w:rFonts w:eastAsia="BatangChe"/>
          <w:lang w:eastAsia="ko-KR"/>
        </w:rPr>
        <w:t> </w:t>
      </w:r>
      <w:r w:rsidR="00941ED6" w:rsidRPr="00BC1563">
        <w:rPr>
          <w:rFonts w:eastAsia="BatangChe"/>
          <w:lang w:eastAsia="ko-KR"/>
        </w:rPr>
        <w:t>850</w:t>
      </w:r>
      <w:r w:rsidR="005803C0" w:rsidRPr="00BC1563">
        <w:rPr>
          <w:rFonts w:eastAsia="BatangChe"/>
          <w:lang w:eastAsia="ko-KR"/>
        </w:rPr>
        <w:t> </w:t>
      </w:r>
      <w:r w:rsidR="00941ED6" w:rsidRPr="00BC1563">
        <w:rPr>
          <w:rFonts w:eastAsia="BatangChe"/>
          <w:lang w:eastAsia="ko-KR"/>
        </w:rPr>
        <w:t>MHz.</w:t>
      </w:r>
    </w:p>
    <w:p w14:paraId="62EF45FB" w14:textId="5C2EAB21" w:rsidR="00941ED6" w:rsidRPr="00BC1563" w:rsidRDefault="001A01FF" w:rsidP="00AD50C0">
      <w:pPr>
        <w:pStyle w:val="Headingb"/>
        <w:rPr>
          <w:rFonts w:eastAsia="BatangChe"/>
          <w:lang w:eastAsia="ko-KR"/>
        </w:rPr>
      </w:pPr>
      <w:r w:rsidRPr="00BC1563">
        <w:rPr>
          <w:rFonts w:eastAsia="BatangChe"/>
          <w:lang w:eastAsia="ko-KR"/>
        </w:rPr>
        <w:t>Considérations générales concernant la bande</w:t>
      </w:r>
      <w:r w:rsidR="00941ED6" w:rsidRPr="00BC1563">
        <w:rPr>
          <w:rFonts w:eastAsia="BatangChe"/>
          <w:lang w:eastAsia="ko-KR"/>
        </w:rPr>
        <w:t xml:space="preserve"> 5</w:t>
      </w:r>
      <w:r w:rsidR="005803C0" w:rsidRPr="00BC1563">
        <w:rPr>
          <w:rFonts w:eastAsia="BatangChe"/>
          <w:lang w:eastAsia="ko-KR"/>
        </w:rPr>
        <w:t> </w:t>
      </w:r>
      <w:r w:rsidR="00941ED6" w:rsidRPr="00BC1563">
        <w:rPr>
          <w:rFonts w:eastAsia="BatangChe"/>
          <w:lang w:eastAsia="ko-KR"/>
        </w:rPr>
        <w:t>150</w:t>
      </w:r>
      <w:r w:rsidR="005803C0" w:rsidRPr="00BC1563">
        <w:rPr>
          <w:rFonts w:eastAsia="BatangChe"/>
          <w:lang w:eastAsia="ko-KR"/>
        </w:rPr>
        <w:noBreakHyphen/>
      </w:r>
      <w:r w:rsidR="00941ED6" w:rsidRPr="00BC1563">
        <w:rPr>
          <w:rFonts w:eastAsia="BatangChe"/>
          <w:lang w:eastAsia="ko-KR"/>
        </w:rPr>
        <w:t>5</w:t>
      </w:r>
      <w:r w:rsidR="005803C0" w:rsidRPr="00BC1563">
        <w:rPr>
          <w:rFonts w:eastAsia="BatangChe"/>
          <w:lang w:eastAsia="ko-KR"/>
        </w:rPr>
        <w:t> </w:t>
      </w:r>
      <w:r w:rsidR="00941ED6" w:rsidRPr="00BC1563">
        <w:rPr>
          <w:rFonts w:eastAsia="BatangChe"/>
          <w:lang w:eastAsia="ko-KR"/>
        </w:rPr>
        <w:t>250</w:t>
      </w:r>
      <w:r w:rsidR="005803C0" w:rsidRPr="00BC1563">
        <w:rPr>
          <w:rFonts w:eastAsia="BatangChe"/>
          <w:lang w:eastAsia="ko-KR"/>
        </w:rPr>
        <w:t> </w:t>
      </w:r>
      <w:r w:rsidR="00941ED6" w:rsidRPr="00BC1563">
        <w:rPr>
          <w:rFonts w:eastAsia="BatangChe"/>
          <w:lang w:eastAsia="ko-KR"/>
        </w:rPr>
        <w:t xml:space="preserve">MHz </w:t>
      </w:r>
    </w:p>
    <w:p w14:paraId="105C92E4" w14:textId="73CC80DE" w:rsidR="00941ED6" w:rsidRPr="00BC1563" w:rsidRDefault="001A01FF" w:rsidP="00962B87">
      <w:pPr>
        <w:spacing w:line="235" w:lineRule="auto"/>
        <w:rPr>
          <w:rFonts w:eastAsia="BatangChe"/>
          <w:snapToGrid w:val="0"/>
        </w:rPr>
      </w:pPr>
      <w:r w:rsidRPr="00BC1563">
        <w:rPr>
          <w:rFonts w:eastAsia="BatangChe"/>
          <w:snapToGrid w:val="0"/>
        </w:rPr>
        <w:t>L'</w:t>
      </w:r>
      <w:r w:rsidR="00941ED6" w:rsidRPr="00BC1563">
        <w:rPr>
          <w:rFonts w:eastAsia="BatangChe"/>
          <w:snapToGrid w:val="0"/>
        </w:rPr>
        <w:t>Australi</w:t>
      </w:r>
      <w:r w:rsidRPr="00BC1563">
        <w:rPr>
          <w:rFonts w:eastAsia="BatangChe"/>
          <w:snapToGrid w:val="0"/>
        </w:rPr>
        <w:t>e</w:t>
      </w:r>
      <w:r w:rsidR="00941ED6" w:rsidRPr="00BC1563">
        <w:rPr>
          <w:rFonts w:eastAsia="BatangChe"/>
          <w:snapToGrid w:val="0"/>
        </w:rPr>
        <w:t xml:space="preserve"> </w:t>
      </w:r>
      <w:r w:rsidRPr="00BC1563">
        <w:rPr>
          <w:rFonts w:eastAsia="BatangChe"/>
          <w:snapToGrid w:val="0"/>
        </w:rPr>
        <w:t>a participé à toutes les études menées par le GT</w:t>
      </w:r>
      <w:r w:rsidR="00941ED6" w:rsidRPr="00BC1563">
        <w:rPr>
          <w:rFonts w:eastAsia="BatangChe"/>
          <w:snapToGrid w:val="0"/>
        </w:rPr>
        <w:t xml:space="preserve"> 5A </w:t>
      </w:r>
      <w:r w:rsidRPr="00BC1563">
        <w:rPr>
          <w:rFonts w:eastAsia="BatangChe"/>
          <w:snapToGrid w:val="0"/>
        </w:rPr>
        <w:t xml:space="preserve">au titre du point </w:t>
      </w:r>
      <w:r w:rsidR="00941ED6" w:rsidRPr="00BC1563">
        <w:rPr>
          <w:rFonts w:eastAsia="BatangChe"/>
          <w:snapToGrid w:val="0"/>
        </w:rPr>
        <w:t xml:space="preserve">1.16 </w:t>
      </w:r>
      <w:r w:rsidRPr="00BC1563">
        <w:rPr>
          <w:rFonts w:eastAsia="BatangChe"/>
          <w:snapToGrid w:val="0"/>
        </w:rPr>
        <w:t xml:space="preserve">de l'ordre du jour et a soumis un certain nombre de contributions concernant la bande </w:t>
      </w:r>
      <w:r w:rsidR="00941ED6" w:rsidRPr="00BC1563">
        <w:rPr>
          <w:rFonts w:eastAsia="BatangChe"/>
          <w:snapToGrid w:val="0"/>
        </w:rPr>
        <w:t>5</w:t>
      </w:r>
      <w:r w:rsidR="005803C0" w:rsidRPr="00BC1563">
        <w:rPr>
          <w:rFonts w:eastAsia="BatangChe"/>
          <w:snapToGrid w:val="0"/>
        </w:rPr>
        <w:t> </w:t>
      </w:r>
      <w:r w:rsidR="00941ED6" w:rsidRPr="00BC1563">
        <w:rPr>
          <w:rFonts w:eastAsia="BatangChe"/>
          <w:snapToGrid w:val="0"/>
        </w:rPr>
        <w:t>150</w:t>
      </w:r>
      <w:r w:rsidR="005803C0" w:rsidRPr="00BC1563">
        <w:rPr>
          <w:rFonts w:eastAsia="BatangChe"/>
          <w:snapToGrid w:val="0"/>
        </w:rPr>
        <w:noBreakHyphen/>
      </w:r>
      <w:r w:rsidR="00941ED6" w:rsidRPr="00BC1563">
        <w:rPr>
          <w:rFonts w:eastAsia="BatangChe"/>
          <w:snapToGrid w:val="0"/>
        </w:rPr>
        <w:t>5</w:t>
      </w:r>
      <w:r w:rsidR="005803C0" w:rsidRPr="00BC1563">
        <w:rPr>
          <w:rFonts w:eastAsia="BatangChe"/>
          <w:snapToGrid w:val="0"/>
        </w:rPr>
        <w:t> </w:t>
      </w:r>
      <w:r w:rsidR="00941ED6" w:rsidRPr="00BC1563">
        <w:rPr>
          <w:rFonts w:eastAsia="BatangChe"/>
          <w:snapToGrid w:val="0"/>
        </w:rPr>
        <w:t>250</w:t>
      </w:r>
      <w:r w:rsidR="005803C0" w:rsidRPr="00BC1563">
        <w:rPr>
          <w:rFonts w:eastAsia="BatangChe"/>
          <w:snapToGrid w:val="0"/>
        </w:rPr>
        <w:t> </w:t>
      </w:r>
      <w:r w:rsidR="00941ED6" w:rsidRPr="00BC1563">
        <w:rPr>
          <w:rFonts w:eastAsia="BatangChe"/>
          <w:snapToGrid w:val="0"/>
        </w:rPr>
        <w:t xml:space="preserve">MHz. </w:t>
      </w:r>
      <w:r w:rsidRPr="00BC1563">
        <w:rPr>
          <w:rFonts w:eastAsia="BatangChe"/>
          <w:snapToGrid w:val="0"/>
        </w:rPr>
        <w:t>Le GT </w:t>
      </w:r>
      <w:r w:rsidR="00941ED6" w:rsidRPr="00BC1563">
        <w:rPr>
          <w:rFonts w:eastAsia="BatangChe"/>
          <w:snapToGrid w:val="0"/>
        </w:rPr>
        <w:t xml:space="preserve">5A </w:t>
      </w:r>
      <w:r w:rsidRPr="00BC1563">
        <w:rPr>
          <w:rFonts w:eastAsia="BatangChe"/>
          <w:snapToGrid w:val="0"/>
        </w:rPr>
        <w:t xml:space="preserve">a examiné les </w:t>
      </w:r>
      <w:r w:rsidR="00941ED6" w:rsidRPr="00BC1563">
        <w:rPr>
          <w:rFonts w:eastAsia="BatangChe"/>
          <w:snapToGrid w:val="0"/>
        </w:rPr>
        <w:t xml:space="preserve">conditions </w:t>
      </w:r>
      <w:r w:rsidRPr="00BC1563">
        <w:rPr>
          <w:rFonts w:eastAsia="BatangChe"/>
          <w:snapToGrid w:val="0"/>
        </w:rPr>
        <w:t xml:space="preserve">dans lesquelles les réseaux </w:t>
      </w:r>
      <w:r w:rsidR="00941ED6" w:rsidRPr="00BC1563">
        <w:rPr>
          <w:rFonts w:eastAsia="BatangChe"/>
          <w:snapToGrid w:val="0"/>
        </w:rPr>
        <w:t xml:space="preserve">RLAN </w:t>
      </w:r>
      <w:r w:rsidRPr="00BC1563">
        <w:rPr>
          <w:rFonts w:eastAsia="BatangChe"/>
          <w:snapToGrid w:val="0"/>
        </w:rPr>
        <w:t>pourraient être exploités en extérieur dans cette bande de fréquences</w:t>
      </w:r>
      <w:r w:rsidR="000656B4" w:rsidRPr="00BC1563">
        <w:rPr>
          <w:rFonts w:eastAsia="BatangChe"/>
          <w:snapToGrid w:val="0"/>
        </w:rPr>
        <w:t xml:space="preserve"> sans que les systèmes à satellites existants soient moins bien protégés </w:t>
      </w:r>
      <w:r w:rsidR="00941ED6" w:rsidRPr="00BC1563">
        <w:rPr>
          <w:rFonts w:eastAsia="BatangChe"/>
          <w:snapToGrid w:val="0"/>
        </w:rPr>
        <w:t>(</w:t>
      </w:r>
      <w:r w:rsidR="000656B4" w:rsidRPr="00BC1563">
        <w:rPr>
          <w:rFonts w:eastAsia="BatangChe"/>
          <w:snapToGrid w:val="0"/>
        </w:rPr>
        <w:t xml:space="preserve">comme demandé dans la </w:t>
      </w:r>
      <w:r w:rsidR="00941ED6" w:rsidRPr="00BC1563">
        <w:rPr>
          <w:rFonts w:eastAsia="BatangChe"/>
        </w:rPr>
        <w:t>R</w:t>
      </w:r>
      <w:r w:rsidR="000656B4" w:rsidRPr="00BC1563">
        <w:rPr>
          <w:rFonts w:eastAsia="BatangChe"/>
        </w:rPr>
        <w:t>é</w:t>
      </w:r>
      <w:r w:rsidR="00941ED6" w:rsidRPr="00BC1563">
        <w:rPr>
          <w:rFonts w:eastAsia="BatangChe"/>
        </w:rPr>
        <w:t xml:space="preserve">solution </w:t>
      </w:r>
      <w:r w:rsidR="00941ED6" w:rsidRPr="00BC1563">
        <w:rPr>
          <w:rFonts w:eastAsia="BatangChe"/>
          <w:b/>
        </w:rPr>
        <w:t>239 (C</w:t>
      </w:r>
      <w:r w:rsidR="000656B4" w:rsidRPr="00BC1563">
        <w:rPr>
          <w:rFonts w:eastAsia="BatangChe"/>
          <w:b/>
        </w:rPr>
        <w:t>MR</w:t>
      </w:r>
      <w:r w:rsidR="00941ED6" w:rsidRPr="00BC1563">
        <w:rPr>
          <w:rFonts w:eastAsia="BatangChe"/>
          <w:b/>
        </w:rPr>
        <w:t>-15)</w:t>
      </w:r>
      <w:r w:rsidR="00941ED6" w:rsidRPr="00BC1563">
        <w:rPr>
          <w:rFonts w:eastAsia="BatangChe"/>
        </w:rPr>
        <w:t>)</w:t>
      </w:r>
      <w:r w:rsidR="00941ED6" w:rsidRPr="00BC1563">
        <w:rPr>
          <w:rFonts w:eastAsia="BatangChe"/>
          <w:snapToGrid w:val="0"/>
        </w:rPr>
        <w:t xml:space="preserve">. </w:t>
      </w:r>
      <w:r w:rsidR="000656B4" w:rsidRPr="00BC1563">
        <w:rPr>
          <w:rFonts w:eastAsia="BatangChe"/>
          <w:snapToGrid w:val="0"/>
        </w:rPr>
        <w:t>Cependant</w:t>
      </w:r>
      <w:r w:rsidR="00941ED6" w:rsidRPr="00BC1563">
        <w:rPr>
          <w:rFonts w:eastAsia="BatangChe"/>
          <w:snapToGrid w:val="0"/>
        </w:rPr>
        <w:t xml:space="preserve">, </w:t>
      </w:r>
      <w:r w:rsidR="000656B4" w:rsidRPr="00BC1563">
        <w:rPr>
          <w:rFonts w:eastAsia="BatangChe"/>
          <w:snapToGrid w:val="0"/>
        </w:rPr>
        <w:t xml:space="preserve">aucun accord n'a été trouvé sur </w:t>
      </w:r>
      <w:r w:rsidR="009F346E" w:rsidRPr="00BC1563">
        <w:rPr>
          <w:rFonts w:eastAsia="BatangChe"/>
          <w:snapToGrid w:val="0"/>
        </w:rPr>
        <w:t>les modalités de protection d</w:t>
      </w:r>
      <w:r w:rsidR="000656B4" w:rsidRPr="00BC1563">
        <w:rPr>
          <w:rFonts w:eastAsia="BatangChe"/>
          <w:snapToGrid w:val="0"/>
        </w:rPr>
        <w:t xml:space="preserve">es services existants au cas où les conditions réglementaires fixées dans la </w:t>
      </w:r>
      <w:r w:rsidR="00941ED6" w:rsidRPr="00BC1563">
        <w:rPr>
          <w:rFonts w:eastAsia="BatangChe"/>
          <w:snapToGrid w:val="0"/>
        </w:rPr>
        <w:t>R</w:t>
      </w:r>
      <w:r w:rsidR="000656B4" w:rsidRPr="00BC1563">
        <w:rPr>
          <w:rFonts w:eastAsia="BatangChe"/>
          <w:snapToGrid w:val="0"/>
        </w:rPr>
        <w:t>é</w:t>
      </w:r>
      <w:r w:rsidR="00941ED6" w:rsidRPr="00BC1563">
        <w:rPr>
          <w:rFonts w:eastAsia="BatangChe"/>
          <w:snapToGrid w:val="0"/>
        </w:rPr>
        <w:t xml:space="preserve">solution </w:t>
      </w:r>
      <w:r w:rsidR="00941ED6" w:rsidRPr="00BC1563">
        <w:rPr>
          <w:rFonts w:eastAsia="BatangChe"/>
          <w:b/>
          <w:snapToGrid w:val="0"/>
        </w:rPr>
        <w:t>229 (R</w:t>
      </w:r>
      <w:r w:rsidR="000656B4" w:rsidRPr="00BC1563">
        <w:rPr>
          <w:rFonts w:eastAsia="BatangChe"/>
          <w:b/>
          <w:snapToGrid w:val="0"/>
        </w:rPr>
        <w:t>é</w:t>
      </w:r>
      <w:r w:rsidR="00941ED6" w:rsidRPr="00BC1563">
        <w:rPr>
          <w:rFonts w:eastAsia="BatangChe"/>
          <w:b/>
          <w:snapToGrid w:val="0"/>
        </w:rPr>
        <w:t>v.C</w:t>
      </w:r>
      <w:r w:rsidR="000656B4" w:rsidRPr="00BC1563">
        <w:rPr>
          <w:rFonts w:eastAsia="BatangChe"/>
          <w:b/>
          <w:snapToGrid w:val="0"/>
        </w:rPr>
        <w:t>MR</w:t>
      </w:r>
      <w:r w:rsidR="00941ED6" w:rsidRPr="00BC1563">
        <w:rPr>
          <w:rFonts w:eastAsia="BatangChe"/>
          <w:b/>
          <w:snapToGrid w:val="0"/>
        </w:rPr>
        <w:t>-12)</w:t>
      </w:r>
      <w:r w:rsidR="00941ED6" w:rsidRPr="00BC1563">
        <w:rPr>
          <w:rFonts w:eastAsia="BatangChe"/>
          <w:snapToGrid w:val="0"/>
        </w:rPr>
        <w:t xml:space="preserve"> </w:t>
      </w:r>
      <w:r w:rsidR="00A80069" w:rsidRPr="00BC1563">
        <w:rPr>
          <w:rFonts w:eastAsia="BatangChe"/>
          <w:snapToGrid w:val="0"/>
        </w:rPr>
        <w:t>seraient assouplies</w:t>
      </w:r>
      <w:r w:rsidR="00941ED6" w:rsidRPr="00BC1563">
        <w:rPr>
          <w:rFonts w:eastAsia="BatangChe"/>
          <w:snapToGrid w:val="0"/>
        </w:rPr>
        <w:t xml:space="preserve">. </w:t>
      </w:r>
      <w:r w:rsidR="000656B4" w:rsidRPr="00BC1563">
        <w:rPr>
          <w:rFonts w:eastAsia="BatangChe"/>
          <w:snapToGrid w:val="0"/>
        </w:rPr>
        <w:t xml:space="preserve">Aucun projet de rapport n'a été soumis pour approbation à la Commission d'études </w:t>
      </w:r>
      <w:r w:rsidR="00941ED6" w:rsidRPr="00BC1563">
        <w:rPr>
          <w:rFonts w:eastAsia="BatangChe"/>
          <w:snapToGrid w:val="0"/>
        </w:rPr>
        <w:t xml:space="preserve">5 </w:t>
      </w:r>
      <w:r w:rsidR="000656B4" w:rsidRPr="00BC1563">
        <w:rPr>
          <w:rFonts w:eastAsia="BatangChe"/>
          <w:snapToGrid w:val="0"/>
        </w:rPr>
        <w:t>et aucun Rapport UIT</w:t>
      </w:r>
      <w:r w:rsidR="00941ED6" w:rsidRPr="00BC1563">
        <w:rPr>
          <w:rFonts w:eastAsia="BatangChe"/>
          <w:snapToGrid w:val="0"/>
        </w:rPr>
        <w:t xml:space="preserve">-R </w:t>
      </w:r>
      <w:r w:rsidR="000656B4" w:rsidRPr="00BC1563">
        <w:rPr>
          <w:rFonts w:eastAsia="BatangChe"/>
          <w:snapToGrid w:val="0"/>
        </w:rPr>
        <w:t>n'a donc été élaboré</w:t>
      </w:r>
      <w:r w:rsidR="00941ED6" w:rsidRPr="00BC1563">
        <w:rPr>
          <w:rFonts w:eastAsia="BatangChe"/>
          <w:snapToGrid w:val="0"/>
        </w:rPr>
        <w:t>.</w:t>
      </w:r>
    </w:p>
    <w:p w14:paraId="4A7BED19" w14:textId="12F864B3" w:rsidR="00941ED6" w:rsidRPr="00BC1563" w:rsidRDefault="00D676E3" w:rsidP="00962B87">
      <w:pPr>
        <w:spacing w:line="235" w:lineRule="auto"/>
      </w:pPr>
      <w:r w:rsidRPr="00BC1563">
        <w:t>L'</w:t>
      </w:r>
      <w:r w:rsidR="00941ED6" w:rsidRPr="00BC1563">
        <w:t>Australi</w:t>
      </w:r>
      <w:r w:rsidRPr="00BC1563">
        <w:t>e</w:t>
      </w:r>
      <w:r w:rsidR="00941ED6" w:rsidRPr="00BC1563">
        <w:t xml:space="preserve"> </w:t>
      </w:r>
      <w:r w:rsidRPr="00BC1563">
        <w:t xml:space="preserve">a examiné les Méthodes </w:t>
      </w:r>
      <w:r w:rsidR="00941ED6" w:rsidRPr="00BC1563">
        <w:t xml:space="preserve">A2 </w:t>
      </w:r>
      <w:r w:rsidRPr="00BC1563">
        <w:t xml:space="preserve">et </w:t>
      </w:r>
      <w:r w:rsidR="00941ED6" w:rsidRPr="00BC1563">
        <w:t xml:space="preserve">A3 </w:t>
      </w:r>
      <w:r w:rsidRPr="00BC1563">
        <w:t>du Rapport de la R</w:t>
      </w:r>
      <w:r w:rsidR="00324370" w:rsidRPr="00BC1563">
        <w:t>P</w:t>
      </w:r>
      <w:r w:rsidRPr="00BC1563">
        <w:t xml:space="preserve">C et a conclu qu'aucune d'elles ne permettrait de protéger les liaisons montantes de connexion du SMS non OSG dans la bande </w:t>
      </w:r>
      <w:r w:rsidR="00941ED6" w:rsidRPr="00BC1563">
        <w:t>5</w:t>
      </w:r>
      <w:r w:rsidR="005803C0" w:rsidRPr="00BC1563">
        <w:t> </w:t>
      </w:r>
      <w:r w:rsidR="00941ED6" w:rsidRPr="00BC1563">
        <w:t>150</w:t>
      </w:r>
      <w:r w:rsidR="005803C0" w:rsidRPr="00BC1563">
        <w:noBreakHyphen/>
      </w:r>
      <w:r w:rsidR="00941ED6" w:rsidRPr="00BC1563">
        <w:t>5</w:t>
      </w:r>
      <w:r w:rsidRPr="00BC1563">
        <w:t> </w:t>
      </w:r>
      <w:r w:rsidR="00941ED6" w:rsidRPr="00BC1563">
        <w:t>250</w:t>
      </w:r>
      <w:r w:rsidR="005803C0" w:rsidRPr="00BC1563">
        <w:t> </w:t>
      </w:r>
      <w:r w:rsidR="00941ED6" w:rsidRPr="00BC1563">
        <w:t xml:space="preserve">MHz. </w:t>
      </w:r>
      <w:r w:rsidRPr="00BC1563">
        <w:t>On pourra résumer les préoccupations que suscitent ces méthodes comme suit:</w:t>
      </w:r>
    </w:p>
    <w:p w14:paraId="0F43C1BC" w14:textId="47520740" w:rsidR="00941ED6" w:rsidRPr="00BC1563" w:rsidRDefault="00941ED6" w:rsidP="00962B87">
      <w:pPr>
        <w:pStyle w:val="enumlev1"/>
        <w:spacing w:line="235" w:lineRule="auto"/>
        <w:rPr>
          <w:b/>
        </w:rPr>
      </w:pPr>
      <w:r w:rsidRPr="00BC1563">
        <w:t>–</w:t>
      </w:r>
      <w:r w:rsidRPr="00BC1563">
        <w:tab/>
      </w:r>
      <w:r w:rsidRPr="00BC1563">
        <w:rPr>
          <w:b/>
        </w:rPr>
        <w:t>M</w:t>
      </w:r>
      <w:r w:rsidR="00D676E3" w:rsidRPr="00BC1563">
        <w:rPr>
          <w:b/>
        </w:rPr>
        <w:t>é</w:t>
      </w:r>
      <w:r w:rsidRPr="00BC1563">
        <w:rPr>
          <w:b/>
        </w:rPr>
        <w:t>thod</w:t>
      </w:r>
      <w:r w:rsidR="00D676E3" w:rsidRPr="00BC1563">
        <w:rPr>
          <w:b/>
        </w:rPr>
        <w:t>e</w:t>
      </w:r>
      <w:r w:rsidRPr="00BC1563">
        <w:rPr>
          <w:b/>
        </w:rPr>
        <w:t xml:space="preserve"> A2</w:t>
      </w:r>
    </w:p>
    <w:p w14:paraId="356C011F" w14:textId="5ECFF2F3" w:rsidR="00941ED6" w:rsidRPr="00BC1563" w:rsidRDefault="005D5564" w:rsidP="00962B87">
      <w:pPr>
        <w:spacing w:line="235" w:lineRule="auto"/>
      </w:pPr>
      <w:r w:rsidRPr="00BC1563">
        <w:t>Cette</w:t>
      </w:r>
      <w:r w:rsidR="00941ED6" w:rsidRPr="00BC1563">
        <w:t xml:space="preserve"> M</w:t>
      </w:r>
      <w:r w:rsidRPr="00BC1563">
        <w:t>é</w:t>
      </w:r>
      <w:r w:rsidR="00941ED6" w:rsidRPr="00BC1563">
        <w:t>thod</w:t>
      </w:r>
      <w:r w:rsidRPr="00BC1563">
        <w:t>e</w:t>
      </w:r>
      <w:r w:rsidR="00941ED6" w:rsidRPr="00BC1563">
        <w:t xml:space="preserve"> </w:t>
      </w:r>
      <w:r w:rsidRPr="00BC1563">
        <w:t xml:space="preserve">permettrait d'exploiter un grand nombre de réseaux </w:t>
      </w:r>
      <w:r w:rsidR="00941ED6" w:rsidRPr="00BC1563">
        <w:t>RLAN</w:t>
      </w:r>
      <w:r w:rsidRPr="00BC1563">
        <w:t xml:space="preserve"> </w:t>
      </w:r>
      <w:r w:rsidR="00324370" w:rsidRPr="00BC1563">
        <w:t>à</w:t>
      </w:r>
      <w:r w:rsidRPr="00BC1563">
        <w:t xml:space="preserve"> forte puissance en extérieur, ce qui pourrait causer des brouillages</w:t>
      </w:r>
      <w:r w:rsidR="00941ED6" w:rsidRPr="00BC1563">
        <w:t xml:space="preserve"> </w:t>
      </w:r>
      <w:r w:rsidRPr="00BC1563">
        <w:t xml:space="preserve">préjudiciables aux liaisons montantes de connexion du SMS non OSG dans la bande </w:t>
      </w:r>
      <w:r w:rsidR="00941ED6" w:rsidRPr="00BC1563">
        <w:t>5 150</w:t>
      </w:r>
      <w:r w:rsidR="00941ED6" w:rsidRPr="00BC1563">
        <w:noBreakHyphen/>
        <w:t>5</w:t>
      </w:r>
      <w:r w:rsidR="005803C0" w:rsidRPr="00BC1563">
        <w:t> </w:t>
      </w:r>
      <w:r w:rsidR="00941ED6" w:rsidRPr="00BC1563">
        <w:t>250</w:t>
      </w:r>
      <w:r w:rsidR="005803C0" w:rsidRPr="00BC1563">
        <w:t> </w:t>
      </w:r>
      <w:r w:rsidR="00941ED6" w:rsidRPr="00BC1563">
        <w:t>MHz.</w:t>
      </w:r>
    </w:p>
    <w:p w14:paraId="0B73C21B" w14:textId="7C558D80" w:rsidR="00941ED6" w:rsidRPr="00BC1563" w:rsidRDefault="001A436C" w:rsidP="00962B87">
      <w:pPr>
        <w:spacing w:line="235" w:lineRule="auto"/>
      </w:pPr>
      <w:r w:rsidRPr="00BC1563">
        <w:t xml:space="preserve">On trouvera, dans le </w:t>
      </w:r>
      <w:r w:rsidR="00941ED6" w:rsidRPr="00BC1563">
        <w:t>Table</w:t>
      </w:r>
      <w:r w:rsidRPr="00BC1563">
        <w:t>au</w:t>
      </w:r>
      <w:r w:rsidR="00941ED6" w:rsidRPr="00BC1563">
        <w:t xml:space="preserve"> 1</w:t>
      </w:r>
      <w:r w:rsidRPr="00BC1563">
        <w:t>,</w:t>
      </w:r>
      <w:r w:rsidR="00941ED6" w:rsidRPr="00BC1563">
        <w:t xml:space="preserve"> </w:t>
      </w:r>
      <w:r w:rsidRPr="00BC1563">
        <w:t>une comparaison entre les règles proposé</w:t>
      </w:r>
      <w:r w:rsidR="00B24CF3" w:rsidRPr="00BC1563">
        <w:t>es</w:t>
      </w:r>
      <w:r w:rsidRPr="00BC1563">
        <w:t xml:space="preserve"> dans le cadre de la Méthode </w:t>
      </w:r>
      <w:r w:rsidR="00A80069" w:rsidRPr="00BC1563">
        <w:t>A</w:t>
      </w:r>
      <w:r w:rsidRPr="00BC1563">
        <w:t xml:space="preserve">2 et les règles en vigueur découlant de la </w:t>
      </w:r>
      <w:r w:rsidR="00941ED6" w:rsidRPr="00BC1563">
        <w:t>R</w:t>
      </w:r>
      <w:r w:rsidRPr="00BC1563">
        <w:t>é</w:t>
      </w:r>
      <w:r w:rsidR="00941ED6" w:rsidRPr="00BC1563">
        <w:t xml:space="preserve">solution </w:t>
      </w:r>
      <w:r w:rsidR="00941ED6" w:rsidRPr="00BC1563">
        <w:rPr>
          <w:b/>
        </w:rPr>
        <w:t>229 (R</w:t>
      </w:r>
      <w:r w:rsidRPr="00BC1563">
        <w:rPr>
          <w:b/>
        </w:rPr>
        <w:t>é</w:t>
      </w:r>
      <w:r w:rsidR="00941ED6" w:rsidRPr="00BC1563">
        <w:rPr>
          <w:b/>
        </w:rPr>
        <w:t>v.C</w:t>
      </w:r>
      <w:r w:rsidRPr="00BC1563">
        <w:rPr>
          <w:b/>
        </w:rPr>
        <w:t>MR</w:t>
      </w:r>
      <w:r w:rsidR="00941ED6" w:rsidRPr="00BC1563">
        <w:rPr>
          <w:b/>
        </w:rPr>
        <w:t>-12)</w:t>
      </w:r>
      <w:r w:rsidR="00941ED6" w:rsidRPr="00BC1563">
        <w:t xml:space="preserve"> </w:t>
      </w:r>
      <w:r w:rsidRPr="00BC1563">
        <w:t xml:space="preserve">dans le cas où l'angle d'élévation de l'antenne d'émission du réseau </w:t>
      </w:r>
      <w:r w:rsidR="00941ED6" w:rsidRPr="00BC1563">
        <w:t xml:space="preserve">RLAN </w:t>
      </w:r>
      <w:r w:rsidRPr="00BC1563">
        <w:t xml:space="preserve">est inférieur ou égal à </w:t>
      </w:r>
      <w:r w:rsidR="00941ED6" w:rsidRPr="00BC1563">
        <w:rPr>
          <w:szCs w:val="24"/>
        </w:rPr>
        <w:t>30</w:t>
      </w:r>
      <w:r w:rsidR="00941ED6" w:rsidRPr="00BC1563">
        <w:rPr>
          <w:szCs w:val="24"/>
          <w:vertAlign w:val="superscript"/>
        </w:rPr>
        <w:t>0</w:t>
      </w:r>
      <w:r w:rsidR="00941ED6" w:rsidRPr="00BC1563">
        <w:t xml:space="preserve"> </w:t>
      </w:r>
      <w:r w:rsidRPr="00BC1563">
        <w:t xml:space="preserve">et, dans le </w:t>
      </w:r>
      <w:r w:rsidR="00941ED6" w:rsidRPr="00BC1563">
        <w:t>Table</w:t>
      </w:r>
      <w:r w:rsidRPr="00BC1563">
        <w:t>au</w:t>
      </w:r>
      <w:r w:rsidR="00941ED6" w:rsidRPr="00BC1563">
        <w:t xml:space="preserve"> 2</w:t>
      </w:r>
      <w:r w:rsidRPr="00BC1563">
        <w:t xml:space="preserve">, la même comparaison dans le cas où l'angle d'élévation de </w:t>
      </w:r>
      <w:r w:rsidR="00324370" w:rsidRPr="00BC1563">
        <w:t xml:space="preserve">l'antenne </w:t>
      </w:r>
      <w:r w:rsidRPr="00BC1563">
        <w:t xml:space="preserve">d'émission du réseau </w:t>
      </w:r>
      <w:r w:rsidR="00941ED6" w:rsidRPr="00BC1563">
        <w:t xml:space="preserve">RLAN </w:t>
      </w:r>
      <w:r w:rsidRPr="00BC1563">
        <w:t xml:space="preserve">est supérieur à </w:t>
      </w:r>
      <w:r w:rsidR="00941ED6" w:rsidRPr="00BC1563">
        <w:t>30</w:t>
      </w:r>
      <w:r w:rsidR="00941ED6" w:rsidRPr="00BC1563">
        <w:rPr>
          <w:vertAlign w:val="superscript"/>
        </w:rPr>
        <w:t>0</w:t>
      </w:r>
      <w:r w:rsidR="00941ED6" w:rsidRPr="00BC1563">
        <w:t>.</w:t>
      </w:r>
    </w:p>
    <w:p w14:paraId="72EA2FFE" w14:textId="0BC28BA1" w:rsidR="00941ED6" w:rsidRPr="00BC1563" w:rsidRDefault="00941ED6" w:rsidP="00962B87">
      <w:pPr>
        <w:pStyle w:val="TableNo"/>
        <w:spacing w:before="360" w:line="235" w:lineRule="auto"/>
      </w:pPr>
      <w:r w:rsidRPr="00BC1563">
        <w:t>TABLE</w:t>
      </w:r>
      <w:r w:rsidR="00841C64" w:rsidRPr="00BC1563">
        <w:t>AU</w:t>
      </w:r>
      <w:r w:rsidRPr="00BC1563">
        <w:t xml:space="preserve"> 1 </w:t>
      </w:r>
    </w:p>
    <w:p w14:paraId="1D40073B" w14:textId="2661503B" w:rsidR="00941ED6" w:rsidRPr="00BC1563" w:rsidRDefault="00841C64" w:rsidP="00962B87">
      <w:pPr>
        <w:pStyle w:val="Tabletitle"/>
        <w:spacing w:line="235" w:lineRule="auto"/>
      </w:pPr>
      <w:r w:rsidRPr="00BC1563">
        <w:t xml:space="preserve">Angle d'élévation de l'antenne d'émission du réseau </w:t>
      </w:r>
      <w:r w:rsidR="00941ED6" w:rsidRPr="00BC1563">
        <w:t xml:space="preserve">RLAN </w:t>
      </w:r>
      <w:r w:rsidRPr="00BC1563">
        <w:t xml:space="preserve">compris entre </w:t>
      </w:r>
      <w:r w:rsidR="00941ED6" w:rsidRPr="00BC1563">
        <w:t>0</w:t>
      </w:r>
      <w:r w:rsidR="00941ED6" w:rsidRPr="00BC1563">
        <w:rPr>
          <w:vertAlign w:val="superscript"/>
        </w:rPr>
        <w:t>0</w:t>
      </w:r>
      <w:r w:rsidR="00941ED6" w:rsidRPr="00BC1563">
        <w:t xml:space="preserve"> </w:t>
      </w:r>
      <w:r w:rsidRPr="00BC1563">
        <w:t xml:space="preserve">et </w:t>
      </w:r>
      <w:r w:rsidR="00941ED6" w:rsidRPr="00BC1563">
        <w:t>30</w:t>
      </w:r>
      <w:r w:rsidR="00941ED6" w:rsidRPr="00BC1563">
        <w:rPr>
          <w:vertAlign w:val="superscript"/>
        </w:rPr>
        <w:t>0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144"/>
        <w:gridCol w:w="2651"/>
        <w:gridCol w:w="2381"/>
        <w:gridCol w:w="2022"/>
      </w:tblGrid>
      <w:tr w:rsidR="00941ED6" w:rsidRPr="00BC1563" w14:paraId="115F8BF7" w14:textId="77777777" w:rsidTr="00232FAB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21E6" w14:textId="2E749464" w:rsidR="00941ED6" w:rsidRPr="00BC1563" w:rsidRDefault="00216312" w:rsidP="00962B87">
            <w:pPr>
              <w:pStyle w:val="Tablehead"/>
              <w:spacing w:line="235" w:lineRule="auto"/>
            </w:pPr>
            <w:bookmarkStart w:id="5" w:name="_Hlk22112340"/>
            <w:r w:rsidRPr="00BC1563">
              <w:t>Paramètre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48A0" w14:textId="6B646C7A" w:rsidR="00941ED6" w:rsidRPr="00BC1563" w:rsidRDefault="00216312" w:rsidP="00962B87">
            <w:pPr>
              <w:pStyle w:val="Tablehead"/>
              <w:spacing w:line="235" w:lineRule="auto"/>
            </w:pPr>
            <w:r w:rsidRPr="00BC1563">
              <w:t>Règles en vigueur découlant de la</w:t>
            </w:r>
            <w:r w:rsidR="00941ED6" w:rsidRPr="00BC1563">
              <w:t xml:space="preserve"> R</w:t>
            </w:r>
            <w:r w:rsidRPr="00BC1563">
              <w:t>é</w:t>
            </w:r>
            <w:r w:rsidR="00941ED6" w:rsidRPr="00BC1563">
              <w:t>solution 229 (R</w:t>
            </w:r>
            <w:r w:rsidRPr="00BC1563">
              <w:t>é</w:t>
            </w:r>
            <w:r w:rsidR="00941ED6" w:rsidRPr="00BC1563">
              <w:t>v.C</w:t>
            </w:r>
            <w:r w:rsidRPr="00BC1563">
              <w:t>MR</w:t>
            </w:r>
            <w:r w:rsidR="00941ED6" w:rsidRPr="00BC1563">
              <w:t xml:space="preserve">-12)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F451" w14:textId="7C5AD409" w:rsidR="00941ED6" w:rsidRPr="00BC1563" w:rsidRDefault="00216312" w:rsidP="00962B87">
            <w:pPr>
              <w:pStyle w:val="Tablehead"/>
              <w:spacing w:line="235" w:lineRule="auto"/>
            </w:pPr>
            <w:r w:rsidRPr="00BC1563">
              <w:t>Règles proposées dans le cadre de la</w:t>
            </w:r>
            <w:r w:rsidR="00941ED6" w:rsidRPr="00BC1563">
              <w:t xml:space="preserve"> M</w:t>
            </w:r>
            <w:r w:rsidRPr="00BC1563">
              <w:t>é</w:t>
            </w:r>
            <w:r w:rsidR="00941ED6" w:rsidRPr="00BC1563">
              <w:t>thod</w:t>
            </w:r>
            <w:r w:rsidRPr="00BC1563">
              <w:t>e</w:t>
            </w:r>
            <w:r w:rsidR="00941ED6" w:rsidRPr="00BC1563">
              <w:t xml:space="preserve"> A2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D198" w14:textId="6BE75927" w:rsidR="00941ED6" w:rsidRPr="00BC1563" w:rsidRDefault="00941ED6" w:rsidP="00962B87">
            <w:pPr>
              <w:pStyle w:val="Tablehead"/>
              <w:spacing w:line="235" w:lineRule="auto"/>
            </w:pPr>
            <w:r w:rsidRPr="00BC1563">
              <w:t>Diff</w:t>
            </w:r>
            <w:r w:rsidR="00216312" w:rsidRPr="00BC1563">
              <w:t>é</w:t>
            </w:r>
            <w:r w:rsidRPr="00BC1563">
              <w:t>rence</w:t>
            </w:r>
          </w:p>
        </w:tc>
      </w:tr>
      <w:tr w:rsidR="00941ED6" w:rsidRPr="00BC1563" w14:paraId="11282B84" w14:textId="77777777" w:rsidTr="00F8385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2ABF" w14:textId="46AAA14F" w:rsidR="00941ED6" w:rsidRPr="00BC1563" w:rsidRDefault="00216312" w:rsidP="00962B87">
            <w:pPr>
              <w:pStyle w:val="Tabletext"/>
              <w:spacing w:line="235" w:lineRule="auto"/>
            </w:pPr>
            <w:r w:rsidRPr="00BC1563">
              <w:t>p</w:t>
            </w:r>
            <w:r w:rsidR="00941ED6" w:rsidRPr="00BC1563">
              <w:t>.</w:t>
            </w:r>
            <w:r w:rsidRPr="00BC1563">
              <w:t>i.r.e. maximale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4B7" w14:textId="54E7E357" w:rsidR="00941ED6" w:rsidRPr="00BC1563" w:rsidRDefault="00941ED6" w:rsidP="00962B87">
            <w:pPr>
              <w:pStyle w:val="Tabletext"/>
              <w:spacing w:line="235" w:lineRule="auto"/>
            </w:pPr>
            <w:r w:rsidRPr="00BC1563">
              <w:t>200</w:t>
            </w:r>
            <w:r w:rsidR="00D75091" w:rsidRPr="00BC1563">
              <w:t> </w:t>
            </w:r>
            <w:r w:rsidRPr="00BC1563">
              <w:t>mW (23</w:t>
            </w:r>
            <w:r w:rsidR="00D75091" w:rsidRPr="00BC1563">
              <w:t> </w:t>
            </w:r>
            <w:r w:rsidRPr="00BC1563">
              <w:t>dBm)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F437" w14:textId="6FC0A828" w:rsidR="00941ED6" w:rsidRPr="00BC1563" w:rsidRDefault="00941ED6" w:rsidP="00962B87">
            <w:pPr>
              <w:pStyle w:val="Tabletext"/>
              <w:spacing w:line="235" w:lineRule="auto"/>
            </w:pPr>
            <w:r w:rsidRPr="00BC1563">
              <w:t>4</w:t>
            </w:r>
            <w:r w:rsidR="00D75091" w:rsidRPr="00BC1563">
              <w:t> </w:t>
            </w:r>
            <w:r w:rsidRPr="00BC1563">
              <w:t>W (36</w:t>
            </w:r>
            <w:r w:rsidR="00D75091" w:rsidRPr="00BC1563">
              <w:t> </w:t>
            </w:r>
            <w:r w:rsidRPr="00BC1563">
              <w:t xml:space="preserve">dBm)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C39D" w14:textId="12DBC565" w:rsidR="00941ED6" w:rsidRPr="00BC1563" w:rsidRDefault="00941ED6" w:rsidP="00962B87">
            <w:pPr>
              <w:pStyle w:val="Tabletext"/>
              <w:spacing w:line="235" w:lineRule="auto"/>
            </w:pPr>
            <w:r w:rsidRPr="00BC1563">
              <w:t>13</w:t>
            </w:r>
            <w:r w:rsidR="00D75091" w:rsidRPr="00BC1563">
              <w:t> </w:t>
            </w:r>
            <w:r w:rsidRPr="00BC1563">
              <w:t>dB</w:t>
            </w:r>
          </w:p>
        </w:tc>
      </w:tr>
      <w:tr w:rsidR="00941ED6" w:rsidRPr="00BC1563" w14:paraId="78F9EFAF" w14:textId="77777777" w:rsidTr="00F8385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1363" w14:textId="4462930A" w:rsidR="00941ED6" w:rsidRPr="00BC1563" w:rsidRDefault="00216312" w:rsidP="00962B87">
            <w:pPr>
              <w:pStyle w:val="Tabletext"/>
              <w:spacing w:line="235" w:lineRule="auto"/>
            </w:pPr>
            <w:r w:rsidRPr="00BC1563">
              <w:t>Contrainte de localisation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8BC9" w14:textId="2B22EDE6" w:rsidR="00941ED6" w:rsidRPr="00BC1563" w:rsidRDefault="00216312" w:rsidP="00962B87">
            <w:pPr>
              <w:pStyle w:val="Tabletext"/>
              <w:spacing w:line="235" w:lineRule="auto"/>
            </w:pPr>
            <w:r w:rsidRPr="00BC1563">
              <w:t>Oui</w:t>
            </w:r>
            <w:r w:rsidR="00941ED6" w:rsidRPr="00BC1563">
              <w:t xml:space="preserve">, </w:t>
            </w:r>
            <w:r w:rsidRPr="00BC1563">
              <w:t>uniquement en intérieur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A186" w14:textId="1D13EFC9" w:rsidR="00941ED6" w:rsidRPr="00BC1563" w:rsidRDefault="00B24CF3" w:rsidP="00962B87">
            <w:pPr>
              <w:pStyle w:val="Tabletext"/>
              <w:spacing w:line="235" w:lineRule="auto"/>
            </w:pPr>
            <w:r w:rsidRPr="00BC1563">
              <w:t>N</w:t>
            </w:r>
            <w:r w:rsidR="00216312" w:rsidRPr="00BC1563">
              <w:t>on</w:t>
            </w:r>
            <w:r w:rsidR="00941ED6" w:rsidRPr="00BC1563">
              <w:t xml:space="preserve">, </w:t>
            </w:r>
            <w:r w:rsidR="00216312" w:rsidRPr="00BC1563">
              <w:t>possible en extérieur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3CC3" w14:textId="77777777" w:rsidR="00941ED6" w:rsidRPr="00BC1563" w:rsidRDefault="00941ED6" w:rsidP="00962B87">
            <w:pPr>
              <w:pStyle w:val="Tabletext"/>
              <w:spacing w:line="235" w:lineRule="auto"/>
            </w:pPr>
          </w:p>
        </w:tc>
      </w:tr>
      <w:tr w:rsidR="00941ED6" w:rsidRPr="00BC1563" w14:paraId="27B636CC" w14:textId="77777777" w:rsidTr="00F8385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0DAD" w14:textId="779AC0C9" w:rsidR="00941ED6" w:rsidRPr="00BC1563" w:rsidRDefault="00216312" w:rsidP="00962B87">
            <w:pPr>
              <w:pStyle w:val="Tabletext"/>
              <w:spacing w:line="235" w:lineRule="auto"/>
            </w:pPr>
            <w:r w:rsidRPr="00BC1563">
              <w:t>p.i.r.e. maximale résultante en extérieur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7E7E" w14:textId="694DD141" w:rsidR="00941ED6" w:rsidRPr="00BC1563" w:rsidRDefault="00941ED6" w:rsidP="00962B87">
            <w:pPr>
              <w:pStyle w:val="Tabletext"/>
              <w:spacing w:line="235" w:lineRule="auto"/>
            </w:pPr>
            <w:r w:rsidRPr="00BC1563">
              <w:t>6</w:t>
            </w:r>
            <w:r w:rsidR="00D75091" w:rsidRPr="00BC1563">
              <w:t> </w:t>
            </w:r>
            <w:r w:rsidRPr="00BC1563">
              <w:t>dBm*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56AD" w14:textId="531432B5" w:rsidR="00941ED6" w:rsidRPr="00BC1563" w:rsidRDefault="00941ED6" w:rsidP="00962B87">
            <w:pPr>
              <w:pStyle w:val="Tabletext"/>
              <w:spacing w:line="235" w:lineRule="auto"/>
            </w:pPr>
            <w:r w:rsidRPr="00BC1563">
              <w:t>36</w:t>
            </w:r>
            <w:r w:rsidR="00D75091" w:rsidRPr="00BC1563">
              <w:t> </w:t>
            </w:r>
            <w:r w:rsidRPr="00BC1563">
              <w:t>dBm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1FD0" w14:textId="5B5E3921" w:rsidR="00941ED6" w:rsidRPr="00BC1563" w:rsidRDefault="00941ED6" w:rsidP="00962B87">
            <w:pPr>
              <w:pStyle w:val="Tabletext"/>
              <w:spacing w:line="235" w:lineRule="auto"/>
            </w:pPr>
            <w:r w:rsidRPr="00BC1563">
              <w:t>30</w:t>
            </w:r>
            <w:r w:rsidR="00D75091" w:rsidRPr="00BC1563">
              <w:t> </w:t>
            </w:r>
            <w:r w:rsidRPr="00BC1563">
              <w:t>dB*</w:t>
            </w:r>
          </w:p>
        </w:tc>
      </w:tr>
    </w:tbl>
    <w:bookmarkEnd w:id="5"/>
    <w:p w14:paraId="1460E77C" w14:textId="4CABFBEE" w:rsidR="00941ED6" w:rsidRPr="00BC1563" w:rsidRDefault="00941ED6" w:rsidP="00962B87">
      <w:pPr>
        <w:pStyle w:val="Tablelegend"/>
        <w:spacing w:line="235" w:lineRule="auto"/>
      </w:pPr>
      <w:r w:rsidRPr="00BC1563">
        <w:t xml:space="preserve">* </w:t>
      </w:r>
      <w:r w:rsidR="00216312" w:rsidRPr="00BC1563">
        <w:t>En tenant compte d'un affaiblissement lié au bâtiment de</w:t>
      </w:r>
      <w:r w:rsidRPr="00BC1563">
        <w:t xml:space="preserve"> 17</w:t>
      </w:r>
      <w:r w:rsidR="00D75091" w:rsidRPr="00BC1563">
        <w:t> </w:t>
      </w:r>
      <w:r w:rsidRPr="00BC1563">
        <w:t>dB</w:t>
      </w:r>
      <w:r w:rsidR="00962B87" w:rsidRPr="00BC1563">
        <w:t>.</w:t>
      </w:r>
    </w:p>
    <w:p w14:paraId="649D3C70" w14:textId="1BF846AD" w:rsidR="00941ED6" w:rsidRPr="00BC1563" w:rsidRDefault="00941ED6" w:rsidP="00962B87">
      <w:pPr>
        <w:pStyle w:val="TableNo"/>
        <w:spacing w:before="360" w:line="235" w:lineRule="auto"/>
      </w:pPr>
      <w:r w:rsidRPr="00BC1563">
        <w:t>TABLE</w:t>
      </w:r>
      <w:r w:rsidR="00216312" w:rsidRPr="00BC1563">
        <w:t>AU</w:t>
      </w:r>
      <w:r w:rsidRPr="00BC1563">
        <w:t xml:space="preserve"> 2</w:t>
      </w:r>
    </w:p>
    <w:p w14:paraId="7F247DF5" w14:textId="65289D45" w:rsidR="00941ED6" w:rsidRPr="00BC1563" w:rsidRDefault="00216312" w:rsidP="00962B87">
      <w:pPr>
        <w:pStyle w:val="Tabletitle"/>
        <w:spacing w:line="235" w:lineRule="auto"/>
      </w:pPr>
      <w:r w:rsidRPr="00BC1563">
        <w:t xml:space="preserve">Angle d'élévation de l'antenne d'émission du réseau </w:t>
      </w:r>
      <w:r w:rsidR="00941ED6" w:rsidRPr="00BC1563">
        <w:t>RLAN &gt;30</w:t>
      </w:r>
      <w:r w:rsidR="00941ED6" w:rsidRPr="00BC1563">
        <w:rPr>
          <w:vertAlign w:val="superscript"/>
        </w:rPr>
        <w:t>0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2154"/>
        <w:gridCol w:w="2665"/>
        <w:gridCol w:w="2381"/>
        <w:gridCol w:w="1984"/>
      </w:tblGrid>
      <w:tr w:rsidR="00216312" w:rsidRPr="00BC1563" w14:paraId="7C4D42B5" w14:textId="77777777" w:rsidTr="00F8385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2813" w14:textId="037F0C6B" w:rsidR="00216312" w:rsidRPr="00BC1563" w:rsidRDefault="00216312" w:rsidP="00962B87">
            <w:pPr>
              <w:pStyle w:val="Tablehead"/>
              <w:spacing w:line="235" w:lineRule="auto"/>
            </w:pPr>
            <w:r w:rsidRPr="00BC1563">
              <w:t>Paramètre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3558" w14:textId="1D1C1D21" w:rsidR="00216312" w:rsidRPr="00BC1563" w:rsidRDefault="00216312" w:rsidP="00962B87">
            <w:pPr>
              <w:pStyle w:val="Tablehead"/>
              <w:spacing w:line="235" w:lineRule="auto"/>
            </w:pPr>
            <w:r w:rsidRPr="00BC1563">
              <w:t>Règles en vigueur découlant de la Résolution 229 (Rév.CMR-12)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6601" w14:textId="7080ED4A" w:rsidR="00216312" w:rsidRPr="00BC1563" w:rsidRDefault="00216312" w:rsidP="00962B87">
            <w:pPr>
              <w:pStyle w:val="Tablehead"/>
              <w:spacing w:line="235" w:lineRule="auto"/>
            </w:pPr>
            <w:r w:rsidRPr="00BC1563">
              <w:t>Règles proposées dans le cadre de la Méthode 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29ED" w14:textId="361AD024" w:rsidR="00216312" w:rsidRPr="00BC1563" w:rsidRDefault="00216312" w:rsidP="00962B87">
            <w:pPr>
              <w:pStyle w:val="Tablehead"/>
              <w:spacing w:line="235" w:lineRule="auto"/>
            </w:pPr>
            <w:r w:rsidRPr="00BC1563">
              <w:t>Différence</w:t>
            </w:r>
          </w:p>
        </w:tc>
      </w:tr>
      <w:tr w:rsidR="00216312" w:rsidRPr="00BC1563" w14:paraId="4744B4AE" w14:textId="77777777" w:rsidTr="00F8385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233F" w14:textId="3725DEF8" w:rsidR="00216312" w:rsidRPr="00BC1563" w:rsidRDefault="00216312" w:rsidP="00962B87">
            <w:pPr>
              <w:pStyle w:val="Tabletext"/>
              <w:spacing w:line="235" w:lineRule="auto"/>
            </w:pPr>
            <w:r w:rsidRPr="00BC1563">
              <w:t>p.i.r.e. maximale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DB7" w14:textId="6A3E3B97" w:rsidR="00216312" w:rsidRPr="00BC1563" w:rsidRDefault="00216312" w:rsidP="00962B87">
            <w:pPr>
              <w:pStyle w:val="Tabletext"/>
              <w:spacing w:line="235" w:lineRule="auto"/>
            </w:pPr>
            <w:r w:rsidRPr="00BC1563">
              <w:t>200</w:t>
            </w:r>
            <w:r w:rsidR="00D75091" w:rsidRPr="00BC1563">
              <w:t> </w:t>
            </w:r>
            <w:r w:rsidRPr="00BC1563">
              <w:t>mW (23</w:t>
            </w:r>
            <w:r w:rsidR="00D75091" w:rsidRPr="00BC1563">
              <w:t> </w:t>
            </w:r>
            <w:r w:rsidRPr="00BC1563">
              <w:t>dBm)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F98E" w14:textId="0EDAF483" w:rsidR="00216312" w:rsidRPr="00BC1563" w:rsidRDefault="00216312" w:rsidP="00962B87">
            <w:pPr>
              <w:pStyle w:val="Tabletext"/>
              <w:spacing w:line="235" w:lineRule="auto"/>
            </w:pPr>
            <w:r w:rsidRPr="00BC1563">
              <w:t>125</w:t>
            </w:r>
            <w:r w:rsidR="00D75091" w:rsidRPr="00BC1563">
              <w:t> </w:t>
            </w:r>
            <w:r w:rsidRPr="00BC1563">
              <w:t>mW (21</w:t>
            </w:r>
            <w:r w:rsidR="00D75091" w:rsidRPr="00BC1563">
              <w:t> </w:t>
            </w:r>
            <w:r w:rsidRPr="00BC1563">
              <w:t>dBm)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686B" w14:textId="488FF169" w:rsidR="00216312" w:rsidRPr="00BC1563" w:rsidRDefault="009B7EDA" w:rsidP="00962B87">
            <w:pPr>
              <w:pStyle w:val="Tabletext"/>
              <w:spacing w:line="235" w:lineRule="auto"/>
            </w:pPr>
            <w:r w:rsidRPr="00BC1563">
              <w:t>–</w:t>
            </w:r>
            <w:r w:rsidR="00216312" w:rsidRPr="00BC1563">
              <w:t>2</w:t>
            </w:r>
            <w:r w:rsidR="00D75091" w:rsidRPr="00BC1563">
              <w:t> </w:t>
            </w:r>
            <w:r w:rsidR="00216312" w:rsidRPr="00BC1563">
              <w:t>dB</w:t>
            </w:r>
          </w:p>
        </w:tc>
      </w:tr>
      <w:tr w:rsidR="00B24CF3" w:rsidRPr="00BC1563" w14:paraId="1302B057" w14:textId="77777777" w:rsidTr="00F8385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3F98" w14:textId="4D2CBEF6" w:rsidR="00B24CF3" w:rsidRPr="00BC1563" w:rsidRDefault="00B24CF3" w:rsidP="00962B87">
            <w:pPr>
              <w:pStyle w:val="Tabletext"/>
              <w:spacing w:line="235" w:lineRule="auto"/>
            </w:pPr>
            <w:r w:rsidRPr="00BC1563">
              <w:t>Contrainte de localisation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6F87" w14:textId="0AA028B2" w:rsidR="00B24CF3" w:rsidRPr="00BC1563" w:rsidRDefault="00B24CF3" w:rsidP="00962B87">
            <w:pPr>
              <w:pStyle w:val="Tabletext"/>
              <w:spacing w:line="235" w:lineRule="auto"/>
            </w:pPr>
            <w:r w:rsidRPr="00BC1563">
              <w:t>Oui, uniquement en intérieur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688F" w14:textId="3BE7D5C5" w:rsidR="00B24CF3" w:rsidRPr="00BC1563" w:rsidRDefault="00B24CF3" w:rsidP="00962B87">
            <w:pPr>
              <w:pStyle w:val="Tabletext"/>
              <w:spacing w:line="235" w:lineRule="auto"/>
            </w:pPr>
            <w:r w:rsidRPr="00BC1563">
              <w:t>Non, possible en extérieur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99D" w14:textId="77777777" w:rsidR="00B24CF3" w:rsidRPr="00BC1563" w:rsidRDefault="00B24CF3" w:rsidP="00962B87">
            <w:pPr>
              <w:pStyle w:val="Tabletext"/>
              <w:spacing w:line="235" w:lineRule="auto"/>
            </w:pPr>
          </w:p>
        </w:tc>
      </w:tr>
      <w:tr w:rsidR="00216312" w:rsidRPr="00BC1563" w14:paraId="1A2E6520" w14:textId="77777777" w:rsidTr="00F83854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A4D6" w14:textId="3F1FF2A7" w:rsidR="00216312" w:rsidRPr="00BC1563" w:rsidRDefault="00216312" w:rsidP="00962B87">
            <w:pPr>
              <w:pStyle w:val="Tabletext"/>
              <w:spacing w:line="235" w:lineRule="auto"/>
            </w:pPr>
            <w:r w:rsidRPr="00BC1563">
              <w:t>p.i.r.e. maximale résultante en extérieur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9E86" w14:textId="33C28E8D" w:rsidR="00216312" w:rsidRPr="00BC1563" w:rsidRDefault="00216312" w:rsidP="00962B87">
            <w:pPr>
              <w:pStyle w:val="Tabletext"/>
              <w:spacing w:line="235" w:lineRule="auto"/>
            </w:pPr>
            <w:r w:rsidRPr="00BC1563">
              <w:t>6</w:t>
            </w:r>
            <w:r w:rsidR="00D75091" w:rsidRPr="00BC1563">
              <w:t> </w:t>
            </w:r>
            <w:r w:rsidRPr="00BC1563">
              <w:t>dBm*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7364" w14:textId="4ACAFA55" w:rsidR="00216312" w:rsidRPr="00BC1563" w:rsidRDefault="00216312" w:rsidP="00962B87">
            <w:pPr>
              <w:pStyle w:val="Tabletext"/>
              <w:spacing w:line="235" w:lineRule="auto"/>
            </w:pPr>
            <w:r w:rsidRPr="00BC1563">
              <w:t>21</w:t>
            </w:r>
            <w:r w:rsidR="00D75091" w:rsidRPr="00BC1563">
              <w:t> </w:t>
            </w:r>
            <w:r w:rsidRPr="00BC1563">
              <w:t>dBm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8EC7" w14:textId="5CB8E935" w:rsidR="00216312" w:rsidRPr="00BC1563" w:rsidRDefault="00216312" w:rsidP="00962B87">
            <w:pPr>
              <w:pStyle w:val="Tabletext"/>
              <w:spacing w:line="235" w:lineRule="auto"/>
            </w:pPr>
            <w:r w:rsidRPr="00BC1563">
              <w:t>+15</w:t>
            </w:r>
            <w:r w:rsidR="00D75091" w:rsidRPr="00BC1563">
              <w:t> </w:t>
            </w:r>
            <w:r w:rsidRPr="00BC1563">
              <w:t>dB*</w:t>
            </w:r>
          </w:p>
        </w:tc>
      </w:tr>
    </w:tbl>
    <w:p w14:paraId="00EA47C8" w14:textId="5E045BFF" w:rsidR="00941ED6" w:rsidRPr="00BC1563" w:rsidRDefault="00941ED6" w:rsidP="00962B87">
      <w:pPr>
        <w:pStyle w:val="Tablelegend"/>
        <w:spacing w:line="235" w:lineRule="auto"/>
      </w:pPr>
      <w:r w:rsidRPr="00BC1563">
        <w:t xml:space="preserve">* </w:t>
      </w:r>
      <w:r w:rsidR="00216312" w:rsidRPr="00BC1563">
        <w:t>En tenant compte d'un affaiblissement lié au bâtiment de 17</w:t>
      </w:r>
      <w:r w:rsidR="00D75091" w:rsidRPr="00BC1563">
        <w:t> </w:t>
      </w:r>
      <w:r w:rsidRPr="00BC1563">
        <w:t>dB</w:t>
      </w:r>
      <w:r w:rsidR="00962B87" w:rsidRPr="00BC1563">
        <w:t>.</w:t>
      </w:r>
    </w:p>
    <w:p w14:paraId="36D07E40" w14:textId="6C16D0B0" w:rsidR="00941ED6" w:rsidRPr="00BC1563" w:rsidRDefault="00216312" w:rsidP="00AD50C0">
      <w:r w:rsidRPr="00BC1563">
        <w:t>En résumé</w:t>
      </w:r>
      <w:r w:rsidR="00941ED6" w:rsidRPr="00BC1563">
        <w:t xml:space="preserve">, </w:t>
      </w:r>
      <w:r w:rsidRPr="00BC1563">
        <w:t xml:space="preserve">avec la </w:t>
      </w:r>
      <w:r w:rsidR="00941ED6" w:rsidRPr="00BC1563">
        <w:t>M</w:t>
      </w:r>
      <w:r w:rsidRPr="00BC1563">
        <w:t>é</w:t>
      </w:r>
      <w:r w:rsidR="00941ED6" w:rsidRPr="00BC1563">
        <w:t>thod</w:t>
      </w:r>
      <w:r w:rsidRPr="00BC1563">
        <w:t>e</w:t>
      </w:r>
      <w:r w:rsidR="00941ED6" w:rsidRPr="00BC1563">
        <w:t xml:space="preserve"> A2:</w:t>
      </w:r>
    </w:p>
    <w:p w14:paraId="778838BC" w14:textId="7F8F3283" w:rsidR="00941ED6" w:rsidRPr="00BC1563" w:rsidRDefault="00941ED6" w:rsidP="00AD50C0">
      <w:pPr>
        <w:pStyle w:val="enumlev1"/>
      </w:pPr>
      <w:r w:rsidRPr="00BC1563">
        <w:t>•</w:t>
      </w:r>
      <w:r w:rsidRPr="00BC1563">
        <w:tab/>
      </w:r>
      <w:r w:rsidR="00216312" w:rsidRPr="00BC1563">
        <w:t>Pour un angle d'élévation de l'antenne d'émission du réseau</w:t>
      </w:r>
      <w:r w:rsidRPr="00BC1563">
        <w:t xml:space="preserve"> RLAN </w:t>
      </w:r>
      <w:r w:rsidR="00216312" w:rsidRPr="00BC1563">
        <w:t xml:space="preserve">compris entre </w:t>
      </w:r>
      <w:r w:rsidRPr="00BC1563">
        <w:t>0</w:t>
      </w:r>
      <w:r w:rsidRPr="00BC1563">
        <w:rPr>
          <w:vertAlign w:val="superscript"/>
        </w:rPr>
        <w:t>0</w:t>
      </w:r>
      <w:r w:rsidRPr="00BC1563">
        <w:t xml:space="preserve"> </w:t>
      </w:r>
      <w:r w:rsidR="00216312" w:rsidRPr="00BC1563">
        <w:t>et</w:t>
      </w:r>
      <w:r w:rsidR="00962B87" w:rsidRPr="00BC1563">
        <w:t xml:space="preserve"> </w:t>
      </w:r>
      <w:r w:rsidRPr="00BC1563">
        <w:t>30</w:t>
      </w:r>
      <w:r w:rsidRPr="00BC1563">
        <w:rPr>
          <w:vertAlign w:val="superscript"/>
        </w:rPr>
        <w:t>0</w:t>
      </w:r>
      <w:r w:rsidRPr="00BC1563">
        <w:t xml:space="preserve">, </w:t>
      </w:r>
      <w:r w:rsidR="00786D83" w:rsidRPr="00BC1563">
        <w:t xml:space="preserve">la valeur de p.i.r.e. </w:t>
      </w:r>
      <w:r w:rsidR="00B00ECA" w:rsidRPr="00BC1563">
        <w:t xml:space="preserve">réelle </w:t>
      </w:r>
      <w:r w:rsidR="00786D83" w:rsidRPr="00BC1563">
        <w:t xml:space="preserve">d'un réseau RLAN en extérieur </w:t>
      </w:r>
      <w:r w:rsidR="00C4457E" w:rsidRPr="00BC1563">
        <w:t>augmenterait de</w:t>
      </w:r>
      <w:r w:rsidRPr="00BC1563">
        <w:t xml:space="preserve"> </w:t>
      </w:r>
      <w:r w:rsidR="00C4457E" w:rsidRPr="00BC1563">
        <w:t>30</w:t>
      </w:r>
      <w:r w:rsidR="00D75091" w:rsidRPr="00BC1563">
        <w:t> </w:t>
      </w:r>
      <w:r w:rsidR="00C4457E" w:rsidRPr="00BC1563">
        <w:t xml:space="preserve">dB par rapport à la limite </w:t>
      </w:r>
      <w:r w:rsidR="00786D83" w:rsidRPr="00BC1563">
        <w:t xml:space="preserve">en vigueur </w:t>
      </w:r>
      <w:r w:rsidR="00C4457E" w:rsidRPr="00BC1563">
        <w:t xml:space="preserve">découlant de la </w:t>
      </w:r>
      <w:r w:rsidR="00786D83" w:rsidRPr="00BC1563">
        <w:t xml:space="preserve">Résolution </w:t>
      </w:r>
      <w:r w:rsidR="00786D83" w:rsidRPr="00BC1563">
        <w:rPr>
          <w:b/>
          <w:bCs/>
        </w:rPr>
        <w:t>229 (</w:t>
      </w:r>
      <w:r w:rsidR="00B00ECA" w:rsidRPr="00BC1563">
        <w:rPr>
          <w:b/>
          <w:bCs/>
        </w:rPr>
        <w:t>Rév.</w:t>
      </w:r>
      <w:r w:rsidR="00786D83" w:rsidRPr="00BC1563">
        <w:rPr>
          <w:b/>
          <w:bCs/>
        </w:rPr>
        <w:t>CMR-12</w:t>
      </w:r>
      <w:r w:rsidR="00786D83" w:rsidRPr="00BC1563">
        <w:t>)</w:t>
      </w:r>
      <w:r w:rsidR="00C4457E" w:rsidRPr="00BC1563">
        <w:t>, à savoir 23 dBm</w:t>
      </w:r>
      <w:r w:rsidR="00786D83" w:rsidRPr="00BC1563">
        <w:t xml:space="preserve">; </w:t>
      </w:r>
      <w:r w:rsidRPr="00BC1563">
        <w:t>17</w:t>
      </w:r>
      <w:r w:rsidR="00D75091" w:rsidRPr="00BC1563">
        <w:t> </w:t>
      </w:r>
      <w:r w:rsidRPr="00BC1563">
        <w:t xml:space="preserve">dB </w:t>
      </w:r>
      <w:r w:rsidR="00C4457E" w:rsidRPr="00BC1563">
        <w:t>résulte</w:t>
      </w:r>
      <w:r w:rsidR="00BB6AF4" w:rsidRPr="00BC1563">
        <w:t>raie</w:t>
      </w:r>
      <w:r w:rsidR="00C4457E" w:rsidRPr="00BC1563">
        <w:t xml:space="preserve">nt de l'exploitation en extérieur et </w:t>
      </w:r>
      <w:r w:rsidRPr="00BC1563">
        <w:t>13</w:t>
      </w:r>
      <w:r w:rsidR="00D75091" w:rsidRPr="00BC1563">
        <w:t> </w:t>
      </w:r>
      <w:r w:rsidRPr="00BC1563">
        <w:t xml:space="preserve">dB </w:t>
      </w:r>
      <w:r w:rsidR="00C4457E" w:rsidRPr="00BC1563">
        <w:t xml:space="preserve">du fait que la valeur maximale de la </w:t>
      </w:r>
      <w:r w:rsidRPr="00BC1563">
        <w:t>p.</w:t>
      </w:r>
      <w:r w:rsidR="00C4457E" w:rsidRPr="00BC1563">
        <w:t>i.r.e.</w:t>
      </w:r>
      <w:r w:rsidRPr="00BC1563">
        <w:t xml:space="preserve"> </w:t>
      </w:r>
      <w:r w:rsidR="00C4457E" w:rsidRPr="00BC1563">
        <w:t>passe</w:t>
      </w:r>
      <w:r w:rsidR="00B00ECA" w:rsidRPr="00BC1563">
        <w:t>rait</w:t>
      </w:r>
      <w:r w:rsidR="00C4457E" w:rsidRPr="00BC1563">
        <w:t xml:space="preserve"> à </w:t>
      </w:r>
      <w:r w:rsidRPr="00BC1563">
        <w:t>36</w:t>
      </w:r>
      <w:r w:rsidR="00D75091" w:rsidRPr="00BC1563">
        <w:t> </w:t>
      </w:r>
      <w:r w:rsidRPr="00BC1563">
        <w:t>dBm</w:t>
      </w:r>
      <w:r w:rsidR="00C4457E" w:rsidRPr="00BC1563">
        <w:t>.</w:t>
      </w:r>
    </w:p>
    <w:p w14:paraId="3FF587A6" w14:textId="7CEA898E" w:rsidR="00941ED6" w:rsidRPr="00BC1563" w:rsidRDefault="00941ED6" w:rsidP="00AD50C0">
      <w:pPr>
        <w:pStyle w:val="enumlev1"/>
      </w:pPr>
      <w:r w:rsidRPr="00BC1563">
        <w:t>•</w:t>
      </w:r>
      <w:r w:rsidRPr="00BC1563">
        <w:tab/>
      </w:r>
      <w:r w:rsidR="00C4457E" w:rsidRPr="00BC1563">
        <w:t xml:space="preserve">Pour un angle d'élévation de l'antenne d'émission du </w:t>
      </w:r>
      <w:r w:rsidR="005D1049" w:rsidRPr="00BC1563">
        <w:t>réseau</w:t>
      </w:r>
      <w:r w:rsidRPr="00BC1563">
        <w:t xml:space="preserve"> RLAN &gt;30</w:t>
      </w:r>
      <w:r w:rsidRPr="00BC1563">
        <w:rPr>
          <w:vertAlign w:val="superscript"/>
        </w:rPr>
        <w:t>0</w:t>
      </w:r>
      <w:r w:rsidRPr="00BC1563">
        <w:t xml:space="preserve">, </w:t>
      </w:r>
      <w:r w:rsidR="00C4457E" w:rsidRPr="00BC1563">
        <w:t xml:space="preserve">la valeur de p.i.r.e. </w:t>
      </w:r>
      <w:r w:rsidR="00B00ECA" w:rsidRPr="00BC1563">
        <w:t xml:space="preserve">réelle </w:t>
      </w:r>
      <w:r w:rsidR="005D1049" w:rsidRPr="00BC1563">
        <w:t xml:space="preserve">d'un réseau RLAN en extérieur augmenterait de </w:t>
      </w:r>
      <w:r w:rsidRPr="00BC1563">
        <w:t>15</w:t>
      </w:r>
      <w:r w:rsidR="00D75091" w:rsidRPr="00BC1563">
        <w:t> </w:t>
      </w:r>
      <w:r w:rsidRPr="00BC1563">
        <w:t xml:space="preserve">dB </w:t>
      </w:r>
      <w:r w:rsidR="005D1049" w:rsidRPr="00BC1563">
        <w:t xml:space="preserve">par rapport à la limite en vigueur découlant de la Résolution </w:t>
      </w:r>
      <w:r w:rsidRPr="00BC1563">
        <w:rPr>
          <w:rFonts w:eastAsia="BatangChe"/>
          <w:b/>
          <w:snapToGrid w:val="0"/>
          <w:szCs w:val="24"/>
        </w:rPr>
        <w:t>229 (R</w:t>
      </w:r>
      <w:r w:rsidR="005D1049" w:rsidRPr="00BC1563">
        <w:rPr>
          <w:rFonts w:eastAsia="BatangChe"/>
          <w:b/>
          <w:snapToGrid w:val="0"/>
          <w:szCs w:val="24"/>
        </w:rPr>
        <w:t>é</w:t>
      </w:r>
      <w:r w:rsidRPr="00BC1563">
        <w:rPr>
          <w:rFonts w:eastAsia="BatangChe"/>
          <w:b/>
          <w:snapToGrid w:val="0"/>
          <w:szCs w:val="24"/>
        </w:rPr>
        <w:t>v.C</w:t>
      </w:r>
      <w:r w:rsidR="005D1049" w:rsidRPr="00BC1563">
        <w:rPr>
          <w:rFonts w:eastAsia="BatangChe"/>
          <w:b/>
          <w:snapToGrid w:val="0"/>
          <w:szCs w:val="24"/>
        </w:rPr>
        <w:t>MR</w:t>
      </w:r>
      <w:r w:rsidRPr="00BC1563">
        <w:rPr>
          <w:rFonts w:eastAsia="BatangChe"/>
          <w:b/>
          <w:snapToGrid w:val="0"/>
          <w:szCs w:val="24"/>
        </w:rPr>
        <w:t>-12)</w:t>
      </w:r>
      <w:r w:rsidR="005D1049" w:rsidRPr="00BC1563">
        <w:rPr>
          <w:rFonts w:eastAsia="BatangChe"/>
          <w:b/>
          <w:snapToGrid w:val="0"/>
          <w:szCs w:val="24"/>
        </w:rPr>
        <w:t xml:space="preserve">, </w:t>
      </w:r>
      <w:r w:rsidR="005D1049" w:rsidRPr="00BC1563">
        <w:rPr>
          <w:rFonts w:eastAsia="BatangChe"/>
          <w:bCs/>
          <w:snapToGrid w:val="0"/>
          <w:szCs w:val="24"/>
        </w:rPr>
        <w:t xml:space="preserve">à savoir </w:t>
      </w:r>
      <w:r w:rsidR="005D1049" w:rsidRPr="00BC1563">
        <w:t>23</w:t>
      </w:r>
      <w:r w:rsidR="00D75091" w:rsidRPr="00BC1563">
        <w:t> </w:t>
      </w:r>
      <w:r w:rsidR="005D1049" w:rsidRPr="00BC1563">
        <w:t>dBm</w:t>
      </w:r>
      <w:r w:rsidRPr="00BC1563">
        <w:t>; 17</w:t>
      </w:r>
      <w:r w:rsidR="00D75091" w:rsidRPr="00BC1563">
        <w:t> </w:t>
      </w:r>
      <w:r w:rsidRPr="00BC1563">
        <w:t xml:space="preserve">dB </w:t>
      </w:r>
      <w:r w:rsidR="005D1049" w:rsidRPr="00BC1563">
        <w:t>résulteraient de l'exploitation en extérieur et</w:t>
      </w:r>
      <w:r w:rsidRPr="00BC1563">
        <w:t xml:space="preserve"> </w:t>
      </w:r>
      <w:r w:rsidR="00962B87" w:rsidRPr="00BC1563">
        <w:t>–</w:t>
      </w:r>
      <w:r w:rsidRPr="00BC1563">
        <w:t>2</w:t>
      </w:r>
      <w:r w:rsidR="00D75091" w:rsidRPr="00BC1563">
        <w:t> </w:t>
      </w:r>
      <w:r w:rsidRPr="00BC1563">
        <w:t xml:space="preserve">dB </w:t>
      </w:r>
      <w:r w:rsidR="005D1049" w:rsidRPr="00BC1563">
        <w:t>du fait que la valeur maximale de la</w:t>
      </w:r>
      <w:r w:rsidRPr="00BC1563">
        <w:t xml:space="preserve"> </w:t>
      </w:r>
      <w:r w:rsidR="005D1049" w:rsidRPr="00BC1563">
        <w:t>p.i.r.e. tombe</w:t>
      </w:r>
      <w:r w:rsidR="00B00ECA" w:rsidRPr="00BC1563">
        <w:t>rait</w:t>
      </w:r>
      <w:r w:rsidR="005D1049" w:rsidRPr="00BC1563">
        <w:t xml:space="preserve"> à </w:t>
      </w:r>
      <w:r w:rsidRPr="00BC1563">
        <w:t>21</w:t>
      </w:r>
      <w:r w:rsidR="00D75091" w:rsidRPr="00BC1563">
        <w:t> </w:t>
      </w:r>
      <w:r w:rsidRPr="00BC1563">
        <w:t>dBm.</w:t>
      </w:r>
    </w:p>
    <w:p w14:paraId="4961AED1" w14:textId="504B3BF7" w:rsidR="00941ED6" w:rsidRPr="00BC1563" w:rsidRDefault="00941ED6" w:rsidP="00AD50C0">
      <w:pPr>
        <w:pStyle w:val="enumlev1"/>
      </w:pPr>
      <w:r w:rsidRPr="00BC1563">
        <w:t>•</w:t>
      </w:r>
      <w:r w:rsidRPr="00BC1563">
        <w:tab/>
      </w:r>
      <w:r w:rsidR="00F83854" w:rsidRPr="00BC1563">
        <w:t>La valeur de p.i.r.e. d'un grand nombre de réseaux</w:t>
      </w:r>
      <w:r w:rsidRPr="00BC1563">
        <w:t xml:space="preserve"> RLAN</w:t>
      </w:r>
      <w:r w:rsidR="00F83854" w:rsidRPr="00BC1563">
        <w:t xml:space="preserve"> exploités en extérieur augmenterait considérablement</w:t>
      </w:r>
      <w:r w:rsidR="00A80069" w:rsidRPr="00BC1563">
        <w:t>, sans qu'</w:t>
      </w:r>
      <w:r w:rsidR="00F83854" w:rsidRPr="00BC1563">
        <w:t xml:space="preserve">aucune proposition </w:t>
      </w:r>
      <w:r w:rsidR="00A80069" w:rsidRPr="00BC1563">
        <w:t>ne soit faite quant aux moyens de</w:t>
      </w:r>
      <w:r w:rsidR="00F83854" w:rsidRPr="00BC1563">
        <w:t xml:space="preserve"> limiter </w:t>
      </w:r>
      <w:r w:rsidR="002D3071" w:rsidRPr="00BC1563">
        <w:t>leur nombre</w:t>
      </w:r>
      <w:r w:rsidRPr="00BC1563">
        <w:t>;</w:t>
      </w:r>
      <w:r w:rsidR="00F83854" w:rsidRPr="00BC1563">
        <w:t> et</w:t>
      </w:r>
    </w:p>
    <w:p w14:paraId="437C54A7" w14:textId="6AB05C07" w:rsidR="00941ED6" w:rsidRPr="00BC1563" w:rsidRDefault="00941ED6" w:rsidP="00AD50C0">
      <w:pPr>
        <w:pStyle w:val="enumlev1"/>
      </w:pPr>
      <w:r w:rsidRPr="00BC1563">
        <w:t>•</w:t>
      </w:r>
      <w:r w:rsidRPr="00BC1563">
        <w:tab/>
      </w:r>
      <w:r w:rsidR="00F83854" w:rsidRPr="00BC1563">
        <w:t>La valeur de p.i.r.e. d'un grand nombre de réseaux RLAN exploités en extérieur augmenterait considérablement dans plusieurs pays adjacents</w:t>
      </w:r>
      <w:r w:rsidR="00A80069" w:rsidRPr="00BC1563">
        <w:t>, sans qu'</w:t>
      </w:r>
      <w:r w:rsidR="00F83854" w:rsidRPr="00BC1563">
        <w:t xml:space="preserve">aucune proposition ne </w:t>
      </w:r>
      <w:r w:rsidR="00A80069" w:rsidRPr="00BC1563">
        <w:t>soit</w:t>
      </w:r>
      <w:r w:rsidR="002D3071" w:rsidRPr="00BC1563">
        <w:t xml:space="preserve"> faite quant aux moyens de </w:t>
      </w:r>
      <w:r w:rsidR="00F83854" w:rsidRPr="00BC1563">
        <w:t>limiter</w:t>
      </w:r>
      <w:r w:rsidRPr="00BC1563">
        <w:t xml:space="preserve"> </w:t>
      </w:r>
      <w:r w:rsidR="00F83854" w:rsidRPr="00BC1563">
        <w:t xml:space="preserve">le </w:t>
      </w:r>
      <w:r w:rsidR="00D60CA3" w:rsidRPr="00BC1563">
        <w:t>bruit et le</w:t>
      </w:r>
      <w:r w:rsidR="002D3071" w:rsidRPr="00BC1563">
        <w:t>s</w:t>
      </w:r>
      <w:r w:rsidR="00D60CA3" w:rsidRPr="00BC1563">
        <w:t xml:space="preserve"> brouillage</w:t>
      </w:r>
      <w:r w:rsidR="002D3071" w:rsidRPr="00BC1563">
        <w:t>s</w:t>
      </w:r>
      <w:r w:rsidR="00D60CA3" w:rsidRPr="00BC1563">
        <w:t xml:space="preserve"> cumulatif</w:t>
      </w:r>
      <w:r w:rsidR="002D3071" w:rsidRPr="00BC1563">
        <w:t>s</w:t>
      </w:r>
      <w:r w:rsidR="00D60CA3" w:rsidRPr="00BC1563">
        <w:t xml:space="preserve"> subis par les satellites affectés ou </w:t>
      </w:r>
      <w:r w:rsidR="002D3071" w:rsidRPr="00BC1563">
        <w:t>d'</w:t>
      </w:r>
      <w:r w:rsidR="00D60CA3" w:rsidRPr="00BC1563">
        <w:t>identifier l'origine des brouillages</w:t>
      </w:r>
      <w:r w:rsidRPr="00BC1563">
        <w:t>.</w:t>
      </w:r>
    </w:p>
    <w:p w14:paraId="13C86483" w14:textId="21D3D1C2" w:rsidR="00941ED6" w:rsidRPr="00BC1563" w:rsidRDefault="00941ED6" w:rsidP="00AD50C0">
      <w:pPr>
        <w:pStyle w:val="enumlev1"/>
      </w:pPr>
      <w:r w:rsidRPr="00BC1563">
        <w:t>–</w:t>
      </w:r>
      <w:r w:rsidRPr="00BC1563">
        <w:tab/>
      </w:r>
      <w:r w:rsidRPr="00BC1563">
        <w:rPr>
          <w:b/>
          <w:bCs/>
        </w:rPr>
        <w:t>M</w:t>
      </w:r>
      <w:r w:rsidR="003A7FD5" w:rsidRPr="00BC1563">
        <w:rPr>
          <w:b/>
          <w:bCs/>
        </w:rPr>
        <w:t>é</w:t>
      </w:r>
      <w:r w:rsidRPr="00BC1563">
        <w:rPr>
          <w:b/>
          <w:bCs/>
        </w:rPr>
        <w:t>thod</w:t>
      </w:r>
      <w:r w:rsidR="003A7FD5" w:rsidRPr="00BC1563">
        <w:rPr>
          <w:b/>
          <w:bCs/>
        </w:rPr>
        <w:t>e</w:t>
      </w:r>
      <w:r w:rsidRPr="00BC1563">
        <w:rPr>
          <w:b/>
          <w:bCs/>
        </w:rPr>
        <w:t xml:space="preserve"> A3</w:t>
      </w:r>
    </w:p>
    <w:p w14:paraId="09C4A0E7" w14:textId="0D9DE7FA" w:rsidR="00941ED6" w:rsidRPr="00BC1563" w:rsidRDefault="003A7FD5" w:rsidP="00AD50C0">
      <w:r w:rsidRPr="00BC1563">
        <w:t xml:space="preserve">Cette </w:t>
      </w:r>
      <w:r w:rsidR="00941ED6" w:rsidRPr="00BC1563">
        <w:t>M</w:t>
      </w:r>
      <w:r w:rsidRPr="00BC1563">
        <w:t>é</w:t>
      </w:r>
      <w:r w:rsidR="00941ED6" w:rsidRPr="00BC1563">
        <w:t>thod</w:t>
      </w:r>
      <w:r w:rsidRPr="00BC1563">
        <w:t>e</w:t>
      </w:r>
      <w:r w:rsidR="00941ED6" w:rsidRPr="00BC1563">
        <w:t xml:space="preserve"> </w:t>
      </w:r>
      <w:r w:rsidRPr="00BC1563">
        <w:t xml:space="preserve">permettrait d'exploiter un grand nombre de réseaux RLAN </w:t>
      </w:r>
      <w:r w:rsidR="004664B5" w:rsidRPr="00BC1563">
        <w:t>à</w:t>
      </w:r>
      <w:r w:rsidRPr="00BC1563">
        <w:t xml:space="preserve"> forte puissance en extérieur, ce qui pourrait causer des brouillages aux liaisons montantes de connexion du SMS non OSG dans la bande de fréquences </w:t>
      </w:r>
      <w:r w:rsidR="00941ED6" w:rsidRPr="00BC1563">
        <w:t>5</w:t>
      </w:r>
      <w:r w:rsidR="00D75091" w:rsidRPr="00BC1563">
        <w:t> </w:t>
      </w:r>
      <w:r w:rsidR="00941ED6" w:rsidRPr="00BC1563">
        <w:t>150</w:t>
      </w:r>
      <w:r w:rsidR="00D75091" w:rsidRPr="00BC1563">
        <w:noBreakHyphen/>
      </w:r>
      <w:r w:rsidR="00941ED6" w:rsidRPr="00BC1563">
        <w:t>5</w:t>
      </w:r>
      <w:r w:rsidR="00D75091" w:rsidRPr="00BC1563">
        <w:t> </w:t>
      </w:r>
      <w:r w:rsidR="00941ED6" w:rsidRPr="00BC1563">
        <w:t>250</w:t>
      </w:r>
      <w:r w:rsidR="00D75091" w:rsidRPr="00BC1563">
        <w:t> </w:t>
      </w:r>
      <w:r w:rsidR="00941ED6" w:rsidRPr="00BC1563">
        <w:t xml:space="preserve">MHz. </w:t>
      </w:r>
      <w:r w:rsidRPr="00BC1563">
        <w:t xml:space="preserve">Pour atténuer ces brouillages, il est proposé d'adopter un gabarit </w:t>
      </w:r>
      <w:r w:rsidR="00B24CF3" w:rsidRPr="00BC1563">
        <w:t>de</w:t>
      </w:r>
      <w:r w:rsidR="00941ED6" w:rsidRPr="00BC1563">
        <w:t xml:space="preserve"> p.</w:t>
      </w:r>
      <w:r w:rsidR="00B24CF3" w:rsidRPr="00BC1563">
        <w:t xml:space="preserve">i.r.e. </w:t>
      </w:r>
      <w:r w:rsidR="00A80069" w:rsidRPr="00BC1563">
        <w:t>en fonction de</w:t>
      </w:r>
      <w:r w:rsidR="00B24CF3" w:rsidRPr="00BC1563">
        <w:t xml:space="preserve"> l'angle d'élévation, comme c'est le cas dans la bande</w:t>
      </w:r>
      <w:r w:rsidR="00941ED6" w:rsidRPr="00BC1563">
        <w:t xml:space="preserve"> adjacent</w:t>
      </w:r>
      <w:r w:rsidR="00B24CF3" w:rsidRPr="00BC1563">
        <w:t>e</w:t>
      </w:r>
      <w:r w:rsidR="00941ED6" w:rsidRPr="00BC1563">
        <w:t xml:space="preserve"> 5</w:t>
      </w:r>
      <w:r w:rsidR="00B24CF3" w:rsidRPr="00BC1563">
        <w:t> </w:t>
      </w:r>
      <w:r w:rsidR="00941ED6" w:rsidRPr="00BC1563">
        <w:t>250</w:t>
      </w:r>
      <w:r w:rsidR="00D75091" w:rsidRPr="00BC1563">
        <w:noBreakHyphen/>
      </w:r>
      <w:r w:rsidR="00941ED6" w:rsidRPr="00BC1563">
        <w:t>5</w:t>
      </w:r>
      <w:r w:rsidR="00D75091" w:rsidRPr="00BC1563">
        <w:t> </w:t>
      </w:r>
      <w:r w:rsidR="00941ED6" w:rsidRPr="00BC1563">
        <w:t>350</w:t>
      </w:r>
      <w:r w:rsidR="00D75091" w:rsidRPr="00BC1563">
        <w:t> </w:t>
      </w:r>
      <w:r w:rsidR="00941ED6" w:rsidRPr="00BC1563">
        <w:t>MHz.</w:t>
      </w:r>
    </w:p>
    <w:p w14:paraId="575D70F1" w14:textId="6CC1FEC9" w:rsidR="00941ED6" w:rsidRPr="00BC1563" w:rsidRDefault="00B24CF3" w:rsidP="00AD50C0">
      <w:r w:rsidRPr="00BC1563">
        <w:t xml:space="preserve">On trouvera dans le </w:t>
      </w:r>
      <w:r w:rsidR="00941ED6" w:rsidRPr="00BC1563">
        <w:t>Table</w:t>
      </w:r>
      <w:r w:rsidRPr="00BC1563">
        <w:t>au</w:t>
      </w:r>
      <w:r w:rsidR="00941ED6" w:rsidRPr="00BC1563">
        <w:t xml:space="preserve"> 3 </w:t>
      </w:r>
      <w:r w:rsidRPr="00BC1563">
        <w:t xml:space="preserve">une comparaison entre les règles proposées dans le cadre de la </w:t>
      </w:r>
      <w:r w:rsidR="00941ED6" w:rsidRPr="00BC1563">
        <w:t>M</w:t>
      </w:r>
      <w:r w:rsidRPr="00BC1563">
        <w:t>é</w:t>
      </w:r>
      <w:r w:rsidR="00941ED6" w:rsidRPr="00BC1563">
        <w:t>thod</w:t>
      </w:r>
      <w:r w:rsidRPr="00BC1563">
        <w:t>e</w:t>
      </w:r>
      <w:r w:rsidR="00941ED6" w:rsidRPr="00BC1563">
        <w:t xml:space="preserve"> A3 </w:t>
      </w:r>
      <w:r w:rsidRPr="00BC1563">
        <w:t xml:space="preserve">et les règles en vigueur découlant de la </w:t>
      </w:r>
      <w:r w:rsidR="00941ED6" w:rsidRPr="00BC1563">
        <w:t>R</w:t>
      </w:r>
      <w:r w:rsidRPr="00BC1563">
        <w:t>é</w:t>
      </w:r>
      <w:r w:rsidR="00941ED6" w:rsidRPr="00BC1563">
        <w:t xml:space="preserve">solution </w:t>
      </w:r>
      <w:r w:rsidR="00941ED6" w:rsidRPr="00BC1563">
        <w:rPr>
          <w:b/>
        </w:rPr>
        <w:t>229 (R</w:t>
      </w:r>
      <w:r w:rsidRPr="00BC1563">
        <w:rPr>
          <w:b/>
        </w:rPr>
        <w:t>é</w:t>
      </w:r>
      <w:r w:rsidR="00941ED6" w:rsidRPr="00BC1563">
        <w:rPr>
          <w:b/>
        </w:rPr>
        <w:t>v.C</w:t>
      </w:r>
      <w:r w:rsidRPr="00BC1563">
        <w:rPr>
          <w:b/>
        </w:rPr>
        <w:t>MR</w:t>
      </w:r>
      <w:r w:rsidR="00941ED6" w:rsidRPr="00BC1563">
        <w:rPr>
          <w:b/>
        </w:rPr>
        <w:t>-12)</w:t>
      </w:r>
      <w:r w:rsidR="00941ED6" w:rsidRPr="00BC1563">
        <w:t>.</w:t>
      </w:r>
    </w:p>
    <w:p w14:paraId="7F8AB375" w14:textId="5295D01C" w:rsidR="00941ED6" w:rsidRPr="00BC1563" w:rsidRDefault="00941ED6" w:rsidP="00AD50C0">
      <w:pPr>
        <w:pStyle w:val="TableNo"/>
        <w:spacing w:before="360"/>
      </w:pPr>
      <w:r w:rsidRPr="00BC1563">
        <w:t>TABLE</w:t>
      </w:r>
      <w:r w:rsidR="00B24CF3" w:rsidRPr="00BC1563">
        <w:t>AU</w:t>
      </w:r>
      <w:r w:rsidRPr="00BC1563">
        <w:t xml:space="preserve"> 3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2144"/>
        <w:gridCol w:w="2651"/>
        <w:gridCol w:w="2381"/>
        <w:gridCol w:w="2022"/>
      </w:tblGrid>
      <w:tr w:rsidR="00B24CF3" w:rsidRPr="00BC1563" w14:paraId="3FAC2527" w14:textId="77777777" w:rsidTr="00C22C3A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8EBC" w14:textId="450B0D13" w:rsidR="00B24CF3" w:rsidRPr="00BC1563" w:rsidRDefault="00B24CF3" w:rsidP="00AD50C0">
            <w:pPr>
              <w:pStyle w:val="Tablehead"/>
            </w:pPr>
            <w:r w:rsidRPr="00BC1563">
              <w:t>Paramètre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8643" w14:textId="15C5BCA8" w:rsidR="00B24CF3" w:rsidRPr="00BC1563" w:rsidRDefault="00B24CF3" w:rsidP="00AD50C0">
            <w:pPr>
              <w:pStyle w:val="Tablehead"/>
            </w:pPr>
            <w:r w:rsidRPr="00BC1563">
              <w:t xml:space="preserve">Règles en vigueur découlant de la Résolution 229 (Rév.CMR-12)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6225" w14:textId="28DCA6B9" w:rsidR="00B24CF3" w:rsidRPr="00BC1563" w:rsidRDefault="00B24CF3" w:rsidP="00AD50C0">
            <w:pPr>
              <w:pStyle w:val="Tablehead"/>
            </w:pPr>
            <w:r w:rsidRPr="00BC1563">
              <w:t xml:space="preserve">Règles proposées dans le cadre de la Méthode A3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3347" w14:textId="03333315" w:rsidR="00B24CF3" w:rsidRPr="00BC1563" w:rsidRDefault="00B24CF3" w:rsidP="00AD50C0">
            <w:pPr>
              <w:pStyle w:val="Tablehead"/>
            </w:pPr>
            <w:r w:rsidRPr="00BC1563">
              <w:t>Différence</w:t>
            </w:r>
          </w:p>
        </w:tc>
      </w:tr>
      <w:tr w:rsidR="00B24CF3" w:rsidRPr="00BC1563" w14:paraId="287CA474" w14:textId="77777777" w:rsidTr="00F8385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465" w14:textId="57275754" w:rsidR="00B24CF3" w:rsidRPr="00BC1563" w:rsidRDefault="00B24CF3" w:rsidP="00AD50C0">
            <w:pPr>
              <w:pStyle w:val="Tabletext"/>
            </w:pPr>
            <w:r w:rsidRPr="00BC1563">
              <w:t>p.i.r.e. maximale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E9D" w14:textId="1E41E3C0" w:rsidR="00B24CF3" w:rsidRPr="00BC1563" w:rsidRDefault="00B24CF3" w:rsidP="00AD50C0">
            <w:pPr>
              <w:pStyle w:val="Tabletext"/>
            </w:pPr>
            <w:r w:rsidRPr="00BC1563">
              <w:t>200</w:t>
            </w:r>
            <w:r w:rsidR="00D75091" w:rsidRPr="00BC1563">
              <w:t> </w:t>
            </w:r>
            <w:r w:rsidRPr="00BC1563">
              <w:t>mW (23</w:t>
            </w:r>
            <w:r w:rsidR="00D75091" w:rsidRPr="00BC1563">
              <w:t> </w:t>
            </w:r>
            <w:r w:rsidRPr="00BC1563">
              <w:t>dBm)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DAC3" w14:textId="0205ADD1" w:rsidR="00B24CF3" w:rsidRPr="00BC1563" w:rsidRDefault="00B24CF3" w:rsidP="00AD50C0">
            <w:pPr>
              <w:pStyle w:val="Tabletext"/>
            </w:pPr>
            <w:r w:rsidRPr="00BC1563">
              <w:t>1</w:t>
            </w:r>
            <w:r w:rsidR="00D75091" w:rsidRPr="00BC1563">
              <w:t> </w:t>
            </w:r>
            <w:r w:rsidRPr="00BC1563">
              <w:t>W (30</w:t>
            </w:r>
            <w:r w:rsidR="00D75091" w:rsidRPr="00BC1563">
              <w:t> </w:t>
            </w:r>
            <w:r w:rsidRPr="00BC1563">
              <w:t xml:space="preserve">dBm)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631A" w14:textId="12A6636C" w:rsidR="00B24CF3" w:rsidRPr="00BC1563" w:rsidRDefault="00B24CF3" w:rsidP="00AD50C0">
            <w:pPr>
              <w:pStyle w:val="Tabletext"/>
            </w:pPr>
            <w:r w:rsidRPr="00BC1563">
              <w:t>7</w:t>
            </w:r>
            <w:r w:rsidR="00D75091" w:rsidRPr="00BC1563">
              <w:t> </w:t>
            </w:r>
            <w:r w:rsidRPr="00BC1563">
              <w:t>dB</w:t>
            </w:r>
          </w:p>
        </w:tc>
      </w:tr>
      <w:tr w:rsidR="00B24CF3" w:rsidRPr="00BC1563" w14:paraId="0E3A1EDB" w14:textId="77777777" w:rsidTr="00F8385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BEF8" w14:textId="204F431B" w:rsidR="00B24CF3" w:rsidRPr="00BC1563" w:rsidRDefault="00B24CF3" w:rsidP="00AD50C0">
            <w:pPr>
              <w:pStyle w:val="Tabletext"/>
            </w:pPr>
            <w:r w:rsidRPr="00BC1563">
              <w:t>Contrainte de localisation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1F37" w14:textId="1869180D" w:rsidR="00B24CF3" w:rsidRPr="00BC1563" w:rsidRDefault="00B24CF3" w:rsidP="00AD50C0">
            <w:pPr>
              <w:pStyle w:val="Tabletext"/>
            </w:pPr>
            <w:r w:rsidRPr="00BC1563">
              <w:t>Oui, uniquement en intérieur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42C5" w14:textId="484059ED" w:rsidR="00B24CF3" w:rsidRPr="00BC1563" w:rsidRDefault="00B24CF3" w:rsidP="00AD50C0">
            <w:pPr>
              <w:pStyle w:val="Tabletext"/>
            </w:pPr>
            <w:r w:rsidRPr="00BC1563">
              <w:t>Non, possible en extérieur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579" w14:textId="77777777" w:rsidR="00B24CF3" w:rsidRPr="00BC1563" w:rsidRDefault="00B24CF3" w:rsidP="00AD50C0">
            <w:pPr>
              <w:pStyle w:val="Tabletext"/>
            </w:pPr>
          </w:p>
        </w:tc>
      </w:tr>
      <w:tr w:rsidR="00B24CF3" w:rsidRPr="00BC1563" w14:paraId="516C9A51" w14:textId="77777777" w:rsidTr="00F83854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809D" w14:textId="4FA9589E" w:rsidR="00B24CF3" w:rsidRPr="00BC1563" w:rsidRDefault="00B24CF3" w:rsidP="00AD50C0">
            <w:pPr>
              <w:pStyle w:val="Tabletext"/>
            </w:pPr>
            <w:r w:rsidRPr="00BC1563">
              <w:t>p.i.r.e. maximale résultante en extérieur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E4B2" w14:textId="716977B5" w:rsidR="00B24CF3" w:rsidRPr="00BC1563" w:rsidRDefault="00B24CF3" w:rsidP="00AD50C0">
            <w:pPr>
              <w:pStyle w:val="Tabletext"/>
            </w:pPr>
            <w:r w:rsidRPr="00BC1563">
              <w:t>6</w:t>
            </w:r>
            <w:r w:rsidR="00D75091" w:rsidRPr="00BC1563">
              <w:t> </w:t>
            </w:r>
            <w:r w:rsidRPr="00BC1563">
              <w:t>dBm*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5C74" w14:textId="5F4A8CF7" w:rsidR="00B24CF3" w:rsidRPr="00BC1563" w:rsidRDefault="00B24CF3" w:rsidP="00AD50C0">
            <w:pPr>
              <w:pStyle w:val="Tabletext"/>
            </w:pPr>
            <w:r w:rsidRPr="00BC1563">
              <w:t>30</w:t>
            </w:r>
            <w:r w:rsidR="00D75091" w:rsidRPr="00BC1563">
              <w:t> </w:t>
            </w:r>
            <w:r w:rsidRPr="00BC1563">
              <w:t>dBm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952B" w14:textId="1CE8ECF5" w:rsidR="00B24CF3" w:rsidRPr="00BC1563" w:rsidRDefault="00B24CF3" w:rsidP="00AD50C0">
            <w:pPr>
              <w:pStyle w:val="Tabletext"/>
            </w:pPr>
            <w:r w:rsidRPr="00BC1563">
              <w:t>24</w:t>
            </w:r>
            <w:r w:rsidR="00D75091" w:rsidRPr="00BC1563">
              <w:t> </w:t>
            </w:r>
            <w:r w:rsidRPr="00BC1563">
              <w:t>dB*</w:t>
            </w:r>
          </w:p>
        </w:tc>
      </w:tr>
    </w:tbl>
    <w:p w14:paraId="4E68ED77" w14:textId="7CECB04D" w:rsidR="00941ED6" w:rsidRPr="00BC1563" w:rsidRDefault="00941ED6" w:rsidP="00AD50C0">
      <w:pPr>
        <w:pStyle w:val="Tablelegend"/>
      </w:pPr>
      <w:r w:rsidRPr="00BC1563">
        <w:t xml:space="preserve">* </w:t>
      </w:r>
      <w:r w:rsidR="00B24CF3" w:rsidRPr="00BC1563">
        <w:t xml:space="preserve">En tenant compte d'un affaiblissement lié au bâtiment de </w:t>
      </w:r>
      <w:r w:rsidRPr="00BC1563">
        <w:t>17</w:t>
      </w:r>
      <w:r w:rsidR="00D75091" w:rsidRPr="00BC1563">
        <w:t> </w:t>
      </w:r>
      <w:r w:rsidRPr="00BC1563">
        <w:t>dB</w:t>
      </w:r>
      <w:r w:rsidR="00962B87" w:rsidRPr="00BC1563">
        <w:t>.</w:t>
      </w:r>
    </w:p>
    <w:p w14:paraId="5FFFAFE3" w14:textId="00145410" w:rsidR="00941ED6" w:rsidRPr="00BC1563" w:rsidRDefault="00B24CF3" w:rsidP="00962B87">
      <w:pPr>
        <w:spacing w:before="240"/>
      </w:pPr>
      <w:r w:rsidRPr="00BC1563">
        <w:t>En résumé</w:t>
      </w:r>
      <w:r w:rsidR="00941ED6" w:rsidRPr="00BC1563">
        <w:t xml:space="preserve">, </w:t>
      </w:r>
      <w:r w:rsidRPr="00BC1563">
        <w:t xml:space="preserve">avec la </w:t>
      </w:r>
      <w:r w:rsidR="00941ED6" w:rsidRPr="00BC1563">
        <w:t>M</w:t>
      </w:r>
      <w:r w:rsidRPr="00BC1563">
        <w:t>é</w:t>
      </w:r>
      <w:r w:rsidR="00941ED6" w:rsidRPr="00BC1563">
        <w:t>thod</w:t>
      </w:r>
      <w:r w:rsidRPr="00BC1563">
        <w:t>e</w:t>
      </w:r>
      <w:r w:rsidR="00941ED6" w:rsidRPr="00BC1563">
        <w:t xml:space="preserve"> A3:</w:t>
      </w:r>
    </w:p>
    <w:p w14:paraId="6F0B830F" w14:textId="3D8E557F" w:rsidR="00941ED6" w:rsidRPr="00BC1563" w:rsidRDefault="00941ED6" w:rsidP="00AD50C0">
      <w:pPr>
        <w:pStyle w:val="enumlev1"/>
      </w:pPr>
      <w:r w:rsidRPr="00BC1563">
        <w:t>•</w:t>
      </w:r>
      <w:r w:rsidRPr="00BC1563">
        <w:tab/>
      </w:r>
      <w:r w:rsidR="00B24CF3" w:rsidRPr="00BC1563">
        <w:t xml:space="preserve">La valeur de p.i.r.e. </w:t>
      </w:r>
      <w:r w:rsidR="004664B5" w:rsidRPr="00BC1563">
        <w:t xml:space="preserve">réelle </w:t>
      </w:r>
      <w:r w:rsidR="00B24CF3" w:rsidRPr="00BC1563">
        <w:t>des réseaux</w:t>
      </w:r>
      <w:r w:rsidRPr="00BC1563">
        <w:t xml:space="preserve"> RLAN </w:t>
      </w:r>
      <w:r w:rsidR="00B24CF3" w:rsidRPr="00BC1563">
        <w:t xml:space="preserve">exploités en extérieur augmenterait de </w:t>
      </w:r>
      <w:r w:rsidRPr="00BC1563">
        <w:t>24</w:t>
      </w:r>
      <w:r w:rsidR="00D75091" w:rsidRPr="00BC1563">
        <w:t> </w:t>
      </w:r>
      <w:r w:rsidRPr="00BC1563">
        <w:t xml:space="preserve">dB </w:t>
      </w:r>
      <w:r w:rsidR="00B24CF3" w:rsidRPr="00BC1563">
        <w:t xml:space="preserve">par rapport à la limite </w:t>
      </w:r>
      <w:r w:rsidR="00BB6AF4" w:rsidRPr="00BC1563">
        <w:t xml:space="preserve">en vigueur découlant de la </w:t>
      </w:r>
      <w:r w:rsidRPr="00BC1563">
        <w:rPr>
          <w:rFonts w:eastAsia="BatangChe"/>
          <w:snapToGrid w:val="0"/>
          <w:szCs w:val="24"/>
        </w:rPr>
        <w:t>R</w:t>
      </w:r>
      <w:r w:rsidR="00BB6AF4" w:rsidRPr="00BC1563">
        <w:rPr>
          <w:rFonts w:eastAsia="BatangChe"/>
          <w:snapToGrid w:val="0"/>
          <w:szCs w:val="24"/>
        </w:rPr>
        <w:t>é</w:t>
      </w:r>
      <w:r w:rsidRPr="00BC1563">
        <w:rPr>
          <w:rFonts w:eastAsia="BatangChe"/>
          <w:snapToGrid w:val="0"/>
          <w:szCs w:val="24"/>
        </w:rPr>
        <w:t xml:space="preserve">solution </w:t>
      </w:r>
      <w:r w:rsidRPr="00BC1563">
        <w:rPr>
          <w:rFonts w:eastAsia="BatangChe"/>
          <w:b/>
          <w:snapToGrid w:val="0"/>
          <w:szCs w:val="24"/>
        </w:rPr>
        <w:t>229 (R</w:t>
      </w:r>
      <w:r w:rsidR="00BB6AF4" w:rsidRPr="00BC1563">
        <w:rPr>
          <w:rFonts w:eastAsia="BatangChe"/>
          <w:b/>
          <w:snapToGrid w:val="0"/>
          <w:szCs w:val="24"/>
        </w:rPr>
        <w:t>é</w:t>
      </w:r>
      <w:r w:rsidRPr="00BC1563">
        <w:rPr>
          <w:rFonts w:eastAsia="BatangChe"/>
          <w:b/>
          <w:snapToGrid w:val="0"/>
          <w:szCs w:val="24"/>
        </w:rPr>
        <w:t>v.C</w:t>
      </w:r>
      <w:r w:rsidR="00BB6AF4" w:rsidRPr="00BC1563">
        <w:rPr>
          <w:rFonts w:eastAsia="BatangChe"/>
          <w:b/>
          <w:snapToGrid w:val="0"/>
          <w:szCs w:val="24"/>
        </w:rPr>
        <w:t>MR</w:t>
      </w:r>
      <w:r w:rsidRPr="00BC1563">
        <w:rPr>
          <w:rFonts w:eastAsia="BatangChe"/>
          <w:b/>
          <w:snapToGrid w:val="0"/>
          <w:szCs w:val="24"/>
        </w:rPr>
        <w:t>-12)</w:t>
      </w:r>
      <w:r w:rsidR="00BB6AF4" w:rsidRPr="00BC1563">
        <w:rPr>
          <w:rFonts w:eastAsia="BatangChe"/>
          <w:b/>
          <w:snapToGrid w:val="0"/>
          <w:szCs w:val="24"/>
        </w:rPr>
        <w:t xml:space="preserve">, </w:t>
      </w:r>
      <w:r w:rsidR="00BB6AF4" w:rsidRPr="00BC1563">
        <w:rPr>
          <w:rFonts w:eastAsia="BatangChe"/>
          <w:bCs/>
          <w:snapToGrid w:val="0"/>
          <w:szCs w:val="24"/>
        </w:rPr>
        <w:t xml:space="preserve">à savoir </w:t>
      </w:r>
      <w:r w:rsidR="00BB6AF4" w:rsidRPr="00BC1563">
        <w:t>23</w:t>
      </w:r>
      <w:r w:rsidR="00D75091" w:rsidRPr="00BC1563">
        <w:t> </w:t>
      </w:r>
      <w:r w:rsidR="00BB6AF4" w:rsidRPr="00BC1563">
        <w:t>dBm</w:t>
      </w:r>
      <w:r w:rsidRPr="00BC1563">
        <w:t>; 17</w:t>
      </w:r>
      <w:r w:rsidR="00D75091" w:rsidRPr="00BC1563">
        <w:t> </w:t>
      </w:r>
      <w:r w:rsidRPr="00BC1563">
        <w:t xml:space="preserve">dB </w:t>
      </w:r>
      <w:r w:rsidR="00BB6AF4" w:rsidRPr="00BC1563">
        <w:t xml:space="preserve">résulteraient de l'exploitation en extérieur </w:t>
      </w:r>
      <w:r w:rsidR="00A80069" w:rsidRPr="00BC1563">
        <w:t xml:space="preserve">et </w:t>
      </w:r>
      <w:r w:rsidRPr="00BC1563">
        <w:t>7</w:t>
      </w:r>
      <w:r w:rsidR="00A80069" w:rsidRPr="00BC1563">
        <w:t> </w:t>
      </w:r>
      <w:r w:rsidRPr="00BC1563">
        <w:t xml:space="preserve">dB </w:t>
      </w:r>
      <w:r w:rsidR="00BB6AF4" w:rsidRPr="00BC1563">
        <w:t xml:space="preserve">du fait que la valeur maximale de </w:t>
      </w:r>
      <w:r w:rsidRPr="00BC1563">
        <w:t>p.</w:t>
      </w:r>
      <w:r w:rsidR="00BB6AF4" w:rsidRPr="00BC1563">
        <w:t>i.r.e. passe</w:t>
      </w:r>
      <w:r w:rsidR="004664B5" w:rsidRPr="00BC1563">
        <w:t>rait</w:t>
      </w:r>
      <w:r w:rsidR="00BB6AF4" w:rsidRPr="00BC1563">
        <w:t xml:space="preserve"> à </w:t>
      </w:r>
      <w:r w:rsidRPr="00BC1563">
        <w:t>30</w:t>
      </w:r>
      <w:r w:rsidR="00FC1C2E" w:rsidRPr="00BC1563">
        <w:t> </w:t>
      </w:r>
      <w:r w:rsidRPr="00BC1563">
        <w:t>dBm.</w:t>
      </w:r>
    </w:p>
    <w:p w14:paraId="27AFD05C" w14:textId="22E3D6E9" w:rsidR="00941ED6" w:rsidRPr="00BC1563" w:rsidRDefault="00941ED6" w:rsidP="00AD50C0">
      <w:pPr>
        <w:pStyle w:val="enumlev1"/>
      </w:pPr>
      <w:r w:rsidRPr="00BC1563">
        <w:t>•</w:t>
      </w:r>
      <w:r w:rsidRPr="00BC1563">
        <w:tab/>
      </w:r>
      <w:r w:rsidR="00BB6AF4" w:rsidRPr="00BC1563">
        <w:t>Les réseaux</w:t>
      </w:r>
      <w:r w:rsidRPr="00BC1563">
        <w:t xml:space="preserve"> RLAN </w:t>
      </w:r>
      <w:r w:rsidR="00BB6AF4" w:rsidRPr="00BC1563">
        <w:t xml:space="preserve">exploités en extérieur seraient tenus d'utiliser un gabarit de </w:t>
      </w:r>
      <w:r w:rsidRPr="00BC1563">
        <w:t>p.</w:t>
      </w:r>
      <w:r w:rsidR="00BB6AF4" w:rsidRPr="00BC1563">
        <w:t xml:space="preserve">i.r.e. </w:t>
      </w:r>
      <w:r w:rsidR="00A80069" w:rsidRPr="00BC1563">
        <w:t>en fonction de</w:t>
      </w:r>
      <w:r w:rsidR="00BB6AF4" w:rsidRPr="00BC1563">
        <w:t xml:space="preserve"> l'angle d'élévation, comme dans la bande adjacente </w:t>
      </w:r>
      <w:r w:rsidRPr="00BC1563">
        <w:t>5 250</w:t>
      </w:r>
      <w:r w:rsidR="00D75091" w:rsidRPr="00BC1563">
        <w:noBreakHyphen/>
      </w:r>
      <w:r w:rsidRPr="00BC1563">
        <w:t>5</w:t>
      </w:r>
      <w:r w:rsidR="00A80069" w:rsidRPr="00BC1563">
        <w:t> </w:t>
      </w:r>
      <w:r w:rsidRPr="00BC1563">
        <w:t>350</w:t>
      </w:r>
      <w:r w:rsidR="00A80069" w:rsidRPr="00BC1563">
        <w:t> </w:t>
      </w:r>
      <w:r w:rsidRPr="00BC1563">
        <w:t>MHz</w:t>
      </w:r>
      <w:r w:rsidR="00BB6AF4" w:rsidRPr="00BC1563">
        <w:t xml:space="preserve"> </w:t>
      </w:r>
      <w:r w:rsidR="00206831" w:rsidRPr="00BC1563">
        <w:t>où un tel gabarit</w:t>
      </w:r>
      <w:r w:rsidR="00BB6AF4" w:rsidRPr="00BC1563">
        <w:t xml:space="preserve"> a été mis au point afin de protéger les systèmes du SETS et de recherche spatiale et les radars météorologiques</w:t>
      </w:r>
      <w:r w:rsidRPr="00BC1563">
        <w:t xml:space="preserve">. </w:t>
      </w:r>
      <w:r w:rsidR="00BB6AF4" w:rsidRPr="00BC1563">
        <w:t>Aucune étude n'a été menée pour déterminer si ce gabarit permettrait de protéger les liaisons de connexion du SMS non OSG</w:t>
      </w:r>
      <w:r w:rsidRPr="00BC1563">
        <w:t xml:space="preserve"> </w:t>
      </w:r>
      <w:r w:rsidR="00BB6AF4" w:rsidRPr="00BC1563">
        <w:t xml:space="preserve">fonctionnant dans la bande de fréquences </w:t>
      </w:r>
      <w:r w:rsidRPr="00BC1563">
        <w:t>5</w:t>
      </w:r>
      <w:r w:rsidR="00A80069" w:rsidRPr="00BC1563">
        <w:t> </w:t>
      </w:r>
      <w:r w:rsidRPr="00BC1563">
        <w:t>150</w:t>
      </w:r>
      <w:r w:rsidR="00D75091" w:rsidRPr="00BC1563">
        <w:noBreakHyphen/>
      </w:r>
      <w:r w:rsidRPr="00BC1563">
        <w:t>5</w:t>
      </w:r>
      <w:r w:rsidR="00A80069" w:rsidRPr="00BC1563">
        <w:t> </w:t>
      </w:r>
      <w:r w:rsidRPr="00BC1563">
        <w:t>250</w:t>
      </w:r>
      <w:r w:rsidR="00A80069" w:rsidRPr="00BC1563">
        <w:t> </w:t>
      </w:r>
      <w:r w:rsidRPr="00BC1563">
        <w:t xml:space="preserve">MHz. </w:t>
      </w:r>
      <w:r w:rsidR="00206831" w:rsidRPr="00BC1563">
        <w:t>Fait important, l</w:t>
      </w:r>
      <w:r w:rsidR="00930CE9" w:rsidRPr="00BC1563">
        <w:t>es liaisons de connexion existantes ou en projet fonctionnent à partir de</w:t>
      </w:r>
      <w:r w:rsidRPr="00BC1563">
        <w:t xml:space="preserve"> 5</w:t>
      </w:r>
      <w:r w:rsidRPr="00BC1563">
        <w:rPr>
          <w:vertAlign w:val="superscript"/>
        </w:rPr>
        <w:t xml:space="preserve">0 </w:t>
      </w:r>
      <w:r w:rsidR="00930CE9" w:rsidRPr="00BC1563">
        <w:t>au-dessus de l'horizon,</w:t>
      </w:r>
      <w:r w:rsidR="00206831" w:rsidRPr="00BC1563">
        <w:t xml:space="preserve"> angle</w:t>
      </w:r>
      <w:r w:rsidR="00930CE9" w:rsidRPr="00BC1563">
        <w:t xml:space="preserve"> qui semble correspondre à la valeur </w:t>
      </w:r>
      <w:r w:rsidR="00206831" w:rsidRPr="00BC1563">
        <w:t xml:space="preserve">de p.i.r.e. </w:t>
      </w:r>
      <w:r w:rsidR="00930CE9" w:rsidRPr="00BC1563">
        <w:t>maximale</w:t>
      </w:r>
      <w:r w:rsidR="00324BBB" w:rsidRPr="00BC1563">
        <w:t xml:space="preserve"> </w:t>
      </w:r>
      <w:r w:rsidR="00206831" w:rsidRPr="00BC1563">
        <w:t xml:space="preserve">pour le </w:t>
      </w:r>
      <w:r w:rsidR="00930CE9" w:rsidRPr="00BC1563">
        <w:t xml:space="preserve">gabarit </w:t>
      </w:r>
      <w:r w:rsidR="00206831" w:rsidRPr="00BC1563">
        <w:t xml:space="preserve">proposé </w:t>
      </w:r>
      <w:r w:rsidR="00930CE9" w:rsidRPr="00BC1563">
        <w:t xml:space="preserve">dans le cadre de la Méthode </w:t>
      </w:r>
      <w:r w:rsidRPr="00BC1563">
        <w:t>A3.</w:t>
      </w:r>
    </w:p>
    <w:p w14:paraId="1ED92148" w14:textId="41332478" w:rsidR="00941ED6" w:rsidRPr="00BC1563" w:rsidRDefault="00941ED6" w:rsidP="00AD50C0">
      <w:pPr>
        <w:pStyle w:val="enumlev1"/>
      </w:pPr>
      <w:r w:rsidRPr="00BC1563">
        <w:t>•</w:t>
      </w:r>
      <w:r w:rsidRPr="00BC1563">
        <w:tab/>
      </w:r>
      <w:r w:rsidR="00930CE9" w:rsidRPr="00BC1563">
        <w:t xml:space="preserve">La valeur de p.i.r.e. d'un grand nombre de réseaux </w:t>
      </w:r>
      <w:r w:rsidRPr="00BC1563">
        <w:t>RLAN</w:t>
      </w:r>
      <w:r w:rsidR="00930CE9" w:rsidRPr="00BC1563">
        <w:t xml:space="preserve"> exploités en extérieur</w:t>
      </w:r>
      <w:r w:rsidRPr="00BC1563">
        <w:t xml:space="preserve"> </w:t>
      </w:r>
      <w:r w:rsidR="00930CE9" w:rsidRPr="00BC1563">
        <w:t>augmenterait</w:t>
      </w:r>
      <w:r w:rsidR="00A80069" w:rsidRPr="00BC1563">
        <w:t>, sans qu'</w:t>
      </w:r>
      <w:r w:rsidR="00930CE9" w:rsidRPr="00BC1563">
        <w:t xml:space="preserve">aucune proposition ne </w:t>
      </w:r>
      <w:r w:rsidR="00E90482" w:rsidRPr="00BC1563">
        <w:t>s</w:t>
      </w:r>
      <w:r w:rsidR="00A80069" w:rsidRPr="00BC1563">
        <w:t>o</w:t>
      </w:r>
      <w:r w:rsidR="00E90482" w:rsidRPr="00BC1563">
        <w:t>it faite pour</w:t>
      </w:r>
      <w:r w:rsidR="00930CE9" w:rsidRPr="00BC1563">
        <w:t xml:space="preserve"> en limiter le nombre, </w:t>
      </w:r>
      <w:r w:rsidR="00E90482" w:rsidRPr="00BC1563">
        <w:t xml:space="preserve">ce qu'il est possible de faire notamment </w:t>
      </w:r>
      <w:r w:rsidR="00930CE9" w:rsidRPr="00BC1563">
        <w:t>en enregistrant individuellement chacun de ces réseaux RLAN exploités en extérieur auprès des autorités nationales de régulation du spectre</w:t>
      </w:r>
      <w:r w:rsidRPr="00BC1563">
        <w:t xml:space="preserve">; </w:t>
      </w:r>
      <w:r w:rsidR="00930CE9" w:rsidRPr="00BC1563">
        <w:t>et</w:t>
      </w:r>
    </w:p>
    <w:p w14:paraId="0ADE820E" w14:textId="2E180975" w:rsidR="00941ED6" w:rsidRPr="00BC1563" w:rsidRDefault="00941ED6" w:rsidP="00AD50C0">
      <w:pPr>
        <w:pStyle w:val="enumlev1"/>
      </w:pPr>
      <w:r w:rsidRPr="00BC1563">
        <w:t>•</w:t>
      </w:r>
      <w:r w:rsidRPr="00BC1563">
        <w:tab/>
      </w:r>
      <w:r w:rsidR="00930CE9" w:rsidRPr="00BC1563">
        <w:t xml:space="preserve">La valeur de p.i.r.e. d'un grand nombre de réseaux </w:t>
      </w:r>
      <w:r w:rsidRPr="00BC1563">
        <w:t>RLAN</w:t>
      </w:r>
      <w:r w:rsidR="00930CE9" w:rsidRPr="00BC1563">
        <w:t xml:space="preserve"> exploités en extérieur augmenterait dans les pays adjacents sans que des limites soient fixées concernant le bruit et le</w:t>
      </w:r>
      <w:r w:rsidR="00E90482" w:rsidRPr="00BC1563">
        <w:t>s</w:t>
      </w:r>
      <w:r w:rsidR="00930CE9" w:rsidRPr="00BC1563">
        <w:t xml:space="preserve"> brouillage</w:t>
      </w:r>
      <w:r w:rsidR="00E90482" w:rsidRPr="00BC1563">
        <w:t>s</w:t>
      </w:r>
      <w:r w:rsidR="00930CE9" w:rsidRPr="00BC1563">
        <w:t xml:space="preserve"> cumulatifs subis par les satellites affectés </w:t>
      </w:r>
      <w:r w:rsidR="00176A2F" w:rsidRPr="00BC1563">
        <w:t>et</w:t>
      </w:r>
      <w:r w:rsidR="00E90482" w:rsidRPr="00BC1563">
        <w:t xml:space="preserve"> que</w:t>
      </w:r>
      <w:r w:rsidR="00176A2F" w:rsidRPr="00BC1563">
        <w:t xml:space="preserve"> des méthodes d'identification de l'origine des brouillages soient définies</w:t>
      </w:r>
      <w:r w:rsidRPr="00BC1563">
        <w:t>.</w:t>
      </w:r>
    </w:p>
    <w:p w14:paraId="152FFDB9" w14:textId="25EA7008" w:rsidR="00941ED6" w:rsidRPr="00BC1563" w:rsidRDefault="00176A2F" w:rsidP="00AD50C0">
      <w:pPr>
        <w:pStyle w:val="Headingb"/>
        <w:rPr>
          <w:rFonts w:eastAsia="BatangChe"/>
          <w:lang w:eastAsia="ko-KR"/>
        </w:rPr>
      </w:pPr>
      <w:r w:rsidRPr="00BC1563">
        <w:rPr>
          <w:rFonts w:eastAsia="BatangChe"/>
          <w:lang w:eastAsia="ko-KR"/>
        </w:rPr>
        <w:t>Considérations générales concernant</w:t>
      </w:r>
      <w:r w:rsidR="00941ED6" w:rsidRPr="00BC1563">
        <w:rPr>
          <w:rFonts w:eastAsia="BatangChe"/>
          <w:lang w:eastAsia="ko-KR"/>
        </w:rPr>
        <w:t xml:space="preserve"> </w:t>
      </w:r>
      <w:r w:rsidRPr="00BC1563">
        <w:rPr>
          <w:rFonts w:eastAsia="BatangChe"/>
          <w:lang w:eastAsia="ko-KR"/>
        </w:rPr>
        <w:t xml:space="preserve">la bande </w:t>
      </w:r>
      <w:r w:rsidR="00941ED6" w:rsidRPr="00BC1563">
        <w:rPr>
          <w:rFonts w:eastAsia="BatangChe"/>
          <w:lang w:eastAsia="ko-KR"/>
        </w:rPr>
        <w:t>5</w:t>
      </w:r>
      <w:r w:rsidR="00A80069" w:rsidRPr="00BC1563">
        <w:rPr>
          <w:rFonts w:eastAsia="BatangChe"/>
          <w:lang w:eastAsia="ko-KR"/>
        </w:rPr>
        <w:t> </w:t>
      </w:r>
      <w:r w:rsidR="00941ED6" w:rsidRPr="00BC1563">
        <w:rPr>
          <w:rFonts w:eastAsia="BatangChe"/>
          <w:lang w:eastAsia="ko-KR"/>
        </w:rPr>
        <w:t>725-5</w:t>
      </w:r>
      <w:r w:rsidR="00A80069" w:rsidRPr="00BC1563">
        <w:rPr>
          <w:rFonts w:eastAsia="BatangChe"/>
          <w:lang w:eastAsia="ko-KR"/>
        </w:rPr>
        <w:t> </w:t>
      </w:r>
      <w:r w:rsidR="00941ED6" w:rsidRPr="00BC1563">
        <w:rPr>
          <w:rFonts w:eastAsia="BatangChe"/>
          <w:lang w:eastAsia="ko-KR"/>
        </w:rPr>
        <w:t>850</w:t>
      </w:r>
      <w:r w:rsidR="00A80069" w:rsidRPr="00BC1563">
        <w:rPr>
          <w:rFonts w:eastAsia="BatangChe"/>
          <w:lang w:eastAsia="ko-KR"/>
        </w:rPr>
        <w:t> </w:t>
      </w:r>
      <w:r w:rsidR="00941ED6" w:rsidRPr="00BC1563">
        <w:rPr>
          <w:rFonts w:eastAsia="BatangChe"/>
          <w:lang w:eastAsia="ko-KR"/>
        </w:rPr>
        <w:t xml:space="preserve">MHz </w:t>
      </w:r>
    </w:p>
    <w:p w14:paraId="5B1412B1" w14:textId="069DF81F" w:rsidR="003A583E" w:rsidRPr="00BC1563" w:rsidRDefault="00FC13E6" w:rsidP="00AD50C0">
      <w:r w:rsidRPr="00BC1563">
        <w:t>Les études de compatibilité menée</w:t>
      </w:r>
      <w:r w:rsidR="00E90482" w:rsidRPr="00BC1563">
        <w:t>s</w:t>
      </w:r>
      <w:r w:rsidR="00941ED6" w:rsidRPr="00BC1563">
        <w:t xml:space="preserve"> </w:t>
      </w:r>
      <w:r w:rsidRPr="00BC1563">
        <w:t xml:space="preserve">dans le cadre des travaux préparatoires de la </w:t>
      </w:r>
      <w:r w:rsidR="00941ED6" w:rsidRPr="00BC1563">
        <w:t>C</w:t>
      </w:r>
      <w:r w:rsidRPr="00BC1563">
        <w:t>MR</w:t>
      </w:r>
      <w:r w:rsidR="00941ED6" w:rsidRPr="00BC1563">
        <w:t xml:space="preserve">-15 </w:t>
      </w:r>
      <w:r w:rsidRPr="00BC1563">
        <w:t xml:space="preserve">indiquent que les mesures proposées pour atténuer les brouillages causés par les réseaux </w:t>
      </w:r>
      <w:r w:rsidR="00941ED6" w:rsidRPr="00BC1563">
        <w:t xml:space="preserve">WAS/RLAN </w:t>
      </w:r>
      <w:r w:rsidR="00A80069" w:rsidRPr="00BC1563">
        <w:t>ne suffisaient</w:t>
      </w:r>
      <w:r w:rsidRPr="00BC1563">
        <w:t xml:space="preserve"> pas à protéger certains types de </w:t>
      </w:r>
      <w:r w:rsidR="00941ED6" w:rsidRPr="00BC1563">
        <w:t xml:space="preserve">radar. </w:t>
      </w:r>
      <w:r w:rsidR="00D27DC3" w:rsidRPr="00BC1563">
        <w:t>Reconnaissant que l'application de mesures supplémentaires d'atténuation des brouillages causés par les réseaux WAS/RLAN pourrait bien être une condition indispensable du partage de fréquences entre le service mobile et le service de radiolocalisation</w:t>
      </w:r>
      <w:r w:rsidR="00941ED6" w:rsidRPr="00BC1563">
        <w:t xml:space="preserve">, </w:t>
      </w:r>
      <w:r w:rsidR="00D27DC3" w:rsidRPr="00BC1563">
        <w:t xml:space="preserve">la CMR a, dans sa Résolution </w:t>
      </w:r>
      <w:r w:rsidR="00D27DC3" w:rsidRPr="00BC1563">
        <w:rPr>
          <w:b/>
          <w:bCs/>
        </w:rPr>
        <w:t>239 (CMR-15)</w:t>
      </w:r>
      <w:r w:rsidR="00D27DC3" w:rsidRPr="00BC1563">
        <w:t xml:space="preserve">, invité l'UIT-R </w:t>
      </w:r>
      <w:r w:rsidR="00941ED6" w:rsidRPr="00BC1563">
        <w:t xml:space="preserve">à </w:t>
      </w:r>
      <w:r w:rsidR="00D27DC3" w:rsidRPr="00BC1563">
        <w:t>faire des recherches sur les techniques d'atténuation,</w:t>
      </w:r>
      <w:r w:rsidR="00661A06" w:rsidRPr="00BC1563">
        <w:t xml:space="preserve"> précisément en ces termes: </w:t>
      </w:r>
      <w:r w:rsidR="00962B87" w:rsidRPr="00BC1563">
        <w:t>«</w:t>
      </w:r>
      <w:r w:rsidR="00941ED6" w:rsidRPr="00BC1563">
        <w:t>effectuer des études approfondies de partage et de compatibilité, y compris des techniques d'atténuation des brouillages, entre les réseaux WAS/RLAN et les services existants</w:t>
      </w:r>
      <w:r w:rsidR="00962B87" w:rsidRPr="00BC1563">
        <w:t>»</w:t>
      </w:r>
      <w:r w:rsidR="00E90482" w:rsidRPr="00BC1563">
        <w:t>.</w:t>
      </w:r>
    </w:p>
    <w:p w14:paraId="47463AF8" w14:textId="418B67E8" w:rsidR="0031435E" w:rsidRPr="00BC1563" w:rsidRDefault="003E591A" w:rsidP="00AD50C0">
      <w:r w:rsidRPr="00BC1563">
        <w:t>Comme cela est indiqué dans le Rapport de la RPC,</w:t>
      </w:r>
      <w:r w:rsidR="0031435E" w:rsidRPr="00BC1563">
        <w:t xml:space="preserve"> les techniques </w:t>
      </w:r>
      <w:r w:rsidRPr="00BC1563">
        <w:t>d'atténuation actuelles ne suffisent</w:t>
      </w:r>
      <w:r w:rsidR="0031435E" w:rsidRPr="00BC1563">
        <w:t xml:space="preserve"> pas à protéger </w:t>
      </w:r>
      <w:r w:rsidRPr="00BC1563">
        <w:t>certains</w:t>
      </w:r>
      <w:r w:rsidR="0031435E" w:rsidRPr="00BC1563">
        <w:t xml:space="preserve"> radars fonctionnant dans la bande de fréquences 5 725</w:t>
      </w:r>
      <w:r w:rsidR="0031435E" w:rsidRPr="00BC1563">
        <w:noBreakHyphen/>
        <w:t>5 850 MHz. Aucun nouvel</w:t>
      </w:r>
      <w:r w:rsidR="00A80069" w:rsidRPr="00BC1563">
        <w:t xml:space="preserve"> élément n'a été présenté sur d'autres techniques</w:t>
      </w:r>
      <w:r w:rsidR="0031435E" w:rsidRPr="00BC1563">
        <w:t xml:space="preserve"> d'atténuation en vue de protéger ces </w:t>
      </w:r>
      <w:r w:rsidRPr="00BC1563">
        <w:t>systèmes</w:t>
      </w:r>
      <w:r w:rsidR="0031435E" w:rsidRPr="00BC1563">
        <w:t>.</w:t>
      </w:r>
    </w:p>
    <w:p w14:paraId="193E6BC4" w14:textId="21CF5439" w:rsidR="0031435E" w:rsidRPr="00BC1563" w:rsidRDefault="00C942C2" w:rsidP="00AD50C0">
      <w:r w:rsidRPr="00BC1563">
        <w:t>Des analyses ont permis de confirmer que des distances de protection importantes</w:t>
      </w:r>
      <w:r w:rsidR="0031435E" w:rsidRPr="00BC1563">
        <w:t xml:space="preserve"> </w:t>
      </w:r>
      <w:r w:rsidR="004B7523" w:rsidRPr="00BC1563">
        <w:t>étaient</w:t>
      </w:r>
      <w:r w:rsidRPr="00BC1563">
        <w:t xml:space="preserve"> nécessaires pour que le service de radiolocalisation fonctionne sans problème</w:t>
      </w:r>
      <w:r w:rsidR="0031435E" w:rsidRPr="00BC1563">
        <w:t xml:space="preserve">. </w:t>
      </w:r>
      <w:r w:rsidRPr="00BC1563">
        <w:t xml:space="preserve">Une </w:t>
      </w:r>
      <w:r w:rsidR="0031435E" w:rsidRPr="00BC1563">
        <w:t>analys</w:t>
      </w:r>
      <w:r w:rsidRPr="00BC1563">
        <w:t xml:space="preserve">e statistique </w:t>
      </w:r>
      <w:r w:rsidR="004B7523" w:rsidRPr="00BC1563">
        <w:t>sur les</w:t>
      </w:r>
      <w:r w:rsidRPr="00BC1563">
        <w:t xml:space="preserve"> radars</w:t>
      </w:r>
      <w:r w:rsidR="0031435E" w:rsidRPr="00BC1563">
        <w:t xml:space="preserve"> 22 </w:t>
      </w:r>
      <w:r w:rsidRPr="00BC1563">
        <w:t xml:space="preserve">et </w:t>
      </w:r>
      <w:r w:rsidR="0031435E" w:rsidRPr="00BC1563">
        <w:t xml:space="preserve">23 </w:t>
      </w:r>
      <w:r w:rsidRPr="00BC1563">
        <w:t xml:space="preserve">de la </w:t>
      </w:r>
      <w:r w:rsidR="0031435E" w:rsidRPr="00BC1563">
        <w:t>Recomm</w:t>
      </w:r>
      <w:r w:rsidRPr="00BC1563">
        <w:t>a</w:t>
      </w:r>
      <w:r w:rsidR="0031435E" w:rsidRPr="00BC1563">
        <w:t>ndation U</w:t>
      </w:r>
      <w:r w:rsidRPr="00BC1563">
        <w:t>IT</w:t>
      </w:r>
      <w:r w:rsidR="0031435E" w:rsidRPr="00BC1563">
        <w:t xml:space="preserve">-R M.1638-1 </w:t>
      </w:r>
      <w:r w:rsidRPr="00BC1563">
        <w:t xml:space="preserve">a montré que le système actuel de sélection dynamique des fréquences (DFS) des réseaux </w:t>
      </w:r>
      <w:r w:rsidR="0031435E" w:rsidRPr="00BC1563">
        <w:t xml:space="preserve">WAS/RLAN </w:t>
      </w:r>
      <w:r w:rsidRPr="00BC1563">
        <w:t>ne permettait pas de détecter ces radars</w:t>
      </w:r>
      <w:r w:rsidR="0031435E" w:rsidRPr="00BC1563">
        <w:t xml:space="preserve">. </w:t>
      </w:r>
      <w:r w:rsidRPr="00BC1563">
        <w:t xml:space="preserve">De plus, </w:t>
      </w:r>
      <w:r w:rsidR="004B7523" w:rsidRPr="00BC1563">
        <w:t>a</w:t>
      </w:r>
      <w:r w:rsidR="0031435E" w:rsidRPr="00BC1563">
        <w:t xml:space="preserve">ucune nouvelle </w:t>
      </w:r>
      <w:r w:rsidR="00A80069" w:rsidRPr="00BC1563">
        <w:t xml:space="preserve">proposition n'a été présentée sur d'autres </w:t>
      </w:r>
      <w:r w:rsidR="0031435E" w:rsidRPr="00BC1563">
        <w:t>technique</w:t>
      </w:r>
      <w:r w:rsidR="00A80069" w:rsidRPr="00BC1563">
        <w:t>s</w:t>
      </w:r>
      <w:r w:rsidR="0031435E" w:rsidRPr="00BC1563">
        <w:t xml:space="preserve"> d'atténuation en vue de protéger ces </w:t>
      </w:r>
      <w:r w:rsidR="00E214FE" w:rsidRPr="00BC1563">
        <w:t>radars fonctionnant par sauts de fréquence rapides</w:t>
      </w:r>
      <w:r w:rsidR="0031435E" w:rsidRPr="00BC1563">
        <w:t>.</w:t>
      </w:r>
    </w:p>
    <w:p w14:paraId="785C1554" w14:textId="4DD92E14" w:rsidR="0031435E" w:rsidRPr="00BC1563" w:rsidRDefault="0031435E" w:rsidP="00AD50C0">
      <w:pPr>
        <w:pStyle w:val="Heading1"/>
      </w:pPr>
      <w:r w:rsidRPr="00BC1563">
        <w:rPr>
          <w:rFonts w:eastAsia="BatangChe"/>
          <w:lang w:eastAsia="ko-KR"/>
        </w:rPr>
        <w:t>2</w:t>
      </w:r>
      <w:r w:rsidRPr="00BC1563">
        <w:rPr>
          <w:rFonts w:eastAsia="BatangChe"/>
          <w:lang w:eastAsia="ko-KR"/>
        </w:rPr>
        <w:tab/>
        <w:t>Propos</w:t>
      </w:r>
      <w:r w:rsidR="00E214FE" w:rsidRPr="00BC1563">
        <w:rPr>
          <w:rFonts w:eastAsia="BatangChe"/>
          <w:lang w:eastAsia="ko-KR"/>
        </w:rPr>
        <w:t>itions</w:t>
      </w:r>
    </w:p>
    <w:p w14:paraId="2C1DE50C" w14:textId="77777777" w:rsidR="0015203F" w:rsidRPr="00BC1563" w:rsidRDefault="0015203F" w:rsidP="00AD50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C1563">
        <w:br w:type="page"/>
      </w:r>
    </w:p>
    <w:p w14:paraId="11E8C18C" w14:textId="77777777" w:rsidR="00F83854" w:rsidRPr="00BC1563" w:rsidRDefault="0018459C" w:rsidP="00AD50C0">
      <w:pPr>
        <w:pStyle w:val="ArtNo"/>
        <w:spacing w:before="0"/>
      </w:pPr>
      <w:bookmarkStart w:id="6" w:name="_Toc455752914"/>
      <w:bookmarkStart w:id="7" w:name="_Toc455756153"/>
      <w:r w:rsidRPr="00BC1563">
        <w:t xml:space="preserve">ARTICLE </w:t>
      </w:r>
      <w:r w:rsidRPr="00BC1563">
        <w:rPr>
          <w:rStyle w:val="href"/>
          <w:color w:val="000000"/>
        </w:rPr>
        <w:t>5</w:t>
      </w:r>
      <w:bookmarkEnd w:id="6"/>
      <w:bookmarkEnd w:id="7"/>
    </w:p>
    <w:p w14:paraId="2955D693" w14:textId="77777777" w:rsidR="00F83854" w:rsidRPr="00BC1563" w:rsidRDefault="0018459C" w:rsidP="00AD50C0">
      <w:pPr>
        <w:pStyle w:val="Arttitle"/>
      </w:pPr>
      <w:bookmarkStart w:id="8" w:name="_Toc455752915"/>
      <w:bookmarkStart w:id="9" w:name="_Toc455756154"/>
      <w:r w:rsidRPr="00BC1563">
        <w:t>Attribution des bandes de fréquences</w:t>
      </w:r>
      <w:bookmarkEnd w:id="8"/>
      <w:bookmarkEnd w:id="9"/>
    </w:p>
    <w:p w14:paraId="5D15A084" w14:textId="77777777" w:rsidR="00F83854" w:rsidRPr="00BC1563" w:rsidRDefault="0018459C" w:rsidP="00AD50C0">
      <w:pPr>
        <w:pStyle w:val="Section1"/>
        <w:keepNext/>
        <w:rPr>
          <w:b w:val="0"/>
          <w:color w:val="000000"/>
        </w:rPr>
      </w:pPr>
      <w:r w:rsidRPr="00BC1563">
        <w:t>Section IV – Tableau d'attribution des bandes de fréquences</w:t>
      </w:r>
      <w:r w:rsidRPr="00BC1563">
        <w:br/>
      </w:r>
      <w:r w:rsidRPr="00BC1563">
        <w:rPr>
          <w:b w:val="0"/>
          <w:bCs/>
        </w:rPr>
        <w:t xml:space="preserve">(Voir le numéro </w:t>
      </w:r>
      <w:r w:rsidRPr="00BC1563">
        <w:t>2.1</w:t>
      </w:r>
      <w:r w:rsidRPr="00BC1563">
        <w:rPr>
          <w:b w:val="0"/>
          <w:bCs/>
        </w:rPr>
        <w:t>)</w:t>
      </w:r>
      <w:r w:rsidRPr="00BC1563">
        <w:rPr>
          <w:b w:val="0"/>
          <w:color w:val="000000"/>
        </w:rPr>
        <w:br/>
      </w:r>
    </w:p>
    <w:p w14:paraId="21BBBD00" w14:textId="77777777" w:rsidR="00030524" w:rsidRPr="00BC1563" w:rsidRDefault="0018459C" w:rsidP="00AD50C0">
      <w:pPr>
        <w:pStyle w:val="Proposal"/>
      </w:pPr>
      <w:r w:rsidRPr="00BC1563">
        <w:rPr>
          <w:u w:val="single"/>
        </w:rPr>
        <w:t>NOC</w:t>
      </w:r>
      <w:r w:rsidRPr="00BC1563">
        <w:tab/>
        <w:t>AUS/47A16/1</w:t>
      </w:r>
      <w:r w:rsidRPr="00BC1563">
        <w:rPr>
          <w:vanish/>
          <w:color w:val="7F7F7F" w:themeColor="text1" w:themeTint="80"/>
          <w:vertAlign w:val="superscript"/>
        </w:rPr>
        <w:t>#49950</w:t>
      </w:r>
    </w:p>
    <w:p w14:paraId="3A4E62B2" w14:textId="5E539EC2" w:rsidR="00F83854" w:rsidRPr="00BC1563" w:rsidRDefault="0018459C" w:rsidP="00AD50C0">
      <w:pPr>
        <w:pStyle w:val="Tabletitle"/>
        <w:spacing w:before="120"/>
        <w:rPr>
          <w:color w:val="000000"/>
        </w:rPr>
      </w:pPr>
      <w:r w:rsidRPr="00BC1563">
        <w:rPr>
          <w:color w:val="000000"/>
        </w:rPr>
        <w:t>4 800-5 250</w:t>
      </w:r>
      <w:r w:rsidR="00CF7AA7" w:rsidRPr="00BC1563">
        <w:rPr>
          <w:color w:val="000000"/>
        </w:rPr>
        <w:t> </w:t>
      </w:r>
      <w:r w:rsidRPr="00BC1563">
        <w:rPr>
          <w:color w:val="000000"/>
        </w:rPr>
        <w:t>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83854" w:rsidRPr="00BC1563" w14:paraId="197B8F97" w14:textId="77777777" w:rsidTr="00F8385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1B41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Attribution aux services</w:t>
            </w:r>
          </w:p>
        </w:tc>
      </w:tr>
      <w:tr w:rsidR="00F83854" w:rsidRPr="00BC1563" w14:paraId="33B97CFB" w14:textId="77777777" w:rsidTr="00F8385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5AD0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8B7EE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DB30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Région 3</w:t>
            </w:r>
          </w:p>
        </w:tc>
      </w:tr>
      <w:tr w:rsidR="00F83854" w:rsidRPr="00BC1563" w14:paraId="391A9019" w14:textId="77777777" w:rsidTr="00F83854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7A07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</w:pPr>
            <w:r w:rsidRPr="00BC1563">
              <w:rPr>
                <w:rStyle w:val="Tablefreq"/>
              </w:rPr>
              <w:t>5 150-5 250</w:t>
            </w:r>
            <w:r w:rsidRPr="00BC1563">
              <w:rPr>
                <w:color w:val="000000"/>
              </w:rPr>
              <w:tab/>
              <w:t xml:space="preserve">FIXE PAR SATELLITE (Terre vers espace)  </w:t>
            </w:r>
            <w:r w:rsidRPr="00BC1563">
              <w:t>5.447A</w:t>
            </w:r>
          </w:p>
          <w:p w14:paraId="09E25E60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 xml:space="preserve">MOBILE sauf mobile aéronautique  </w:t>
            </w:r>
            <w:r w:rsidRPr="00BC1563">
              <w:rPr>
                <w:rStyle w:val="Artref"/>
                <w:color w:val="000000"/>
              </w:rPr>
              <w:t>5.446A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5.446B</w:t>
            </w:r>
          </w:p>
          <w:p w14:paraId="4C4B37DB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RADIONAVIGATION AÉRONAUTIQUE</w:t>
            </w:r>
          </w:p>
          <w:p w14:paraId="7CAAA220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</w:r>
            <w:r w:rsidRPr="00BC1563">
              <w:rPr>
                <w:rStyle w:val="Artref"/>
                <w:color w:val="000000"/>
              </w:rPr>
              <w:t>5.446</w:t>
            </w:r>
            <w:r w:rsidRPr="00BC1563">
              <w:rPr>
                <w:color w:val="000000"/>
              </w:rPr>
              <w:t xml:space="preserve">  5.446C  </w:t>
            </w:r>
            <w:r w:rsidRPr="00BC1563">
              <w:rPr>
                <w:rStyle w:val="Artref"/>
                <w:color w:val="000000"/>
              </w:rPr>
              <w:t>5.447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5.447B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5.447C</w:t>
            </w:r>
          </w:p>
        </w:tc>
      </w:tr>
    </w:tbl>
    <w:p w14:paraId="4B16ED44" w14:textId="77777777" w:rsidR="00030524" w:rsidRPr="00BC1563" w:rsidRDefault="00030524" w:rsidP="00AD50C0"/>
    <w:p w14:paraId="49992FE8" w14:textId="07A8B08E" w:rsidR="00030524" w:rsidRPr="00BC1563" w:rsidRDefault="0018459C" w:rsidP="00AD50C0">
      <w:pPr>
        <w:pStyle w:val="Reasons"/>
      </w:pPr>
      <w:r w:rsidRPr="00BC1563">
        <w:rPr>
          <w:b/>
        </w:rPr>
        <w:t>Motifs:</w:t>
      </w:r>
      <w:r w:rsidRPr="00BC1563">
        <w:tab/>
      </w:r>
      <w:r w:rsidR="006901EF" w:rsidRPr="00BC1563">
        <w:t xml:space="preserve">Compte tenu </w:t>
      </w:r>
      <w:r w:rsidR="00E74485" w:rsidRPr="00BC1563">
        <w:t xml:space="preserve">des préoccupations </w:t>
      </w:r>
      <w:r w:rsidR="006901EF" w:rsidRPr="00BC1563">
        <w:t>exprimées au sujet</w:t>
      </w:r>
      <w:r w:rsidR="00E74485" w:rsidRPr="00BC1563">
        <w:t xml:space="preserve"> </w:t>
      </w:r>
      <w:r w:rsidR="006901EF" w:rsidRPr="00BC1563">
        <w:t>d</w:t>
      </w:r>
      <w:r w:rsidR="00E74485" w:rsidRPr="00BC1563">
        <w:t>es modes de protection des services existants tels que les liaisons montantes de connexion du SMS non OSG</w:t>
      </w:r>
      <w:r w:rsidR="0031435E" w:rsidRPr="00BC1563">
        <w:t xml:space="preserve"> </w:t>
      </w:r>
      <w:r w:rsidR="00E74485" w:rsidRPr="00BC1563">
        <w:t>au cas où les conditions réglementaires fixées dans la</w:t>
      </w:r>
      <w:r w:rsidR="0031435E" w:rsidRPr="00BC1563">
        <w:t xml:space="preserve"> R</w:t>
      </w:r>
      <w:r w:rsidR="00E74485" w:rsidRPr="00BC1563">
        <w:t>é</w:t>
      </w:r>
      <w:r w:rsidR="0031435E" w:rsidRPr="00BC1563">
        <w:t xml:space="preserve">solution </w:t>
      </w:r>
      <w:r w:rsidR="0031435E" w:rsidRPr="00BC1563">
        <w:rPr>
          <w:b/>
        </w:rPr>
        <w:t>229 (R</w:t>
      </w:r>
      <w:r w:rsidR="00E74485" w:rsidRPr="00BC1563">
        <w:rPr>
          <w:b/>
        </w:rPr>
        <w:t>é</w:t>
      </w:r>
      <w:r w:rsidR="0031435E" w:rsidRPr="00BC1563">
        <w:rPr>
          <w:b/>
        </w:rPr>
        <w:t>v.C</w:t>
      </w:r>
      <w:r w:rsidR="00E74485" w:rsidRPr="00BC1563">
        <w:rPr>
          <w:b/>
        </w:rPr>
        <w:t>MR</w:t>
      </w:r>
      <w:r w:rsidR="0031435E" w:rsidRPr="00BC1563">
        <w:rPr>
          <w:b/>
        </w:rPr>
        <w:t>-12)</w:t>
      </w:r>
      <w:r w:rsidR="0031435E" w:rsidRPr="00BC1563">
        <w:t xml:space="preserve"> </w:t>
      </w:r>
      <w:r w:rsidR="00E74485" w:rsidRPr="00BC1563">
        <w:t xml:space="preserve">étaient </w:t>
      </w:r>
      <w:r w:rsidR="00343B7D" w:rsidRPr="00BC1563">
        <w:t>assouplie</w:t>
      </w:r>
      <w:r w:rsidR="00E74485" w:rsidRPr="00BC1563">
        <w:t>s</w:t>
      </w:r>
      <w:r w:rsidR="0031435E" w:rsidRPr="00BC1563">
        <w:t xml:space="preserve">, </w:t>
      </w:r>
      <w:r w:rsidR="00E74485" w:rsidRPr="00BC1563">
        <w:t xml:space="preserve">et </w:t>
      </w:r>
      <w:r w:rsidR="006901EF" w:rsidRPr="00BC1563">
        <w:t>du fait qu</w:t>
      </w:r>
      <w:r w:rsidR="004B7523" w:rsidRPr="00BC1563">
        <w:t>'après</w:t>
      </w:r>
      <w:r w:rsidR="006901EF" w:rsidRPr="00BC1563">
        <w:t xml:space="preserve"> quatre années d'étude par le GT 5A, aucun</w:t>
      </w:r>
      <w:r w:rsidR="00E74485" w:rsidRPr="00BC1563">
        <w:t xml:space="preserve"> Rapport UIT-R </w:t>
      </w:r>
      <w:r w:rsidR="006901EF" w:rsidRPr="00BC1563">
        <w:t xml:space="preserve">n'a été élaboré </w:t>
      </w:r>
      <w:r w:rsidR="00E74485" w:rsidRPr="00BC1563">
        <w:t xml:space="preserve">sur le point </w:t>
      </w:r>
      <w:r w:rsidR="0031435E" w:rsidRPr="00BC1563">
        <w:t xml:space="preserve">1.16 </w:t>
      </w:r>
      <w:r w:rsidR="00E74485" w:rsidRPr="00BC1563">
        <w:t>de l'ordre du jour de la CMR-19</w:t>
      </w:r>
      <w:r w:rsidR="006901EF" w:rsidRPr="00BC1563">
        <w:t>, l'</w:t>
      </w:r>
      <w:r w:rsidR="0031435E" w:rsidRPr="00BC1563">
        <w:t>Australi</w:t>
      </w:r>
      <w:r w:rsidR="006901EF" w:rsidRPr="00BC1563">
        <w:t>e</w:t>
      </w:r>
      <w:r w:rsidR="0031435E" w:rsidRPr="00BC1563">
        <w:t xml:space="preserve"> </w:t>
      </w:r>
      <w:r w:rsidR="006901EF" w:rsidRPr="00BC1563">
        <w:t xml:space="preserve">n'est pas favorable à la </w:t>
      </w:r>
      <w:r w:rsidR="0031435E" w:rsidRPr="00BC1563">
        <w:t>M</w:t>
      </w:r>
      <w:r w:rsidR="006901EF" w:rsidRPr="00BC1563">
        <w:t>é</w:t>
      </w:r>
      <w:r w:rsidR="0031435E" w:rsidRPr="00BC1563">
        <w:t>thod</w:t>
      </w:r>
      <w:r w:rsidR="006901EF" w:rsidRPr="00BC1563">
        <w:t>e</w:t>
      </w:r>
      <w:r w:rsidR="0031435E" w:rsidRPr="00BC1563">
        <w:t xml:space="preserve"> A2 </w:t>
      </w:r>
      <w:r w:rsidR="006901EF" w:rsidRPr="00BC1563">
        <w:t xml:space="preserve">ou à la </w:t>
      </w:r>
      <w:r w:rsidR="0031435E" w:rsidRPr="00BC1563">
        <w:t>M</w:t>
      </w:r>
      <w:r w:rsidR="006901EF" w:rsidRPr="00BC1563">
        <w:t>é</w:t>
      </w:r>
      <w:r w:rsidR="0031435E" w:rsidRPr="00BC1563">
        <w:t>thod</w:t>
      </w:r>
      <w:r w:rsidR="006901EF" w:rsidRPr="00BC1563">
        <w:t>e</w:t>
      </w:r>
      <w:r w:rsidR="0031435E" w:rsidRPr="00BC1563">
        <w:t xml:space="preserve"> A3 </w:t>
      </w:r>
      <w:r w:rsidR="006901EF" w:rsidRPr="00BC1563">
        <w:t>du Rapport de la RPC</w:t>
      </w:r>
      <w:r w:rsidR="0031435E" w:rsidRPr="00BC1563">
        <w:t xml:space="preserve">. </w:t>
      </w:r>
      <w:r w:rsidR="006901EF" w:rsidRPr="00BC1563">
        <w:t xml:space="preserve">L'Australie souhaite donc adopter la </w:t>
      </w:r>
      <w:r w:rsidR="0031435E" w:rsidRPr="00BC1563">
        <w:t>M</w:t>
      </w:r>
      <w:r w:rsidR="006901EF" w:rsidRPr="00BC1563">
        <w:t>é</w:t>
      </w:r>
      <w:r w:rsidR="0031435E" w:rsidRPr="00BC1563">
        <w:t>thod</w:t>
      </w:r>
      <w:r w:rsidR="006901EF" w:rsidRPr="00BC1563">
        <w:t>e</w:t>
      </w:r>
      <w:r w:rsidR="0031435E" w:rsidRPr="00BC1563">
        <w:t xml:space="preserve"> A1 </w:t>
      </w:r>
      <w:r w:rsidR="006901EF" w:rsidRPr="00BC1563">
        <w:t xml:space="preserve">du Rapport de la RPC </w:t>
      </w:r>
      <w:r w:rsidR="0031435E" w:rsidRPr="00BC1563">
        <w:t xml:space="preserve">(NOC) </w:t>
      </w:r>
      <w:r w:rsidR="006901EF" w:rsidRPr="00BC1563">
        <w:t xml:space="preserve">en ce qui concerne la bande de fréquences </w:t>
      </w:r>
      <w:r w:rsidR="0031435E" w:rsidRPr="00BC1563">
        <w:t>5</w:t>
      </w:r>
      <w:r w:rsidR="00CF7AA7" w:rsidRPr="00BC1563">
        <w:t> </w:t>
      </w:r>
      <w:r w:rsidR="0031435E" w:rsidRPr="00BC1563">
        <w:t>150-5</w:t>
      </w:r>
      <w:r w:rsidR="00CF7AA7" w:rsidRPr="00BC1563">
        <w:t> </w:t>
      </w:r>
      <w:r w:rsidR="0031435E" w:rsidRPr="00BC1563">
        <w:t>250</w:t>
      </w:r>
      <w:r w:rsidR="00CF7AA7" w:rsidRPr="00BC1563">
        <w:t> </w:t>
      </w:r>
      <w:r w:rsidR="0031435E" w:rsidRPr="00BC1563">
        <w:t>MHz.</w:t>
      </w:r>
    </w:p>
    <w:p w14:paraId="14CFA7D5" w14:textId="77777777" w:rsidR="00030524" w:rsidRPr="00BC1563" w:rsidRDefault="0018459C" w:rsidP="00AD50C0">
      <w:pPr>
        <w:pStyle w:val="Proposal"/>
      </w:pPr>
      <w:r w:rsidRPr="00BC1563">
        <w:rPr>
          <w:u w:val="single"/>
        </w:rPr>
        <w:t>NOC</w:t>
      </w:r>
      <w:r w:rsidRPr="00BC1563">
        <w:tab/>
        <w:t>AUS/47A16/2</w:t>
      </w:r>
      <w:r w:rsidRPr="00BC1563">
        <w:rPr>
          <w:vanish/>
          <w:color w:val="7F7F7F" w:themeColor="text1" w:themeTint="80"/>
          <w:vertAlign w:val="superscript"/>
        </w:rPr>
        <w:t>#49956</w:t>
      </w:r>
    </w:p>
    <w:p w14:paraId="7D6653F7" w14:textId="1D2CFF3A" w:rsidR="00F83854" w:rsidRPr="00BC1563" w:rsidRDefault="0018459C" w:rsidP="00AD50C0">
      <w:pPr>
        <w:pStyle w:val="Tabletitle"/>
        <w:spacing w:before="120"/>
        <w:rPr>
          <w:color w:val="000000"/>
        </w:rPr>
      </w:pPr>
      <w:r w:rsidRPr="00BC1563">
        <w:rPr>
          <w:color w:val="000000"/>
        </w:rPr>
        <w:t>5 250-5 570</w:t>
      </w:r>
      <w:r w:rsidR="00CF7AA7" w:rsidRPr="00BC1563">
        <w:rPr>
          <w:color w:val="000000"/>
        </w:rPr>
        <w:t> </w:t>
      </w:r>
      <w:r w:rsidRPr="00BC1563">
        <w:rPr>
          <w:color w:val="000000"/>
        </w:rPr>
        <w:t>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83854" w:rsidRPr="00BC1563" w14:paraId="58321023" w14:textId="77777777" w:rsidTr="00F838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36C5" w14:textId="77777777" w:rsidR="00F83854" w:rsidRPr="00BC1563" w:rsidRDefault="0018459C" w:rsidP="00AD50C0">
            <w:pPr>
              <w:pStyle w:val="Tablehead"/>
              <w:rPr>
                <w:color w:val="000000"/>
              </w:rPr>
            </w:pPr>
            <w:r w:rsidRPr="00BC1563">
              <w:rPr>
                <w:color w:val="000000"/>
              </w:rPr>
              <w:t>Attribution aux services</w:t>
            </w:r>
          </w:p>
        </w:tc>
      </w:tr>
      <w:tr w:rsidR="00F83854" w:rsidRPr="00BC1563" w14:paraId="582B5ADA" w14:textId="77777777" w:rsidTr="00F8385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F020" w14:textId="77777777" w:rsidR="00F83854" w:rsidRPr="00BC1563" w:rsidRDefault="0018459C" w:rsidP="00AD50C0">
            <w:pPr>
              <w:pStyle w:val="Tablehead"/>
              <w:rPr>
                <w:color w:val="000000"/>
              </w:rPr>
            </w:pPr>
            <w:r w:rsidRPr="00BC1563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B432" w14:textId="77777777" w:rsidR="00F83854" w:rsidRPr="00BC1563" w:rsidRDefault="0018459C" w:rsidP="00AD50C0">
            <w:pPr>
              <w:pStyle w:val="Tablehead"/>
              <w:rPr>
                <w:color w:val="000000"/>
              </w:rPr>
            </w:pPr>
            <w:r w:rsidRPr="00BC1563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C153" w14:textId="77777777" w:rsidR="00F83854" w:rsidRPr="00BC1563" w:rsidRDefault="0018459C" w:rsidP="00AD50C0">
            <w:pPr>
              <w:pStyle w:val="Tablehead"/>
              <w:rPr>
                <w:color w:val="000000"/>
              </w:rPr>
            </w:pPr>
            <w:r w:rsidRPr="00BC1563">
              <w:rPr>
                <w:color w:val="000000"/>
              </w:rPr>
              <w:t>Région 3</w:t>
            </w:r>
          </w:p>
        </w:tc>
      </w:tr>
      <w:tr w:rsidR="00F83854" w:rsidRPr="00BC1563" w14:paraId="1292DE08" w14:textId="77777777" w:rsidTr="00F838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944E6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rStyle w:val="Tablefreq"/>
              </w:rPr>
              <w:t>5 250-5 255</w:t>
            </w:r>
            <w:r w:rsidRPr="00BC1563">
              <w:rPr>
                <w:color w:val="000000"/>
              </w:rPr>
              <w:tab/>
              <w:t>EXPLORATION DE LA TERRE PAR SATELLITE (active)</w:t>
            </w:r>
          </w:p>
          <w:p w14:paraId="1FE4EE05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rStyle w:val="Artref"/>
                <w:color w:val="000000"/>
              </w:rPr>
              <w:tab/>
            </w:r>
            <w:r w:rsidRPr="00BC1563">
              <w:rPr>
                <w:rStyle w:val="Artref"/>
                <w:color w:val="000000"/>
              </w:rPr>
              <w:tab/>
            </w:r>
            <w:r w:rsidRPr="00BC1563">
              <w:rPr>
                <w:color w:val="000000"/>
              </w:rPr>
              <w:t xml:space="preserve">MOBILE sauf mobile aéronautique  </w:t>
            </w:r>
            <w:r w:rsidRPr="00BC1563">
              <w:rPr>
                <w:rStyle w:val="Artref"/>
                <w:color w:val="000000"/>
              </w:rPr>
              <w:t>5.446A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5.447F</w:t>
            </w:r>
          </w:p>
          <w:p w14:paraId="2C8BEDB7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RADIOLOCALISATION</w:t>
            </w:r>
          </w:p>
          <w:p w14:paraId="0F2B4C4A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 xml:space="preserve">RECHERCHE SPATIALE  </w:t>
            </w:r>
            <w:r w:rsidRPr="00BC1563">
              <w:rPr>
                <w:rStyle w:val="Artref"/>
                <w:color w:val="000000"/>
              </w:rPr>
              <w:t>5.447D</w:t>
            </w:r>
          </w:p>
          <w:p w14:paraId="0B1A7F50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</w:r>
            <w:r w:rsidRPr="00BC1563">
              <w:rPr>
                <w:rStyle w:val="Artref"/>
                <w:color w:val="000000"/>
              </w:rPr>
              <w:t>5.447E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5.448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5.448A</w:t>
            </w:r>
          </w:p>
        </w:tc>
      </w:tr>
      <w:tr w:rsidR="00F83854" w:rsidRPr="00BC1563" w14:paraId="7614E658" w14:textId="77777777" w:rsidTr="00F838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5C94B3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rStyle w:val="Tablefreq"/>
              </w:rPr>
              <w:t>5 255-5 350</w:t>
            </w:r>
            <w:r w:rsidRPr="00BC1563">
              <w:rPr>
                <w:color w:val="000000"/>
              </w:rPr>
              <w:tab/>
              <w:t>EXPLORATION DE LA TERRE PAR SATELLITE (active)</w:t>
            </w:r>
          </w:p>
          <w:p w14:paraId="25C16EEC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MOBILE sauf mobile aéronautique</w:t>
            </w:r>
            <w:r w:rsidRPr="00BC1563">
              <w:rPr>
                <w:rStyle w:val="Artref"/>
                <w:color w:val="000000"/>
              </w:rPr>
              <w:t xml:space="preserve">  5.446A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5.447F</w:t>
            </w:r>
          </w:p>
          <w:p w14:paraId="08C909B0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RADIOLOCALISATION</w:t>
            </w:r>
          </w:p>
          <w:p w14:paraId="23855006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RECHERCHE SPATIALE (active)</w:t>
            </w:r>
          </w:p>
          <w:p w14:paraId="4C5BBAAA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</w:r>
            <w:r w:rsidRPr="00BC1563">
              <w:rPr>
                <w:rStyle w:val="Artref"/>
                <w:color w:val="000000"/>
              </w:rPr>
              <w:t>5.447E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5.448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5.448A</w:t>
            </w:r>
          </w:p>
        </w:tc>
      </w:tr>
    </w:tbl>
    <w:p w14:paraId="1AD5AEF7" w14:textId="77777777" w:rsidR="00030524" w:rsidRPr="00BC1563" w:rsidRDefault="00030524" w:rsidP="00AD50C0"/>
    <w:p w14:paraId="12A5E9EA" w14:textId="526326E6" w:rsidR="00030524" w:rsidRPr="00BC1563" w:rsidRDefault="0018459C" w:rsidP="00AD50C0">
      <w:pPr>
        <w:pStyle w:val="Reasons"/>
      </w:pPr>
      <w:r w:rsidRPr="00BC1563">
        <w:rPr>
          <w:b/>
        </w:rPr>
        <w:t>Motifs:</w:t>
      </w:r>
      <w:r w:rsidRPr="00BC1563">
        <w:tab/>
      </w:r>
      <w:r w:rsidR="00735E71" w:rsidRPr="00BC1563">
        <w:t>L'Australie</w:t>
      </w:r>
      <w:r w:rsidR="0031435E" w:rsidRPr="00BC1563">
        <w:t xml:space="preserve"> </w:t>
      </w:r>
      <w:r w:rsidR="00735E71" w:rsidRPr="00BC1563">
        <w:t>est favorable à la Méthode B – unique méthode –</w:t>
      </w:r>
      <w:r w:rsidR="0031435E" w:rsidRPr="00BC1563">
        <w:t xml:space="preserve"> </w:t>
      </w:r>
      <w:r w:rsidR="00735E71" w:rsidRPr="00BC1563">
        <w:t xml:space="preserve">du Rapport de la RPC </w:t>
      </w:r>
      <w:r w:rsidR="0031435E" w:rsidRPr="00BC1563">
        <w:t xml:space="preserve">(NOC) </w:t>
      </w:r>
      <w:r w:rsidR="00735E71" w:rsidRPr="00BC1563">
        <w:t xml:space="preserve">en ce qui concerne la bande de fréquences </w:t>
      </w:r>
      <w:r w:rsidR="0031435E" w:rsidRPr="00BC1563">
        <w:t>5</w:t>
      </w:r>
      <w:r w:rsidR="00CF7AA7" w:rsidRPr="00BC1563">
        <w:t> </w:t>
      </w:r>
      <w:r w:rsidR="0031435E" w:rsidRPr="00BC1563">
        <w:t>250</w:t>
      </w:r>
      <w:r w:rsidR="00CF7AA7" w:rsidRPr="00BC1563">
        <w:noBreakHyphen/>
      </w:r>
      <w:r w:rsidR="0031435E" w:rsidRPr="00BC1563">
        <w:t>5</w:t>
      </w:r>
      <w:r w:rsidR="00CF7AA7" w:rsidRPr="00BC1563">
        <w:t> </w:t>
      </w:r>
      <w:r w:rsidR="0031435E" w:rsidRPr="00BC1563">
        <w:t>350</w:t>
      </w:r>
      <w:r w:rsidR="00CF7AA7" w:rsidRPr="00BC1563">
        <w:t> </w:t>
      </w:r>
      <w:r w:rsidR="0031435E" w:rsidRPr="00BC1563">
        <w:t>MHz.</w:t>
      </w:r>
    </w:p>
    <w:p w14:paraId="020B619F" w14:textId="77777777" w:rsidR="00030524" w:rsidRPr="00BC1563" w:rsidRDefault="0018459C" w:rsidP="00AD50C0">
      <w:pPr>
        <w:pStyle w:val="Proposal"/>
      </w:pPr>
      <w:r w:rsidRPr="00BC1563">
        <w:rPr>
          <w:u w:val="single"/>
        </w:rPr>
        <w:t>NOC</w:t>
      </w:r>
      <w:r w:rsidRPr="00BC1563">
        <w:tab/>
        <w:t>AUS/47A16/3</w:t>
      </w:r>
      <w:r w:rsidRPr="00BC1563">
        <w:rPr>
          <w:vanish/>
          <w:color w:val="7F7F7F" w:themeColor="text1" w:themeTint="80"/>
          <w:vertAlign w:val="superscript"/>
        </w:rPr>
        <w:t>#49957</w:t>
      </w:r>
    </w:p>
    <w:p w14:paraId="09ACB94D" w14:textId="1779D00B" w:rsidR="00F83854" w:rsidRPr="00BC1563" w:rsidRDefault="0018459C" w:rsidP="00AD50C0">
      <w:pPr>
        <w:pStyle w:val="Tabletitle"/>
        <w:spacing w:before="120"/>
        <w:rPr>
          <w:color w:val="000000"/>
        </w:rPr>
      </w:pPr>
      <w:r w:rsidRPr="00BC1563">
        <w:rPr>
          <w:color w:val="000000"/>
        </w:rPr>
        <w:t>5 250-5 570</w:t>
      </w:r>
      <w:r w:rsidR="00CF7AA7" w:rsidRPr="00BC1563">
        <w:rPr>
          <w:color w:val="000000"/>
        </w:rPr>
        <w:t> </w:t>
      </w:r>
      <w:r w:rsidRPr="00BC1563">
        <w:rPr>
          <w:color w:val="000000"/>
        </w:rPr>
        <w:t>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83854" w:rsidRPr="00BC1563" w14:paraId="31B65CBA" w14:textId="77777777" w:rsidTr="00F838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7CB7" w14:textId="77777777" w:rsidR="00F83854" w:rsidRPr="00BC1563" w:rsidRDefault="0018459C" w:rsidP="00AD50C0">
            <w:pPr>
              <w:pStyle w:val="Tablehead"/>
              <w:rPr>
                <w:color w:val="000000"/>
              </w:rPr>
            </w:pPr>
            <w:r w:rsidRPr="00BC1563">
              <w:rPr>
                <w:color w:val="000000"/>
              </w:rPr>
              <w:t>Attribution aux services</w:t>
            </w:r>
          </w:p>
        </w:tc>
      </w:tr>
      <w:tr w:rsidR="00F83854" w:rsidRPr="00BC1563" w14:paraId="7BD0B8EF" w14:textId="77777777" w:rsidTr="00F8385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1779" w14:textId="77777777" w:rsidR="00F83854" w:rsidRPr="00BC1563" w:rsidRDefault="0018459C" w:rsidP="00AD50C0">
            <w:pPr>
              <w:pStyle w:val="Tablehead"/>
              <w:rPr>
                <w:color w:val="000000"/>
              </w:rPr>
            </w:pPr>
            <w:r w:rsidRPr="00BC1563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56DF" w14:textId="77777777" w:rsidR="00F83854" w:rsidRPr="00BC1563" w:rsidRDefault="0018459C" w:rsidP="00AD50C0">
            <w:pPr>
              <w:pStyle w:val="Tablehead"/>
              <w:rPr>
                <w:color w:val="000000"/>
              </w:rPr>
            </w:pPr>
            <w:r w:rsidRPr="00BC1563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81A7" w14:textId="77777777" w:rsidR="00F83854" w:rsidRPr="00BC1563" w:rsidRDefault="0018459C" w:rsidP="00AD50C0">
            <w:pPr>
              <w:pStyle w:val="Tablehead"/>
              <w:rPr>
                <w:color w:val="000000"/>
              </w:rPr>
            </w:pPr>
            <w:r w:rsidRPr="00BC1563">
              <w:rPr>
                <w:color w:val="000000"/>
              </w:rPr>
              <w:t>Région 3</w:t>
            </w:r>
          </w:p>
        </w:tc>
      </w:tr>
      <w:tr w:rsidR="00F83854" w:rsidRPr="00BC1563" w14:paraId="5C113D44" w14:textId="77777777" w:rsidTr="00F838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39DCA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</w:pPr>
            <w:r w:rsidRPr="00BC1563">
              <w:rPr>
                <w:rStyle w:val="Tablefreq"/>
              </w:rPr>
              <w:t>5 350-5 460</w:t>
            </w:r>
            <w:r w:rsidRPr="00BC1563">
              <w:rPr>
                <w:color w:val="000000"/>
              </w:rPr>
              <w:tab/>
              <w:t xml:space="preserve">EXPLORATION DE LA TERRE PAR SATELLITE (active)  </w:t>
            </w:r>
            <w:r w:rsidRPr="00BC1563">
              <w:t>5.448B</w:t>
            </w:r>
          </w:p>
          <w:p w14:paraId="4FD916B0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rStyle w:val="Artref"/>
                <w:color w:val="000000"/>
              </w:rPr>
              <w:tab/>
            </w:r>
            <w:r w:rsidRPr="00BC1563">
              <w:rPr>
                <w:rStyle w:val="Artref"/>
                <w:color w:val="000000"/>
              </w:rPr>
              <w:tab/>
            </w:r>
            <w:r w:rsidRPr="00BC1563">
              <w:rPr>
                <w:color w:val="000000"/>
              </w:rPr>
              <w:t xml:space="preserve">RADIOLOCALISATION  </w:t>
            </w:r>
            <w:r w:rsidRPr="00BC1563">
              <w:rPr>
                <w:rStyle w:val="Artref"/>
                <w:color w:val="000000"/>
              </w:rPr>
              <w:t>5.448D</w:t>
            </w:r>
            <w:r w:rsidRPr="00BC1563">
              <w:rPr>
                <w:color w:val="000000"/>
              </w:rPr>
              <w:t xml:space="preserve"> </w:t>
            </w:r>
          </w:p>
          <w:p w14:paraId="564842A4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 xml:space="preserve">RADIONAVIGATION AÉRONAUTIQUE  </w:t>
            </w:r>
            <w:r w:rsidRPr="00BC1563">
              <w:rPr>
                <w:rStyle w:val="Artref"/>
                <w:color w:val="000000"/>
              </w:rPr>
              <w:t>5.449</w:t>
            </w:r>
          </w:p>
          <w:p w14:paraId="2D316C37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 xml:space="preserve">RECHERCHE SPATIALE (active)  </w:t>
            </w:r>
            <w:r w:rsidRPr="00BC1563">
              <w:rPr>
                <w:rStyle w:val="Artref"/>
                <w:color w:val="000000"/>
              </w:rPr>
              <w:t>5.448C</w:t>
            </w:r>
          </w:p>
        </w:tc>
      </w:tr>
      <w:tr w:rsidR="00F83854" w:rsidRPr="00BC1563" w14:paraId="6A52E942" w14:textId="77777777" w:rsidTr="00F838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837E4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rStyle w:val="Tablefreq"/>
              </w:rPr>
              <w:t>5 460-5 470</w:t>
            </w:r>
            <w:r w:rsidRPr="00BC1563">
              <w:rPr>
                <w:color w:val="000000"/>
              </w:rPr>
              <w:tab/>
              <w:t>EXPLORATION DE LA TERRE PAR SATELLITE (active)</w:t>
            </w:r>
          </w:p>
          <w:p w14:paraId="6534E5AA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rStyle w:val="Artref"/>
                <w:color w:val="000000"/>
              </w:rPr>
              <w:tab/>
            </w:r>
            <w:r w:rsidRPr="00BC1563">
              <w:rPr>
                <w:rStyle w:val="Artref"/>
                <w:color w:val="000000"/>
              </w:rPr>
              <w:tab/>
            </w:r>
            <w:r w:rsidRPr="00BC1563">
              <w:rPr>
                <w:color w:val="000000"/>
              </w:rPr>
              <w:t xml:space="preserve">RADIOLOCALISATION  </w:t>
            </w:r>
            <w:r w:rsidRPr="00BC1563">
              <w:rPr>
                <w:rStyle w:val="Artref"/>
                <w:color w:val="000000"/>
              </w:rPr>
              <w:t>5.448D</w:t>
            </w:r>
          </w:p>
          <w:p w14:paraId="395BA1AB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 xml:space="preserve">RADIONAVIGATION  </w:t>
            </w:r>
            <w:r w:rsidRPr="00BC1563">
              <w:t>5.449</w:t>
            </w:r>
          </w:p>
          <w:p w14:paraId="0B560114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RECHERCHE SPATIALE (active)</w:t>
            </w:r>
          </w:p>
          <w:p w14:paraId="7D741B94" w14:textId="77777777" w:rsidR="00F83854" w:rsidRPr="00BC1563" w:rsidRDefault="0018459C" w:rsidP="00AD50C0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rStyle w:val="Artref"/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</w:r>
            <w:r w:rsidRPr="00BC1563">
              <w:rPr>
                <w:rStyle w:val="Artref"/>
                <w:color w:val="000000"/>
              </w:rPr>
              <w:t>5.448B</w:t>
            </w:r>
          </w:p>
        </w:tc>
      </w:tr>
    </w:tbl>
    <w:p w14:paraId="09CB89C8" w14:textId="77777777" w:rsidR="00030524" w:rsidRPr="00BC1563" w:rsidRDefault="00030524" w:rsidP="00AD50C0"/>
    <w:p w14:paraId="60717A59" w14:textId="3FF1A82E" w:rsidR="00030524" w:rsidRPr="00BC1563" w:rsidRDefault="0018459C" w:rsidP="00AD50C0">
      <w:pPr>
        <w:pStyle w:val="Reasons"/>
      </w:pPr>
      <w:r w:rsidRPr="00BC1563">
        <w:rPr>
          <w:b/>
        </w:rPr>
        <w:t>Motifs:</w:t>
      </w:r>
      <w:r w:rsidRPr="00BC1563">
        <w:tab/>
      </w:r>
      <w:r w:rsidR="00735E71" w:rsidRPr="00BC1563">
        <w:t xml:space="preserve">L'Australie est favorable à la Méthode C – unique méthode – du Rapport de la RPC (NOC) en ce qui concerne la bande de fréquences </w:t>
      </w:r>
      <w:r w:rsidR="0031435E" w:rsidRPr="00BC1563">
        <w:t>5</w:t>
      </w:r>
      <w:r w:rsidR="00CF7AA7" w:rsidRPr="00BC1563">
        <w:t> </w:t>
      </w:r>
      <w:r w:rsidR="0031435E" w:rsidRPr="00BC1563">
        <w:t>350</w:t>
      </w:r>
      <w:r w:rsidR="00CF7AA7" w:rsidRPr="00BC1563">
        <w:noBreakHyphen/>
      </w:r>
      <w:r w:rsidR="0031435E" w:rsidRPr="00BC1563">
        <w:t>5</w:t>
      </w:r>
      <w:r w:rsidR="00CF7AA7" w:rsidRPr="00BC1563">
        <w:t> </w:t>
      </w:r>
      <w:r w:rsidR="0031435E" w:rsidRPr="00BC1563">
        <w:t>470</w:t>
      </w:r>
      <w:r w:rsidR="00CF7AA7" w:rsidRPr="00BC1563">
        <w:t> </w:t>
      </w:r>
      <w:r w:rsidR="0031435E" w:rsidRPr="00BC1563">
        <w:t>MHz.</w:t>
      </w:r>
    </w:p>
    <w:p w14:paraId="7C6F871D" w14:textId="77777777" w:rsidR="00030524" w:rsidRPr="00BC1563" w:rsidRDefault="0018459C" w:rsidP="00AD50C0">
      <w:pPr>
        <w:pStyle w:val="Proposal"/>
      </w:pPr>
      <w:r w:rsidRPr="00BC1563">
        <w:rPr>
          <w:u w:val="single"/>
        </w:rPr>
        <w:t>NOC</w:t>
      </w:r>
      <w:r w:rsidRPr="00BC1563">
        <w:tab/>
        <w:t>AUS/47A16/4</w:t>
      </w:r>
      <w:r w:rsidRPr="00BC1563">
        <w:rPr>
          <w:vanish/>
          <w:color w:val="7F7F7F" w:themeColor="text1" w:themeTint="80"/>
          <w:vertAlign w:val="superscript"/>
        </w:rPr>
        <w:t>#49958</w:t>
      </w:r>
    </w:p>
    <w:p w14:paraId="5D9F5B1F" w14:textId="41BCEEE2" w:rsidR="00F83854" w:rsidRPr="00BC1563" w:rsidRDefault="0018459C" w:rsidP="00AD50C0">
      <w:pPr>
        <w:pStyle w:val="Tabletitle"/>
        <w:spacing w:before="120"/>
        <w:rPr>
          <w:color w:val="000000"/>
        </w:rPr>
      </w:pPr>
      <w:r w:rsidRPr="00BC1563">
        <w:rPr>
          <w:color w:val="000000"/>
        </w:rPr>
        <w:t>5 570-6 700</w:t>
      </w:r>
      <w:r w:rsidR="00CF7AA7" w:rsidRPr="00BC1563">
        <w:rPr>
          <w:color w:val="000000"/>
        </w:rPr>
        <w:t> </w:t>
      </w:r>
      <w:r w:rsidRPr="00BC1563">
        <w:rPr>
          <w:color w:val="000000"/>
        </w:rPr>
        <w:t>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83854" w:rsidRPr="00BC1563" w14:paraId="15FDD3D8" w14:textId="77777777" w:rsidTr="00F838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8A34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Attribution aux services</w:t>
            </w:r>
          </w:p>
        </w:tc>
      </w:tr>
      <w:tr w:rsidR="00F83854" w:rsidRPr="00BC1563" w14:paraId="744C03F0" w14:textId="77777777" w:rsidTr="00F8385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CEF9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0790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008BC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Région 3</w:t>
            </w:r>
          </w:p>
        </w:tc>
      </w:tr>
      <w:tr w:rsidR="00F83854" w:rsidRPr="00BC1563" w14:paraId="569207C2" w14:textId="77777777" w:rsidTr="00F838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14:paraId="234000C1" w14:textId="77777777" w:rsidR="00F83854" w:rsidRPr="00BC1563" w:rsidRDefault="0018459C" w:rsidP="00AD50C0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 w:rsidRPr="00BC1563">
              <w:rPr>
                <w:rStyle w:val="Tablefreq"/>
                <w:color w:val="000000"/>
              </w:rPr>
              <w:t>5 725-5 830</w:t>
            </w:r>
          </w:p>
          <w:p w14:paraId="6969BB9C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FIXE PAR SATELLITE</w:t>
            </w:r>
            <w:r w:rsidRPr="00BC1563">
              <w:rPr>
                <w:color w:val="000000"/>
              </w:rPr>
              <w:br/>
              <w:t>(Terre vers espace)</w:t>
            </w:r>
          </w:p>
          <w:p w14:paraId="184F452A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RADIOLOCALISATION</w:t>
            </w:r>
          </w:p>
          <w:p w14:paraId="341D088B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Amateur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14:paraId="58DD7D62" w14:textId="77777777" w:rsidR="00F83854" w:rsidRPr="00BC1563" w:rsidRDefault="0018459C" w:rsidP="00AD50C0">
            <w:pPr>
              <w:pStyle w:val="TableTextS5"/>
              <w:spacing w:before="10" w:after="10"/>
              <w:rPr>
                <w:rStyle w:val="Tablefreq"/>
                <w:color w:val="000000"/>
              </w:rPr>
            </w:pPr>
            <w:r w:rsidRPr="00BC1563">
              <w:rPr>
                <w:rStyle w:val="Tablefreq"/>
                <w:color w:val="000000"/>
              </w:rPr>
              <w:t>5 725-5 830</w:t>
            </w:r>
          </w:p>
          <w:p w14:paraId="441FFDFB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RADIOLOCALISATION</w:t>
            </w:r>
          </w:p>
          <w:p w14:paraId="1A5F56CF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Amateur</w:t>
            </w:r>
          </w:p>
        </w:tc>
      </w:tr>
      <w:tr w:rsidR="00F83854" w:rsidRPr="00BC1563" w14:paraId="6C4CA335" w14:textId="77777777" w:rsidTr="00F838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14:paraId="3B407F09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rStyle w:val="Artref"/>
                <w:color w:val="000000"/>
              </w:rPr>
              <w:t>5.150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5.451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5.453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  <w:bottom w:val="single" w:sz="4" w:space="0" w:color="auto"/>
            </w:tcBorders>
          </w:tcPr>
          <w:p w14:paraId="345642C7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</w:r>
            <w:r w:rsidRPr="00BC1563">
              <w:rPr>
                <w:rStyle w:val="Artref"/>
                <w:color w:val="000000"/>
              </w:rPr>
              <w:t>5.150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5.453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5.455</w:t>
            </w:r>
          </w:p>
        </w:tc>
      </w:tr>
      <w:tr w:rsidR="00F83854" w:rsidRPr="00BC1563" w14:paraId="1ECC5B8C" w14:textId="77777777" w:rsidTr="00F838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14:paraId="531E1D11" w14:textId="77777777" w:rsidR="00F83854" w:rsidRPr="00BC1563" w:rsidRDefault="0018459C" w:rsidP="00AD50C0">
            <w:pPr>
              <w:pStyle w:val="TableTextS5"/>
              <w:spacing w:before="10" w:after="10"/>
              <w:rPr>
                <w:rStyle w:val="Tablefreq"/>
              </w:rPr>
            </w:pPr>
            <w:r w:rsidRPr="00BC1563">
              <w:rPr>
                <w:rStyle w:val="Tablefreq"/>
              </w:rPr>
              <w:t>5 830-5 850</w:t>
            </w:r>
          </w:p>
          <w:p w14:paraId="454DF5E9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FIXE PAR SATELLITE</w:t>
            </w:r>
            <w:r w:rsidRPr="00BC1563">
              <w:rPr>
                <w:color w:val="000000"/>
              </w:rPr>
              <w:br/>
              <w:t>(Terre vers espace)</w:t>
            </w:r>
          </w:p>
          <w:p w14:paraId="5ADFB23A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RADIOLOCALISATION</w:t>
            </w:r>
          </w:p>
          <w:p w14:paraId="52C538F4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Amateur</w:t>
            </w:r>
          </w:p>
          <w:p w14:paraId="7326D954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Amateur par satellite (espace vers Terre)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nil"/>
            </w:tcBorders>
          </w:tcPr>
          <w:p w14:paraId="346C72E9" w14:textId="77777777" w:rsidR="00F83854" w:rsidRPr="00BC1563" w:rsidRDefault="0018459C" w:rsidP="00AD50C0">
            <w:pPr>
              <w:pStyle w:val="TableTextS5"/>
              <w:spacing w:before="10" w:after="10"/>
              <w:rPr>
                <w:rStyle w:val="Tablefreq"/>
              </w:rPr>
            </w:pPr>
            <w:r w:rsidRPr="00BC1563">
              <w:rPr>
                <w:rStyle w:val="Tablefreq"/>
              </w:rPr>
              <w:t>5 830-5 850</w:t>
            </w:r>
          </w:p>
          <w:p w14:paraId="3F81372D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RADIOLOCALISATION</w:t>
            </w:r>
          </w:p>
          <w:p w14:paraId="5B2E8DB7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Amateur</w:t>
            </w:r>
          </w:p>
          <w:p w14:paraId="23FF938D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  <w:t>Amateur par satellite (espace vers Terre)</w:t>
            </w:r>
          </w:p>
        </w:tc>
      </w:tr>
      <w:tr w:rsidR="00F83854" w:rsidRPr="00BC1563" w14:paraId="11086446" w14:textId="77777777" w:rsidTr="00F838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20E0BCBD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rStyle w:val="Artref"/>
                <w:color w:val="000000"/>
              </w:rPr>
              <w:t>5.150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5.451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5.453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14:paraId="68B55EF2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ab/>
            </w:r>
            <w:r w:rsidRPr="00BC1563">
              <w:rPr>
                <w:color w:val="000000"/>
              </w:rPr>
              <w:tab/>
            </w:r>
            <w:r w:rsidRPr="00BC1563">
              <w:rPr>
                <w:rStyle w:val="Artref"/>
                <w:color w:val="000000"/>
              </w:rPr>
              <w:t>5.150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5.453</w:t>
            </w:r>
            <w:r w:rsidRPr="00BC1563">
              <w:rPr>
                <w:color w:val="000000"/>
              </w:rPr>
              <w:t xml:space="preserve">  </w:t>
            </w:r>
            <w:r w:rsidRPr="00BC1563">
              <w:rPr>
                <w:rStyle w:val="Artref"/>
                <w:color w:val="000000"/>
              </w:rPr>
              <w:t>5.455</w:t>
            </w:r>
          </w:p>
        </w:tc>
      </w:tr>
    </w:tbl>
    <w:p w14:paraId="09FB9CA9" w14:textId="77777777" w:rsidR="00030524" w:rsidRPr="00BC1563" w:rsidRDefault="00030524" w:rsidP="00AD50C0"/>
    <w:p w14:paraId="14B5C0F6" w14:textId="6BB1A214" w:rsidR="00030524" w:rsidRPr="00BC1563" w:rsidRDefault="0018459C" w:rsidP="00AD50C0">
      <w:pPr>
        <w:pStyle w:val="Reasons"/>
      </w:pPr>
      <w:r w:rsidRPr="00BC1563">
        <w:rPr>
          <w:b/>
        </w:rPr>
        <w:t>Motifs:</w:t>
      </w:r>
      <w:r w:rsidRPr="00BC1563">
        <w:tab/>
      </w:r>
      <w:r w:rsidR="00735E71" w:rsidRPr="00BC1563">
        <w:t xml:space="preserve">Étant donné qu'aucune étude ne confirme que les réseaux </w:t>
      </w:r>
      <w:r w:rsidR="0031435E" w:rsidRPr="00BC1563">
        <w:t xml:space="preserve">WAS/RLAN </w:t>
      </w:r>
      <w:r w:rsidR="00735E71" w:rsidRPr="00BC1563">
        <w:t xml:space="preserve">sont compatibles avec les autres </w:t>
      </w:r>
      <w:r w:rsidR="0031435E" w:rsidRPr="00BC1563">
        <w:t xml:space="preserve">services </w:t>
      </w:r>
      <w:r w:rsidR="00735E71" w:rsidRPr="00BC1563">
        <w:t xml:space="preserve">dans la </w:t>
      </w:r>
      <w:r w:rsidR="0031435E" w:rsidRPr="00BC1563">
        <w:t>band</w:t>
      </w:r>
      <w:r w:rsidR="00735E71" w:rsidRPr="00BC1563">
        <w:t>e</w:t>
      </w:r>
      <w:r w:rsidR="0031435E" w:rsidRPr="00BC1563">
        <w:t xml:space="preserve"> 5 725–5 850 MHz, </w:t>
      </w:r>
      <w:r w:rsidR="00735E71" w:rsidRPr="00BC1563">
        <w:t xml:space="preserve">en particulier le </w:t>
      </w:r>
      <w:r w:rsidR="0031435E" w:rsidRPr="00BC1563">
        <w:t>service</w:t>
      </w:r>
      <w:r w:rsidR="00735E71" w:rsidRPr="00BC1563">
        <w:t xml:space="preserve"> de radiolocalisation</w:t>
      </w:r>
      <w:r w:rsidR="0031435E" w:rsidRPr="00BC1563">
        <w:t xml:space="preserve">, </w:t>
      </w:r>
      <w:r w:rsidR="00516157" w:rsidRPr="00BC1563">
        <w:t>et qu'aucune technique d'atténuation précise n'est proposée, l'</w:t>
      </w:r>
      <w:r w:rsidR="0031435E" w:rsidRPr="00BC1563">
        <w:t>Australi</w:t>
      </w:r>
      <w:r w:rsidR="00516157" w:rsidRPr="00BC1563">
        <w:t>e</w:t>
      </w:r>
      <w:r w:rsidR="0031435E" w:rsidRPr="00BC1563">
        <w:t xml:space="preserve"> </w:t>
      </w:r>
      <w:r w:rsidR="00516157" w:rsidRPr="00BC1563">
        <w:t xml:space="preserve">est favorable à la </w:t>
      </w:r>
      <w:r w:rsidR="0031435E" w:rsidRPr="00BC1563">
        <w:t>M</w:t>
      </w:r>
      <w:r w:rsidR="00516157" w:rsidRPr="00BC1563">
        <w:t>é</w:t>
      </w:r>
      <w:r w:rsidR="0031435E" w:rsidRPr="00BC1563">
        <w:t>thod</w:t>
      </w:r>
      <w:r w:rsidR="00516157" w:rsidRPr="00BC1563">
        <w:t>e</w:t>
      </w:r>
      <w:r w:rsidR="0031435E" w:rsidRPr="00BC1563">
        <w:t xml:space="preserve"> D1 </w:t>
      </w:r>
      <w:r w:rsidR="00516157" w:rsidRPr="00BC1563">
        <w:t xml:space="preserve">du Rapport de la RPC </w:t>
      </w:r>
      <w:r w:rsidR="0031435E" w:rsidRPr="00BC1563">
        <w:t xml:space="preserve">(NOC) </w:t>
      </w:r>
      <w:r w:rsidR="00516157" w:rsidRPr="00BC1563">
        <w:t>en ce qui concerne la bande</w:t>
      </w:r>
      <w:r w:rsidR="004B7523" w:rsidRPr="00BC1563">
        <w:t xml:space="preserve"> de fréquences</w:t>
      </w:r>
      <w:r w:rsidR="00516157" w:rsidRPr="00BC1563">
        <w:t xml:space="preserve"> </w:t>
      </w:r>
      <w:r w:rsidR="0031435E" w:rsidRPr="00BC1563">
        <w:t>5 725–5 850 MHz.</w:t>
      </w:r>
    </w:p>
    <w:p w14:paraId="1BB84E5F" w14:textId="77777777" w:rsidR="00030524" w:rsidRPr="00BC1563" w:rsidRDefault="0018459C" w:rsidP="00AD50C0">
      <w:pPr>
        <w:pStyle w:val="Proposal"/>
      </w:pPr>
      <w:r w:rsidRPr="00BC1563">
        <w:rPr>
          <w:u w:val="single"/>
        </w:rPr>
        <w:t>NOC</w:t>
      </w:r>
      <w:r w:rsidRPr="00BC1563">
        <w:tab/>
        <w:t>AUS/47A16/5</w:t>
      </w:r>
      <w:r w:rsidRPr="00BC1563">
        <w:rPr>
          <w:vanish/>
          <w:color w:val="7F7F7F" w:themeColor="text1" w:themeTint="80"/>
          <w:vertAlign w:val="superscript"/>
        </w:rPr>
        <w:t>#49963</w:t>
      </w:r>
    </w:p>
    <w:p w14:paraId="08A36469" w14:textId="31D5FCCC" w:rsidR="00F83854" w:rsidRPr="00BC1563" w:rsidRDefault="0018459C" w:rsidP="00AD50C0">
      <w:pPr>
        <w:pStyle w:val="Tabletitle"/>
        <w:spacing w:before="120"/>
        <w:rPr>
          <w:color w:val="000000"/>
        </w:rPr>
      </w:pPr>
      <w:r w:rsidRPr="00BC1563">
        <w:rPr>
          <w:color w:val="000000"/>
        </w:rPr>
        <w:t>5 570-6 700</w:t>
      </w:r>
      <w:r w:rsidR="00D17E53" w:rsidRPr="00BC1563">
        <w:rPr>
          <w:color w:val="000000"/>
        </w:rPr>
        <w:t> </w:t>
      </w:r>
      <w:r w:rsidRPr="00BC1563">
        <w:rPr>
          <w:color w:val="000000"/>
        </w:rPr>
        <w:t>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83854" w:rsidRPr="00BC1563" w14:paraId="35213921" w14:textId="77777777" w:rsidTr="00F8385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D812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Attribution aux services</w:t>
            </w:r>
          </w:p>
        </w:tc>
      </w:tr>
      <w:tr w:rsidR="00F83854" w:rsidRPr="00BC1563" w14:paraId="5B487CDD" w14:textId="77777777" w:rsidTr="00F83854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73F0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ACEE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1222" w14:textId="77777777" w:rsidR="00F83854" w:rsidRPr="00BC1563" w:rsidRDefault="0018459C" w:rsidP="00AD50C0">
            <w:pPr>
              <w:pStyle w:val="Tablehead"/>
              <w:keepLines/>
              <w:spacing w:before="60" w:after="60"/>
              <w:rPr>
                <w:color w:val="000000"/>
              </w:rPr>
            </w:pPr>
            <w:r w:rsidRPr="00BC1563">
              <w:rPr>
                <w:color w:val="000000"/>
              </w:rPr>
              <w:t>Région 3</w:t>
            </w:r>
          </w:p>
        </w:tc>
      </w:tr>
      <w:tr w:rsidR="00F83854" w:rsidRPr="00BC1563" w14:paraId="3337B552" w14:textId="77777777" w:rsidTr="00F838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14:paraId="06EB1450" w14:textId="77777777" w:rsidR="00F83854" w:rsidRPr="00BC1563" w:rsidRDefault="0018459C" w:rsidP="00AD50C0">
            <w:pPr>
              <w:pStyle w:val="TableTextS5"/>
              <w:spacing w:before="10" w:after="10"/>
              <w:rPr>
                <w:rStyle w:val="Tablefreq"/>
              </w:rPr>
            </w:pPr>
            <w:r w:rsidRPr="00BC1563">
              <w:rPr>
                <w:rStyle w:val="Tablefreq"/>
              </w:rPr>
              <w:t>5 850-5 925</w:t>
            </w:r>
          </w:p>
          <w:p w14:paraId="0376F55E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FIXE</w:t>
            </w:r>
          </w:p>
          <w:p w14:paraId="05AFC263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FIXE PAR SATELLITE</w:t>
            </w:r>
            <w:r w:rsidRPr="00BC1563">
              <w:rPr>
                <w:color w:val="000000"/>
              </w:rPr>
              <w:br/>
              <w:t>(Terre vers espace)</w:t>
            </w:r>
          </w:p>
          <w:p w14:paraId="42C0FC06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MOBILE</w:t>
            </w:r>
          </w:p>
        </w:tc>
        <w:tc>
          <w:tcPr>
            <w:tcW w:w="3101" w:type="dxa"/>
            <w:tcBorders>
              <w:bottom w:val="nil"/>
            </w:tcBorders>
          </w:tcPr>
          <w:p w14:paraId="00914488" w14:textId="77777777" w:rsidR="00F83854" w:rsidRPr="00BC1563" w:rsidRDefault="0018459C" w:rsidP="00AD50C0">
            <w:pPr>
              <w:pStyle w:val="TableTextS5"/>
              <w:spacing w:before="10" w:after="10"/>
              <w:rPr>
                <w:rStyle w:val="Tablefreq"/>
              </w:rPr>
            </w:pPr>
            <w:r w:rsidRPr="00BC1563">
              <w:rPr>
                <w:rStyle w:val="Tablefreq"/>
              </w:rPr>
              <w:t>5 850-5 925</w:t>
            </w:r>
          </w:p>
          <w:p w14:paraId="5FFEBA6B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FIXE</w:t>
            </w:r>
          </w:p>
          <w:p w14:paraId="4A4290BC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FIXE PAR SATELLITE</w:t>
            </w:r>
            <w:r w:rsidRPr="00BC1563">
              <w:rPr>
                <w:color w:val="000000"/>
              </w:rPr>
              <w:br/>
              <w:t>(Terre vers espace)</w:t>
            </w:r>
          </w:p>
          <w:p w14:paraId="76B756E2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MOBILE</w:t>
            </w:r>
          </w:p>
          <w:p w14:paraId="728D0D17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Amateur</w:t>
            </w:r>
          </w:p>
          <w:p w14:paraId="283C2843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Radiolocalisation</w:t>
            </w:r>
          </w:p>
        </w:tc>
        <w:tc>
          <w:tcPr>
            <w:tcW w:w="3102" w:type="dxa"/>
            <w:tcBorders>
              <w:bottom w:val="nil"/>
            </w:tcBorders>
          </w:tcPr>
          <w:p w14:paraId="26E16463" w14:textId="77777777" w:rsidR="00F83854" w:rsidRPr="00BC1563" w:rsidRDefault="0018459C" w:rsidP="00AD50C0">
            <w:pPr>
              <w:pStyle w:val="TableTextS5"/>
              <w:spacing w:before="10" w:after="10"/>
              <w:rPr>
                <w:rStyle w:val="Tablefreq"/>
              </w:rPr>
            </w:pPr>
            <w:r w:rsidRPr="00BC1563">
              <w:rPr>
                <w:rStyle w:val="Tablefreq"/>
              </w:rPr>
              <w:t>5 850-5 925</w:t>
            </w:r>
          </w:p>
          <w:p w14:paraId="2FD4FFD5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FIXE</w:t>
            </w:r>
          </w:p>
          <w:p w14:paraId="19676E5D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 xml:space="preserve">FIXE PAR SATELLITE </w:t>
            </w:r>
            <w:r w:rsidRPr="00BC1563">
              <w:rPr>
                <w:color w:val="000000"/>
              </w:rPr>
              <w:br/>
              <w:t>(Terre vers espace)</w:t>
            </w:r>
          </w:p>
          <w:p w14:paraId="3001B36A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MOBILE</w:t>
            </w:r>
          </w:p>
          <w:p w14:paraId="4C4CA3E0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color w:val="000000"/>
              </w:rPr>
              <w:t>Radiolocalisation</w:t>
            </w:r>
          </w:p>
        </w:tc>
      </w:tr>
      <w:tr w:rsidR="00F83854" w:rsidRPr="00BC1563" w14:paraId="779A65B1" w14:textId="77777777" w:rsidTr="00F838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14:paraId="7B33E8AC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rStyle w:val="Artref"/>
                <w:color w:val="000000"/>
              </w:rPr>
              <w:t>5.150</w:t>
            </w:r>
          </w:p>
        </w:tc>
        <w:tc>
          <w:tcPr>
            <w:tcW w:w="3101" w:type="dxa"/>
            <w:tcBorders>
              <w:top w:val="nil"/>
            </w:tcBorders>
          </w:tcPr>
          <w:p w14:paraId="1171FF2E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rStyle w:val="Artref"/>
                <w:color w:val="000000"/>
              </w:rPr>
              <w:t>5.150</w:t>
            </w:r>
          </w:p>
        </w:tc>
        <w:tc>
          <w:tcPr>
            <w:tcW w:w="3102" w:type="dxa"/>
            <w:tcBorders>
              <w:top w:val="nil"/>
            </w:tcBorders>
          </w:tcPr>
          <w:p w14:paraId="5D574261" w14:textId="77777777" w:rsidR="00F83854" w:rsidRPr="00BC1563" w:rsidRDefault="0018459C" w:rsidP="00AD50C0">
            <w:pPr>
              <w:pStyle w:val="TableTextS5"/>
              <w:spacing w:before="10" w:after="10"/>
              <w:rPr>
                <w:color w:val="000000"/>
              </w:rPr>
            </w:pPr>
            <w:r w:rsidRPr="00BC1563">
              <w:rPr>
                <w:rStyle w:val="Artref"/>
                <w:color w:val="000000"/>
              </w:rPr>
              <w:t>5.150</w:t>
            </w:r>
          </w:p>
        </w:tc>
      </w:tr>
    </w:tbl>
    <w:p w14:paraId="793C2B10" w14:textId="77777777" w:rsidR="00030524" w:rsidRPr="00BC1563" w:rsidRDefault="00030524" w:rsidP="00AD50C0"/>
    <w:p w14:paraId="144CF715" w14:textId="1E8E60E3" w:rsidR="00030524" w:rsidRPr="00BC1563" w:rsidRDefault="0018459C" w:rsidP="00AD50C0">
      <w:pPr>
        <w:pStyle w:val="Reasons"/>
      </w:pPr>
      <w:r w:rsidRPr="00BC1563">
        <w:rPr>
          <w:b/>
        </w:rPr>
        <w:t>Motifs:</w:t>
      </w:r>
      <w:r w:rsidRPr="00BC1563">
        <w:tab/>
      </w:r>
      <w:r w:rsidR="00324BBB" w:rsidRPr="00BC1563">
        <w:t>L'</w:t>
      </w:r>
      <w:r w:rsidR="0031435E" w:rsidRPr="00BC1563">
        <w:t>Australi</w:t>
      </w:r>
      <w:r w:rsidR="00324BBB" w:rsidRPr="00BC1563">
        <w:t>e</w:t>
      </w:r>
      <w:r w:rsidR="0031435E" w:rsidRPr="00BC1563">
        <w:t xml:space="preserve"> </w:t>
      </w:r>
      <w:r w:rsidR="00324BBB" w:rsidRPr="00BC1563">
        <w:t xml:space="preserve">est favorable à la </w:t>
      </w:r>
      <w:r w:rsidR="0031435E" w:rsidRPr="00BC1563">
        <w:t>M</w:t>
      </w:r>
      <w:r w:rsidR="00324BBB" w:rsidRPr="00BC1563">
        <w:t>é</w:t>
      </w:r>
      <w:r w:rsidR="0031435E" w:rsidRPr="00BC1563">
        <w:t>thod</w:t>
      </w:r>
      <w:r w:rsidR="00324BBB" w:rsidRPr="00BC1563">
        <w:t>e</w:t>
      </w:r>
      <w:r w:rsidR="0031435E" w:rsidRPr="00BC1563">
        <w:t xml:space="preserve"> E </w:t>
      </w:r>
      <w:r w:rsidR="00324BBB" w:rsidRPr="00BC1563">
        <w:t xml:space="preserve">– unique méthode – du Rapport de la RPC </w:t>
      </w:r>
      <w:r w:rsidR="0031435E" w:rsidRPr="00BC1563">
        <w:t xml:space="preserve">(NOC) </w:t>
      </w:r>
      <w:r w:rsidR="00324BBB" w:rsidRPr="00BC1563">
        <w:t xml:space="preserve">pour ce qui est de la bande </w:t>
      </w:r>
      <w:r w:rsidR="004B7523" w:rsidRPr="00BC1563">
        <w:t xml:space="preserve">de fréquences </w:t>
      </w:r>
      <w:r w:rsidR="0031435E" w:rsidRPr="00BC1563">
        <w:t>5</w:t>
      </w:r>
      <w:r w:rsidR="00CF7AA7" w:rsidRPr="00BC1563">
        <w:t> </w:t>
      </w:r>
      <w:r w:rsidR="0031435E" w:rsidRPr="00BC1563">
        <w:t>850</w:t>
      </w:r>
      <w:r w:rsidR="00CF7AA7" w:rsidRPr="00BC1563">
        <w:noBreakHyphen/>
      </w:r>
      <w:r w:rsidR="0031435E" w:rsidRPr="00BC1563">
        <w:t>5</w:t>
      </w:r>
      <w:r w:rsidR="00CF7AA7" w:rsidRPr="00BC1563">
        <w:t> </w:t>
      </w:r>
      <w:r w:rsidR="0031435E" w:rsidRPr="00BC1563">
        <w:t>925</w:t>
      </w:r>
      <w:r w:rsidR="00CF7AA7" w:rsidRPr="00BC1563">
        <w:t> </w:t>
      </w:r>
      <w:r w:rsidR="0031435E" w:rsidRPr="00BC1563">
        <w:t>MHz.</w:t>
      </w:r>
    </w:p>
    <w:p w14:paraId="67AF9441" w14:textId="77777777" w:rsidR="00030524" w:rsidRPr="00BC1563" w:rsidRDefault="0018459C" w:rsidP="00AD50C0">
      <w:pPr>
        <w:pStyle w:val="Proposal"/>
      </w:pPr>
      <w:r w:rsidRPr="00BC1563">
        <w:t>SUP</w:t>
      </w:r>
      <w:r w:rsidRPr="00BC1563">
        <w:tab/>
        <w:t>AUS/47A16/6</w:t>
      </w:r>
      <w:r w:rsidRPr="00BC1563">
        <w:rPr>
          <w:vanish/>
          <w:color w:val="7F7F7F" w:themeColor="text1" w:themeTint="80"/>
          <w:vertAlign w:val="superscript"/>
        </w:rPr>
        <w:t>#49964</w:t>
      </w:r>
    </w:p>
    <w:p w14:paraId="55D76139" w14:textId="77777777" w:rsidR="00F83854" w:rsidRPr="00BC1563" w:rsidRDefault="0018459C" w:rsidP="00AD50C0">
      <w:pPr>
        <w:pStyle w:val="ResNo"/>
      </w:pPr>
      <w:bookmarkStart w:id="10" w:name="_Toc450207191"/>
      <w:bookmarkStart w:id="11" w:name="_Toc450208668"/>
      <w:r w:rsidRPr="00BC1563">
        <w:rPr>
          <w:caps w:val="0"/>
        </w:rPr>
        <w:t xml:space="preserve">RÉSOLUTION </w:t>
      </w:r>
      <w:r w:rsidRPr="00BC1563">
        <w:rPr>
          <w:rStyle w:val="href"/>
        </w:rPr>
        <w:t>239</w:t>
      </w:r>
      <w:r w:rsidRPr="00BC1563">
        <w:rPr>
          <w:caps w:val="0"/>
        </w:rPr>
        <w:t xml:space="preserve"> (CMR-15)</w:t>
      </w:r>
      <w:bookmarkEnd w:id="10"/>
      <w:bookmarkEnd w:id="11"/>
      <w:r w:rsidRPr="00BC1563">
        <w:rPr>
          <w:caps w:val="0"/>
        </w:rPr>
        <w:t xml:space="preserve"> </w:t>
      </w:r>
    </w:p>
    <w:p w14:paraId="42B998DB" w14:textId="12F5F12D" w:rsidR="00F83854" w:rsidRPr="00BC1563" w:rsidRDefault="0018459C" w:rsidP="00AD50C0">
      <w:pPr>
        <w:pStyle w:val="Restitle"/>
      </w:pPr>
      <w:r w:rsidRPr="00BC1563">
        <w:t>Etudes relatives aux systèmes d'accès hertzien, y compris les réseaux</w:t>
      </w:r>
      <w:r w:rsidR="00CF7AA7" w:rsidRPr="00BC1563">
        <w:br/>
      </w:r>
      <w:r w:rsidRPr="00BC1563">
        <w:t xml:space="preserve"> locaux</w:t>
      </w:r>
      <w:r w:rsidR="00CF7AA7" w:rsidRPr="00BC1563">
        <w:t xml:space="preserve"> </w:t>
      </w:r>
      <w:r w:rsidRPr="00BC1563">
        <w:t>hertziens, dans les bandes de</w:t>
      </w:r>
      <w:r w:rsidR="00CF7AA7" w:rsidRPr="00BC1563">
        <w:t xml:space="preserve"> </w:t>
      </w:r>
      <w:r w:rsidRPr="00BC1563">
        <w:t xml:space="preserve">fréquences comprises </w:t>
      </w:r>
      <w:r w:rsidRPr="00BC1563">
        <w:br/>
        <w:t>entre</w:t>
      </w:r>
      <w:r w:rsidR="00CF7AA7" w:rsidRPr="00BC1563">
        <w:t xml:space="preserve"> </w:t>
      </w:r>
      <w:r w:rsidRPr="00BC1563">
        <w:t>5 150 MHz et 5</w:t>
      </w:r>
      <w:r w:rsidR="00CF7AA7" w:rsidRPr="00BC1563">
        <w:t> </w:t>
      </w:r>
      <w:r w:rsidRPr="00BC1563">
        <w:t>925</w:t>
      </w:r>
      <w:r w:rsidR="00CF7AA7" w:rsidRPr="00BC1563">
        <w:t> </w:t>
      </w:r>
      <w:r w:rsidRPr="00BC1563">
        <w:t>MHz</w:t>
      </w:r>
    </w:p>
    <w:p w14:paraId="280C6066" w14:textId="6012DDAE" w:rsidR="0031435E" w:rsidRPr="00BC1563" w:rsidRDefault="0018459C" w:rsidP="00AD50C0">
      <w:pPr>
        <w:pStyle w:val="Reasons"/>
      </w:pPr>
      <w:r w:rsidRPr="00BC1563">
        <w:rPr>
          <w:b/>
        </w:rPr>
        <w:t>Motifs:</w:t>
      </w:r>
      <w:r w:rsidRPr="00BC1563">
        <w:tab/>
      </w:r>
      <w:r w:rsidR="00324BBB" w:rsidRPr="00BC1563">
        <w:t>Cette Résolution ne sera plus nécessaire après la CMR</w:t>
      </w:r>
      <w:r w:rsidR="0031435E" w:rsidRPr="00BC1563">
        <w:t>-19.</w:t>
      </w:r>
    </w:p>
    <w:p w14:paraId="7DDAEE36" w14:textId="77777777" w:rsidR="0031435E" w:rsidRPr="00BC1563" w:rsidRDefault="0031435E" w:rsidP="00AD50C0">
      <w:pPr>
        <w:jc w:val="center"/>
      </w:pPr>
      <w:r w:rsidRPr="00BC1563">
        <w:t>_____________</w:t>
      </w:r>
      <w:bookmarkStart w:id="12" w:name="_GoBack"/>
      <w:bookmarkEnd w:id="12"/>
      <w:r w:rsidRPr="00BC1563">
        <w:t>_</w:t>
      </w:r>
    </w:p>
    <w:sectPr w:rsidR="0031435E" w:rsidRPr="00BC156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6864" w14:textId="77777777" w:rsidR="00F83854" w:rsidRDefault="00F83854">
      <w:r>
        <w:separator/>
      </w:r>
    </w:p>
  </w:endnote>
  <w:endnote w:type="continuationSeparator" w:id="0">
    <w:p w14:paraId="130F65D2" w14:textId="77777777" w:rsidR="00F83854" w:rsidRDefault="00F8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5068" w14:textId="09CE67F3" w:rsidR="00F83854" w:rsidRDefault="00F8385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82B38">
      <w:rPr>
        <w:noProof/>
        <w:lang w:val="en-US"/>
      </w:rPr>
      <w:t>P:\FRA\ITU-R\CONF-R\CMR19\000\047ADD16F.docx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2B38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82B38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A85D" w14:textId="3318D4EB" w:rsidR="00F83854" w:rsidRDefault="00F83854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82B38">
      <w:rPr>
        <w:lang w:val="en-US"/>
      </w:rPr>
      <w:t>P:\FRA\ITU-R\CONF-R\CMR19\000\047ADD16F.docx</w:t>
    </w:r>
    <w:r>
      <w:fldChar w:fldCharType="end"/>
    </w:r>
    <w:r w:rsidRPr="000E1CE7">
      <w:rPr>
        <w:lang w:val="en-GB"/>
      </w:rPr>
      <w:t xml:space="preserve"> (461946)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CA3FF" w14:textId="3A8707A6" w:rsidR="00F83854" w:rsidRDefault="00F83854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82B38">
      <w:rPr>
        <w:lang w:val="en-US"/>
      </w:rPr>
      <w:t>P:\FRA\ITU-R\CONF-R\CMR19\000\047ADD16F.docx</w:t>
    </w:r>
    <w:r>
      <w:fldChar w:fldCharType="end"/>
    </w:r>
    <w:r w:rsidRPr="000E1CE7">
      <w:rPr>
        <w:lang w:val="en-GB"/>
      </w:rPr>
      <w:t xml:space="preserve"> (461946)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EF31" w14:textId="77777777" w:rsidR="00F83854" w:rsidRDefault="00F83854">
      <w:r>
        <w:rPr>
          <w:b/>
        </w:rPr>
        <w:t>_______________</w:t>
      </w:r>
    </w:p>
  </w:footnote>
  <w:footnote w:type="continuationSeparator" w:id="0">
    <w:p w14:paraId="3B8A7D00" w14:textId="77777777" w:rsidR="00F83854" w:rsidRDefault="00F8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628D" w14:textId="77777777" w:rsidR="00F83854" w:rsidRDefault="00F83854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4917C6A" w14:textId="77777777" w:rsidR="00F83854" w:rsidRDefault="00F83854" w:rsidP="00FD7AA3">
    <w:pPr>
      <w:pStyle w:val="Header"/>
    </w:pPr>
    <w:r>
      <w:t>CMR19/47(Add.16)-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1029"/>
    <w:rsid w:val="00016648"/>
    <w:rsid w:val="00030524"/>
    <w:rsid w:val="0003522F"/>
    <w:rsid w:val="00063A1F"/>
    <w:rsid w:val="000656B4"/>
    <w:rsid w:val="00080E2C"/>
    <w:rsid w:val="00081366"/>
    <w:rsid w:val="000863B3"/>
    <w:rsid w:val="000A4755"/>
    <w:rsid w:val="000A55AE"/>
    <w:rsid w:val="000B2E0C"/>
    <w:rsid w:val="000B3D0C"/>
    <w:rsid w:val="000E1CE7"/>
    <w:rsid w:val="001167B9"/>
    <w:rsid w:val="001267A0"/>
    <w:rsid w:val="0015203F"/>
    <w:rsid w:val="00160C64"/>
    <w:rsid w:val="00176A2F"/>
    <w:rsid w:val="0018169B"/>
    <w:rsid w:val="0018459C"/>
    <w:rsid w:val="0019352B"/>
    <w:rsid w:val="001960D0"/>
    <w:rsid w:val="001A01FF"/>
    <w:rsid w:val="001A11F6"/>
    <w:rsid w:val="001A436C"/>
    <w:rsid w:val="001F17E8"/>
    <w:rsid w:val="00204306"/>
    <w:rsid w:val="00206831"/>
    <w:rsid w:val="00216312"/>
    <w:rsid w:val="00232FAB"/>
    <w:rsid w:val="00232FD2"/>
    <w:rsid w:val="00253E8B"/>
    <w:rsid w:val="0026554E"/>
    <w:rsid w:val="00282554"/>
    <w:rsid w:val="002A4622"/>
    <w:rsid w:val="002A6F8F"/>
    <w:rsid w:val="002B06F5"/>
    <w:rsid w:val="002B17E5"/>
    <w:rsid w:val="002C0EBF"/>
    <w:rsid w:val="002C28A4"/>
    <w:rsid w:val="002D1067"/>
    <w:rsid w:val="002D3071"/>
    <w:rsid w:val="002D7E0A"/>
    <w:rsid w:val="002F42E6"/>
    <w:rsid w:val="0031435E"/>
    <w:rsid w:val="00315AFE"/>
    <w:rsid w:val="00324370"/>
    <w:rsid w:val="00324BBB"/>
    <w:rsid w:val="00343B7D"/>
    <w:rsid w:val="003606A6"/>
    <w:rsid w:val="0036650C"/>
    <w:rsid w:val="00393ACD"/>
    <w:rsid w:val="003A583E"/>
    <w:rsid w:val="003A7FD5"/>
    <w:rsid w:val="003E112B"/>
    <w:rsid w:val="003E1D1C"/>
    <w:rsid w:val="003E591A"/>
    <w:rsid w:val="003E7B05"/>
    <w:rsid w:val="003F3719"/>
    <w:rsid w:val="003F6F2D"/>
    <w:rsid w:val="00466211"/>
    <w:rsid w:val="004664B5"/>
    <w:rsid w:val="00470EC6"/>
    <w:rsid w:val="00483196"/>
    <w:rsid w:val="004834A9"/>
    <w:rsid w:val="004B7523"/>
    <w:rsid w:val="004D01FC"/>
    <w:rsid w:val="004E28C3"/>
    <w:rsid w:val="004F1F8E"/>
    <w:rsid w:val="00512A32"/>
    <w:rsid w:val="00516157"/>
    <w:rsid w:val="005343DA"/>
    <w:rsid w:val="00542127"/>
    <w:rsid w:val="00560874"/>
    <w:rsid w:val="005803C0"/>
    <w:rsid w:val="00586CF2"/>
    <w:rsid w:val="005A7C75"/>
    <w:rsid w:val="005C3768"/>
    <w:rsid w:val="005C6C3F"/>
    <w:rsid w:val="005D1049"/>
    <w:rsid w:val="005D5564"/>
    <w:rsid w:val="00613635"/>
    <w:rsid w:val="0062093D"/>
    <w:rsid w:val="00637ECF"/>
    <w:rsid w:val="00647B59"/>
    <w:rsid w:val="00661A06"/>
    <w:rsid w:val="006901EF"/>
    <w:rsid w:val="00690C7B"/>
    <w:rsid w:val="006A4B45"/>
    <w:rsid w:val="006D4724"/>
    <w:rsid w:val="006F5FA2"/>
    <w:rsid w:val="0070076C"/>
    <w:rsid w:val="00701BAE"/>
    <w:rsid w:val="00721F04"/>
    <w:rsid w:val="00730E95"/>
    <w:rsid w:val="00735E71"/>
    <w:rsid w:val="007426B9"/>
    <w:rsid w:val="00764342"/>
    <w:rsid w:val="00774362"/>
    <w:rsid w:val="00786598"/>
    <w:rsid w:val="00786D83"/>
    <w:rsid w:val="00790C74"/>
    <w:rsid w:val="007A04E8"/>
    <w:rsid w:val="007B2C34"/>
    <w:rsid w:val="00830086"/>
    <w:rsid w:val="00841C64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CE9"/>
    <w:rsid w:val="00930FFD"/>
    <w:rsid w:val="00936D25"/>
    <w:rsid w:val="00941EA5"/>
    <w:rsid w:val="00941ED6"/>
    <w:rsid w:val="00962B87"/>
    <w:rsid w:val="00964700"/>
    <w:rsid w:val="00966C16"/>
    <w:rsid w:val="00977711"/>
    <w:rsid w:val="00982B38"/>
    <w:rsid w:val="0098732F"/>
    <w:rsid w:val="009A045F"/>
    <w:rsid w:val="009A6A2B"/>
    <w:rsid w:val="009B7EDA"/>
    <w:rsid w:val="009C7E7C"/>
    <w:rsid w:val="009D797A"/>
    <w:rsid w:val="009F346E"/>
    <w:rsid w:val="00A00473"/>
    <w:rsid w:val="00A03C9B"/>
    <w:rsid w:val="00A06138"/>
    <w:rsid w:val="00A37105"/>
    <w:rsid w:val="00A606C3"/>
    <w:rsid w:val="00A80069"/>
    <w:rsid w:val="00A83B09"/>
    <w:rsid w:val="00A84541"/>
    <w:rsid w:val="00AD50C0"/>
    <w:rsid w:val="00AE36A0"/>
    <w:rsid w:val="00B00294"/>
    <w:rsid w:val="00B00ECA"/>
    <w:rsid w:val="00B169E4"/>
    <w:rsid w:val="00B21622"/>
    <w:rsid w:val="00B24CF3"/>
    <w:rsid w:val="00B3749C"/>
    <w:rsid w:val="00B64FD0"/>
    <w:rsid w:val="00BA5BD0"/>
    <w:rsid w:val="00BB1D82"/>
    <w:rsid w:val="00BB6AF4"/>
    <w:rsid w:val="00BC1563"/>
    <w:rsid w:val="00BD51C5"/>
    <w:rsid w:val="00BE4149"/>
    <w:rsid w:val="00BF26E7"/>
    <w:rsid w:val="00BF2F8C"/>
    <w:rsid w:val="00C4457E"/>
    <w:rsid w:val="00C53FCA"/>
    <w:rsid w:val="00C76BAF"/>
    <w:rsid w:val="00C814B9"/>
    <w:rsid w:val="00C942C2"/>
    <w:rsid w:val="00CA6604"/>
    <w:rsid w:val="00CD516F"/>
    <w:rsid w:val="00CF7AA7"/>
    <w:rsid w:val="00D119A7"/>
    <w:rsid w:val="00D17E53"/>
    <w:rsid w:val="00D25FBA"/>
    <w:rsid w:val="00D27DC3"/>
    <w:rsid w:val="00D32B28"/>
    <w:rsid w:val="00D42954"/>
    <w:rsid w:val="00D60CA3"/>
    <w:rsid w:val="00D66EAC"/>
    <w:rsid w:val="00D676E3"/>
    <w:rsid w:val="00D730DF"/>
    <w:rsid w:val="00D75091"/>
    <w:rsid w:val="00D772F0"/>
    <w:rsid w:val="00D77BDC"/>
    <w:rsid w:val="00DC402B"/>
    <w:rsid w:val="00DE0932"/>
    <w:rsid w:val="00E03A27"/>
    <w:rsid w:val="00E049F1"/>
    <w:rsid w:val="00E214FE"/>
    <w:rsid w:val="00E37A25"/>
    <w:rsid w:val="00E537FF"/>
    <w:rsid w:val="00E6539B"/>
    <w:rsid w:val="00E66FBC"/>
    <w:rsid w:val="00E70A31"/>
    <w:rsid w:val="00E723A7"/>
    <w:rsid w:val="00E74485"/>
    <w:rsid w:val="00E90482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83854"/>
    <w:rsid w:val="00FA3BBF"/>
    <w:rsid w:val="00FC13E6"/>
    <w:rsid w:val="00FC1C2E"/>
    <w:rsid w:val="00FC41F8"/>
    <w:rsid w:val="00FC7EDB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5A3B62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customStyle="1" w:styleId="Tabl">
    <w:name w:val="Tabl"/>
    <w:basedOn w:val="Normal"/>
    <w:rsid w:val="0018459C"/>
  </w:style>
  <w:style w:type="character" w:styleId="CommentReference">
    <w:name w:val="annotation reference"/>
    <w:basedOn w:val="DefaultParagraphFont"/>
    <w:semiHidden/>
    <w:unhideWhenUsed/>
    <w:rsid w:val="00E214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14F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14FE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1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14FE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E214FE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E214F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14FE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R16-WRC19-C-0047!A16!MSW-F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BB5D12-FC1F-4C19-8598-40898A19C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4A832-BD3C-426C-BFA3-1BE234A13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03855-D7C3-4416-A047-74567C44A8EC}">
  <ds:schemaRefs>
    <ds:schemaRef ds:uri="http://purl.org/dc/terms/"/>
    <ds:schemaRef ds:uri="32a1a8c5-2265-4ebc-b7a0-2071e2c5c9bb"/>
    <ds:schemaRef ds:uri="996b2e75-67fd-4955-a3b0-5ab9934cb50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2383</Words>
  <Characters>12505</Characters>
  <Application>Microsoft Office Word</Application>
  <DocSecurity>0</DocSecurity>
  <Lines>342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R16-WRC19-C-0047!A16!MSW-F</vt:lpstr>
    </vt:vector>
  </TitlesOfParts>
  <Manager>Secrétariat général - Pool</Manager>
  <Company>Union internationale des télécommunications (UIT)</Company>
  <LinksUpToDate>false</LinksUpToDate>
  <CharactersWithSpaces>14806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R16-WRC19-C-0047!A16!MSW-F</dc:title>
  <dc:subject>Conférence mondiale des radiocommunications - 2019</dc:subject>
  <dc:creator>Documents Proposals Manager (DPM)</dc:creator>
  <cp:keywords>DPM_v2019.10.14.1_prod</cp:keywords>
  <dc:description/>
  <cp:lastModifiedBy>French1</cp:lastModifiedBy>
  <cp:revision>13</cp:revision>
  <cp:lastPrinted>2019-10-20T08:01:00Z</cp:lastPrinted>
  <dcterms:created xsi:type="dcterms:W3CDTF">2019-10-17T14:12:00Z</dcterms:created>
  <dcterms:modified xsi:type="dcterms:W3CDTF">2019-10-20T08:01:00Z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