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16 to</w:t>
            </w:r>
            <w:r>
              <w:rPr>
                <w:rFonts w:ascii="Verdana" w:hAnsi="Verdana"/>
                <w:b/>
                <w:sz w:val="20"/>
              </w:rPr>
              <w:br/>
              <w:t>Document 47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Australia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1.16</w:t>
            </w:r>
          </w:p>
        </w:tc>
      </w:tr>
    </w:tbl>
    <w:bookmarkEnd w:id="5"/>
    <w:bookmarkEnd w:id="6"/>
    <w:p w:rsidR="005118F7" w:rsidRPr="00EC5386" w:rsidRDefault="00AC6A45" w:rsidP="00181FCF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1.16</w:t>
      </w:r>
      <w:r>
        <w:rPr>
          <w:lang w:val="en-US"/>
        </w:rPr>
        <w:tab/>
      </w:r>
      <w:r w:rsidRPr="00656311">
        <w:rPr>
          <w:lang w:val="en-US"/>
        </w:rPr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>
        <w:rPr>
          <w:b/>
          <w:bCs/>
          <w:lang w:val="en-US"/>
        </w:rPr>
        <w:t xml:space="preserve">239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BB37AB" w:rsidRPr="005840DF" w:rsidRDefault="00BB37AB" w:rsidP="00BB37AB">
      <w:pPr>
        <w:pStyle w:val="Heading1"/>
        <w:rPr>
          <w:rFonts w:eastAsia="BatangChe"/>
          <w:lang w:val="en-US" w:eastAsia="ko-KR"/>
        </w:rPr>
      </w:pPr>
      <w:r>
        <w:rPr>
          <w:rFonts w:eastAsia="BatangChe"/>
          <w:lang w:val="en-US" w:eastAsia="ko-KR"/>
        </w:rPr>
        <w:t>1</w:t>
      </w:r>
      <w:r>
        <w:rPr>
          <w:rFonts w:eastAsia="BatangChe"/>
          <w:lang w:val="en-US" w:eastAsia="ko-KR"/>
        </w:rPr>
        <w:tab/>
      </w:r>
      <w:r w:rsidRPr="005840DF">
        <w:rPr>
          <w:rFonts w:eastAsia="BatangChe"/>
          <w:lang w:val="en-US" w:eastAsia="ko-KR"/>
        </w:rPr>
        <w:t>Introduction</w:t>
      </w:r>
    </w:p>
    <w:p w:rsidR="00BB37AB" w:rsidRDefault="00BB37AB" w:rsidP="00BB37AB">
      <w:pPr>
        <w:rPr>
          <w:rFonts w:eastAsia="Batang"/>
          <w:lang w:val="en-AU"/>
        </w:rPr>
      </w:pPr>
      <w:r>
        <w:rPr>
          <w:rFonts w:eastAsia="BatangChe"/>
          <w:lang w:val="en-US"/>
        </w:rPr>
        <w:t xml:space="preserve">Over the last four years, in accordance with </w:t>
      </w:r>
      <w:r w:rsidRPr="007E3F2E">
        <w:rPr>
          <w:rFonts w:eastAsia="BatangChe"/>
          <w:lang w:val="en-US"/>
        </w:rPr>
        <w:t xml:space="preserve">Resolution </w:t>
      </w:r>
      <w:r w:rsidRPr="007E3F2E">
        <w:rPr>
          <w:rFonts w:eastAsia="BatangChe"/>
          <w:b/>
          <w:lang w:val="en-US"/>
        </w:rPr>
        <w:t>239 (WRC-15)</w:t>
      </w:r>
      <w:r w:rsidRPr="00B30544">
        <w:rPr>
          <w:rFonts w:eastAsia="BatangChe"/>
          <w:lang w:val="en-US"/>
        </w:rPr>
        <w:t>,</w:t>
      </w:r>
      <w:r>
        <w:rPr>
          <w:rFonts w:eastAsia="BatangChe"/>
          <w:lang w:val="en-US"/>
        </w:rPr>
        <w:t xml:space="preserve"> </w:t>
      </w:r>
      <w:r w:rsidRPr="007E3F2E">
        <w:rPr>
          <w:rFonts w:eastAsia="Batang"/>
          <w:lang w:val="en-AU"/>
        </w:rPr>
        <w:t>ITU-R</w:t>
      </w:r>
      <w:r>
        <w:rPr>
          <w:rFonts w:eastAsia="Batang"/>
          <w:lang w:val="en-AU"/>
        </w:rPr>
        <w:t xml:space="preserve"> Working Party 5A (WP 5A) has undertaken</w:t>
      </w:r>
      <w:r w:rsidRPr="007E3F2E">
        <w:rPr>
          <w:rFonts w:eastAsia="Batang"/>
          <w:lang w:val="en-AU"/>
        </w:rPr>
        <w:t xml:space="preserve"> </w:t>
      </w:r>
      <w:r>
        <w:rPr>
          <w:rFonts w:eastAsia="Batang"/>
          <w:lang w:val="en-AU"/>
        </w:rPr>
        <w:t xml:space="preserve">comprehensive </w:t>
      </w:r>
      <w:r w:rsidRPr="007E3F2E">
        <w:rPr>
          <w:rFonts w:eastAsia="Batang"/>
          <w:lang w:val="en-AU"/>
        </w:rPr>
        <w:t xml:space="preserve">studies </w:t>
      </w:r>
      <w:r>
        <w:rPr>
          <w:rFonts w:eastAsia="Batang"/>
          <w:lang w:val="en-AU"/>
        </w:rPr>
        <w:t xml:space="preserve">relating to aspects of </w:t>
      </w:r>
      <w:r w:rsidRPr="007E3F2E">
        <w:rPr>
          <w:rFonts w:eastAsia="Batang"/>
          <w:lang w:val="en-AU"/>
        </w:rPr>
        <w:t>WAS/RLAN</w:t>
      </w:r>
      <w:r>
        <w:rPr>
          <w:rFonts w:eastAsia="Batang"/>
          <w:lang w:val="en-AU"/>
        </w:rPr>
        <w:t>s</w:t>
      </w:r>
      <w:r w:rsidRPr="007E3F2E">
        <w:rPr>
          <w:rFonts w:eastAsia="Batang"/>
          <w:lang w:val="en-AU"/>
        </w:rPr>
        <w:t xml:space="preserve"> in five frequency bands (5 150-5 250 MHz, 5 250-5 350 MHz, 5 350-5 470 MHz, 5 725-5 850 MHz and 5</w:t>
      </w:r>
      <w:r>
        <w:rPr>
          <w:rFonts w:eastAsia="Batang"/>
          <w:lang w:val="en-AU"/>
        </w:rPr>
        <w:t> </w:t>
      </w:r>
      <w:r w:rsidRPr="007E3F2E">
        <w:rPr>
          <w:rFonts w:eastAsia="Batang"/>
          <w:lang w:val="en-AU"/>
        </w:rPr>
        <w:t>850-5 925 MHz).</w:t>
      </w:r>
    </w:p>
    <w:p w:rsidR="00BB37AB" w:rsidRPr="007E3F2E" w:rsidRDefault="00BB37AB" w:rsidP="00BB37AB">
      <w:pPr>
        <w:rPr>
          <w:rFonts w:eastAsia="BatangChe"/>
          <w:lang w:val="en-AU"/>
        </w:rPr>
      </w:pPr>
      <w:r w:rsidRPr="007E3F2E">
        <w:rPr>
          <w:rFonts w:eastAsia="BatangChe"/>
          <w:lang w:val="en-AU"/>
        </w:rPr>
        <w:t>In addition to undertaking sharing and compatibility studies, WP 5A reviewed the technical characteristics, operational requirements and possible mitigation techniques to potentially allow the use of WAS/RLANs in a number of 5 GHz frequency segments, while protecting incumbent services. It also examined the possibility of outdoor operation in the 5 150-5 250 MHz segment and reviewed indoor/outdoor restrictions in the adjacent 5 250-5 350 MHz segment</w:t>
      </w:r>
      <w:r>
        <w:rPr>
          <w:rFonts w:eastAsia="BatangChe"/>
          <w:lang w:val="en-AU"/>
        </w:rPr>
        <w:t>.</w:t>
      </w:r>
    </w:p>
    <w:p w:rsidR="00BB37AB" w:rsidRPr="00C07DE0" w:rsidRDefault="00BB37AB" w:rsidP="00BB37AB">
      <w:pPr>
        <w:rPr>
          <w:lang w:val="en-AU"/>
        </w:rPr>
      </w:pPr>
      <w:r w:rsidRPr="007E3F2E">
        <w:rPr>
          <w:lang w:val="en-US" w:bidi="en-US"/>
        </w:rPr>
        <w:t xml:space="preserve">In the 5 150-5 250 MHz frequency band </w:t>
      </w:r>
      <w:r>
        <w:rPr>
          <w:lang w:val="en-US" w:bidi="en-US"/>
        </w:rPr>
        <w:t>there are</w:t>
      </w:r>
      <w:r w:rsidRPr="007E3F2E">
        <w:rPr>
          <w:lang w:val="en-US" w:bidi="en-US"/>
        </w:rPr>
        <w:t xml:space="preserve"> </w:t>
      </w:r>
      <w:r>
        <w:rPr>
          <w:lang w:val="en-US" w:bidi="en-US"/>
        </w:rPr>
        <w:t xml:space="preserve">five </w:t>
      </w:r>
      <w:r w:rsidRPr="007E3F2E">
        <w:rPr>
          <w:lang w:val="en-US" w:bidi="en-US"/>
        </w:rPr>
        <w:t>fixed-satellite service gateway facilities</w:t>
      </w:r>
      <w:r>
        <w:rPr>
          <w:lang w:val="en-US" w:bidi="en-US"/>
        </w:rPr>
        <w:t xml:space="preserve"> licensed in Australia that support non-GSO MSS systems </w:t>
      </w:r>
      <w:proofErr w:type="spellStart"/>
      <w:r w:rsidRPr="009B3F22">
        <w:rPr>
          <w:i/>
          <w:lang w:val="en-US" w:bidi="en-US"/>
        </w:rPr>
        <w:t>Globalstar</w:t>
      </w:r>
      <w:proofErr w:type="spellEnd"/>
      <w:r>
        <w:rPr>
          <w:i/>
          <w:lang w:val="en-US" w:bidi="en-US"/>
        </w:rPr>
        <w:t xml:space="preserve">, </w:t>
      </w:r>
      <w:proofErr w:type="spellStart"/>
      <w:r w:rsidRPr="009B3F22">
        <w:rPr>
          <w:i/>
          <w:lang w:val="en-US" w:bidi="en-US"/>
        </w:rPr>
        <w:t>Omnispace</w:t>
      </w:r>
      <w:proofErr w:type="spellEnd"/>
      <w:r>
        <w:rPr>
          <w:i/>
          <w:lang w:val="en-US" w:bidi="en-US"/>
        </w:rPr>
        <w:t xml:space="preserve"> and </w:t>
      </w:r>
      <w:proofErr w:type="spellStart"/>
      <w:r>
        <w:rPr>
          <w:i/>
          <w:lang w:val="en-US" w:bidi="en-US"/>
        </w:rPr>
        <w:t>Sirion</w:t>
      </w:r>
      <w:proofErr w:type="spellEnd"/>
      <w:r>
        <w:rPr>
          <w:lang w:val="en-US" w:bidi="en-US"/>
        </w:rPr>
        <w:t xml:space="preserve">. In some </w:t>
      </w:r>
      <w:proofErr w:type="gramStart"/>
      <w:r>
        <w:rPr>
          <w:lang w:val="en-US" w:bidi="en-US"/>
        </w:rPr>
        <w:t>cases</w:t>
      </w:r>
      <w:proofErr w:type="gramEnd"/>
      <w:r>
        <w:rPr>
          <w:lang w:val="en-US" w:bidi="en-US"/>
        </w:rPr>
        <w:t xml:space="preserve"> gateway stations </w:t>
      </w:r>
      <w:proofErr w:type="spellStart"/>
      <w:r>
        <w:rPr>
          <w:lang w:val="en-US" w:bidi="en-US"/>
        </w:rPr>
        <w:t>utilise</w:t>
      </w:r>
      <w:proofErr w:type="spellEnd"/>
      <w:r>
        <w:rPr>
          <w:lang w:val="en-US" w:bidi="en-US"/>
        </w:rPr>
        <w:t xml:space="preserve"> several E-to-s feeder links allowing </w:t>
      </w:r>
      <w:r w:rsidRPr="007E3F2E">
        <w:rPr>
          <w:lang w:val="en-US" w:bidi="en-US"/>
        </w:rPr>
        <w:t>access</w:t>
      </w:r>
      <w:r>
        <w:rPr>
          <w:lang w:val="en-US" w:bidi="en-US"/>
        </w:rPr>
        <w:t xml:space="preserve"> to multiple </w:t>
      </w:r>
      <w:r w:rsidRPr="007E3F2E">
        <w:rPr>
          <w:lang w:val="en-US" w:bidi="en-US"/>
        </w:rPr>
        <w:t xml:space="preserve">satellites </w:t>
      </w:r>
      <w:r>
        <w:rPr>
          <w:lang w:val="en-US" w:bidi="en-US"/>
        </w:rPr>
        <w:t>of these systems</w:t>
      </w:r>
      <w:r w:rsidRPr="007E3F2E">
        <w:rPr>
          <w:lang w:val="en-US" w:bidi="en-US"/>
        </w:rPr>
        <w:t xml:space="preserve">. </w:t>
      </w:r>
    </w:p>
    <w:p w:rsidR="00BB37AB" w:rsidRDefault="00BB37AB" w:rsidP="00BB37AB">
      <w:pPr>
        <w:rPr>
          <w:rFonts w:eastAsia="BatangChe"/>
          <w:lang w:val="en-AU"/>
        </w:rPr>
      </w:pPr>
      <w:r>
        <w:rPr>
          <w:rFonts w:eastAsia="BatangChe"/>
          <w:lang w:val="en-AU"/>
        </w:rPr>
        <w:t>In the 5 725-5 850 MHz frequency band, land and maritime Radiolocation services operating in Australia require ongoing protection from WAS/RLANs operating in the band.  Although this band has been utilised for low power WAS/RLANs in some countries on a no</w:t>
      </w:r>
      <w:r>
        <w:rPr>
          <w:rFonts w:eastAsia="BatangChe"/>
          <w:lang w:val="en-AU"/>
        </w:rPr>
        <w:noBreakHyphen/>
        <w:t>interference, no-protection basis for a number of years</w:t>
      </w:r>
      <w:r w:rsidRPr="003F02B6">
        <w:rPr>
          <w:rFonts w:eastAsia="BatangChe"/>
          <w:lang w:val="en-AU"/>
        </w:rPr>
        <w:t xml:space="preserve">, there is potential for higher power high density WAS/RLAN systems to increase the noise floor and be a detriment to </w:t>
      </w:r>
      <w:r>
        <w:rPr>
          <w:rFonts w:eastAsia="BatangChe"/>
          <w:lang w:val="en-AU"/>
        </w:rPr>
        <w:t>incumbent radiolocation systems</w:t>
      </w:r>
      <w:r w:rsidRPr="003F02B6">
        <w:rPr>
          <w:rFonts w:eastAsia="BatangChe"/>
          <w:lang w:val="en-AU"/>
        </w:rPr>
        <w:t>.</w:t>
      </w:r>
      <w:r>
        <w:rPr>
          <w:rFonts w:eastAsia="BatangChe"/>
          <w:lang w:val="en-AU"/>
        </w:rPr>
        <w:t xml:space="preserve"> </w:t>
      </w:r>
    </w:p>
    <w:p w:rsidR="00BB37AB" w:rsidRPr="00A61607" w:rsidRDefault="00BB37AB" w:rsidP="00BB37AB">
      <w:pPr>
        <w:rPr>
          <w:rFonts w:eastAsia="BatangChe"/>
          <w:lang w:val="en-US" w:eastAsia="ko-KR"/>
        </w:rPr>
      </w:pPr>
      <w:r>
        <w:rPr>
          <w:rFonts w:eastAsia="BatangChe"/>
          <w:lang w:val="en-US" w:eastAsia="ko-KR"/>
        </w:rPr>
        <w:t xml:space="preserve">Australia supports Method A1 (NOC) on the 5 150-5 250 MHz band and Method D1 (NOC) on the 5 725-5 850 MHz band.  </w:t>
      </w:r>
    </w:p>
    <w:p w:rsidR="00BB37AB" w:rsidRPr="00246DDF" w:rsidRDefault="00BB37AB" w:rsidP="00BB37AB">
      <w:pPr>
        <w:pStyle w:val="Headingb"/>
        <w:rPr>
          <w:rFonts w:eastAsia="BatangChe"/>
          <w:lang w:val="en-GB" w:eastAsia="ko-KR"/>
        </w:rPr>
      </w:pPr>
      <w:r w:rsidRPr="00246DDF">
        <w:rPr>
          <w:rFonts w:eastAsia="BatangChe"/>
          <w:lang w:val="en-GB" w:eastAsia="ko-KR"/>
        </w:rPr>
        <w:t>Background on the 5 150-5 250 MHz band</w:t>
      </w:r>
    </w:p>
    <w:p w:rsidR="00BB37AB" w:rsidRPr="003370CB" w:rsidRDefault="00BB37AB" w:rsidP="00BB37AB">
      <w:pPr>
        <w:rPr>
          <w:rFonts w:eastAsia="BatangChe"/>
          <w:snapToGrid w:val="0"/>
          <w:lang w:val="en-US"/>
        </w:rPr>
      </w:pPr>
      <w:r w:rsidRPr="007E3F2E">
        <w:rPr>
          <w:rFonts w:eastAsia="BatangChe"/>
          <w:snapToGrid w:val="0"/>
          <w:lang w:val="en-US"/>
        </w:rPr>
        <w:lastRenderedPageBreak/>
        <w:t xml:space="preserve">Australia </w:t>
      </w:r>
      <w:r>
        <w:rPr>
          <w:rFonts w:eastAsia="BatangChe"/>
          <w:snapToGrid w:val="0"/>
          <w:lang w:val="en-US"/>
        </w:rPr>
        <w:t>has participated in all WP 5A studies on agenda item 1.16 and has submitted a number of in</w:t>
      </w:r>
      <w:r w:rsidR="00A82FF5">
        <w:rPr>
          <w:rFonts w:eastAsia="BatangChe"/>
          <w:snapToGrid w:val="0"/>
          <w:lang w:val="en-US"/>
        </w:rPr>
        <w:t>put contributions on the 5 150-</w:t>
      </w:r>
      <w:r>
        <w:rPr>
          <w:rFonts w:eastAsia="BatangChe"/>
          <w:snapToGrid w:val="0"/>
          <w:lang w:val="en-US"/>
        </w:rPr>
        <w:t>5 250 MHz band. WP</w:t>
      </w:r>
      <w:r w:rsidR="00BE149B">
        <w:rPr>
          <w:rFonts w:eastAsia="BatangChe"/>
          <w:snapToGrid w:val="0"/>
          <w:lang w:val="en-US"/>
        </w:rPr>
        <w:t> </w:t>
      </w:r>
      <w:r>
        <w:rPr>
          <w:rFonts w:eastAsia="BatangChe"/>
          <w:snapToGrid w:val="0"/>
          <w:lang w:val="en-US"/>
        </w:rPr>
        <w:t>5A has examined conditions under which RLANs could operate outdoors in this band without degrading protection for incumbent satellite systems (as required by</w:t>
      </w:r>
      <w:r w:rsidRPr="00FD05B7">
        <w:rPr>
          <w:rFonts w:eastAsia="BatangChe"/>
          <w:lang w:val="en-US"/>
        </w:rPr>
        <w:t xml:space="preserve"> </w:t>
      </w:r>
      <w:r w:rsidRPr="007E3F2E">
        <w:rPr>
          <w:rFonts w:eastAsia="BatangChe"/>
          <w:lang w:val="en-US"/>
        </w:rPr>
        <w:t xml:space="preserve">Resolution </w:t>
      </w:r>
      <w:r w:rsidRPr="007E3F2E">
        <w:rPr>
          <w:rFonts w:eastAsia="BatangChe"/>
          <w:b/>
          <w:lang w:val="en-US"/>
        </w:rPr>
        <w:t>239 (WRC-15)</w:t>
      </w:r>
      <w:r w:rsidRPr="00FD05B7">
        <w:rPr>
          <w:rFonts w:eastAsia="BatangChe"/>
          <w:lang w:val="en-US"/>
        </w:rPr>
        <w:t>)</w:t>
      </w:r>
      <w:r>
        <w:rPr>
          <w:rFonts w:eastAsia="BatangChe"/>
          <w:snapToGrid w:val="0"/>
          <w:lang w:val="en-US"/>
        </w:rPr>
        <w:t xml:space="preserve">. </w:t>
      </w:r>
      <w:r w:rsidRPr="003370CB">
        <w:rPr>
          <w:rFonts w:eastAsia="BatangChe"/>
          <w:snapToGrid w:val="0"/>
          <w:lang w:val="en-US"/>
        </w:rPr>
        <w:t xml:space="preserve">However, </w:t>
      </w:r>
      <w:r>
        <w:rPr>
          <w:rFonts w:eastAsia="BatangChe"/>
          <w:snapToGrid w:val="0"/>
          <w:lang w:val="en-US"/>
        </w:rPr>
        <w:t xml:space="preserve">no agreement </w:t>
      </w:r>
      <w:proofErr w:type="gramStart"/>
      <w:r>
        <w:rPr>
          <w:rFonts w:eastAsia="BatangChe"/>
          <w:snapToGrid w:val="0"/>
          <w:lang w:val="en-US"/>
        </w:rPr>
        <w:t>has been reached</w:t>
      </w:r>
      <w:proofErr w:type="gramEnd"/>
      <w:r>
        <w:rPr>
          <w:rFonts w:eastAsia="BatangChe"/>
          <w:snapToGrid w:val="0"/>
          <w:lang w:val="en-US"/>
        </w:rPr>
        <w:t xml:space="preserve"> on how incumbent services would be protected </w:t>
      </w:r>
      <w:r w:rsidRPr="009C0B4E">
        <w:rPr>
          <w:rFonts w:eastAsia="BatangChe"/>
          <w:snapToGrid w:val="0"/>
          <w:lang w:val="en-US"/>
        </w:rPr>
        <w:t xml:space="preserve">if the regulatory conditions of Resolution </w:t>
      </w:r>
      <w:r w:rsidRPr="009C0B4E">
        <w:rPr>
          <w:rFonts w:eastAsia="BatangChe"/>
          <w:b/>
          <w:snapToGrid w:val="0"/>
          <w:lang w:val="en-US"/>
        </w:rPr>
        <w:t>229 (Rev.WRC-12)</w:t>
      </w:r>
      <w:r w:rsidRPr="009C0B4E">
        <w:rPr>
          <w:rFonts w:eastAsia="BatangChe"/>
          <w:snapToGrid w:val="0"/>
          <w:lang w:val="en-US"/>
        </w:rPr>
        <w:t xml:space="preserve"> were relaxed</w:t>
      </w:r>
      <w:r>
        <w:rPr>
          <w:rFonts w:eastAsia="BatangChe"/>
          <w:snapToGrid w:val="0"/>
          <w:lang w:val="en-US"/>
        </w:rPr>
        <w:t xml:space="preserve">. No draft Reports </w:t>
      </w:r>
      <w:proofErr w:type="gramStart"/>
      <w:r>
        <w:rPr>
          <w:rFonts w:eastAsia="BatangChe"/>
          <w:snapToGrid w:val="0"/>
          <w:lang w:val="en-US"/>
        </w:rPr>
        <w:t>have been submitted</w:t>
      </w:r>
      <w:proofErr w:type="gramEnd"/>
      <w:r>
        <w:rPr>
          <w:rFonts w:eastAsia="BatangChe"/>
          <w:snapToGrid w:val="0"/>
          <w:lang w:val="en-US"/>
        </w:rPr>
        <w:t xml:space="preserve"> to Study Group 5 for approval and therefore </w:t>
      </w:r>
      <w:r w:rsidRPr="009A29A3">
        <w:rPr>
          <w:rFonts w:eastAsia="BatangChe"/>
          <w:snapToGrid w:val="0"/>
          <w:lang w:val="en-US"/>
        </w:rPr>
        <w:t xml:space="preserve">no ITU-R Reports </w:t>
      </w:r>
      <w:r w:rsidR="00A82FF5">
        <w:rPr>
          <w:rFonts w:eastAsia="BatangChe"/>
          <w:snapToGrid w:val="0"/>
          <w:lang w:val="en-US"/>
        </w:rPr>
        <w:t>have been</w:t>
      </w:r>
      <w:r w:rsidRPr="009A29A3">
        <w:rPr>
          <w:rFonts w:eastAsia="BatangChe"/>
          <w:snapToGrid w:val="0"/>
          <w:lang w:val="en-US"/>
        </w:rPr>
        <w:t xml:space="preserve"> produced.</w:t>
      </w:r>
    </w:p>
    <w:p w:rsidR="00BB37AB" w:rsidRDefault="00BB37AB" w:rsidP="00BB37AB">
      <w:pPr>
        <w:rPr>
          <w:lang w:val="en-AU"/>
        </w:rPr>
      </w:pPr>
      <w:r>
        <w:rPr>
          <w:lang w:val="en-AU"/>
        </w:rPr>
        <w:t>Australia has reviewed the A2 and A3 Methods in the CPM Report and has found that neither would be able to protect non-GSO MSS feeder uplinks in the 5 150-5 250 MHz band. Concerns with these methods can be summarised as follows</w:t>
      </w:r>
      <w:r w:rsidRPr="00C07DE0">
        <w:rPr>
          <w:lang w:val="en-AU"/>
        </w:rPr>
        <w:t xml:space="preserve">: </w:t>
      </w:r>
    </w:p>
    <w:p w:rsidR="00BB37AB" w:rsidRPr="00A82FF5" w:rsidRDefault="00BB37AB" w:rsidP="00A82FF5">
      <w:pPr>
        <w:pStyle w:val="enumlev1"/>
        <w:rPr>
          <w:b/>
        </w:rPr>
      </w:pPr>
      <w:r w:rsidRPr="00BB37AB">
        <w:t>–</w:t>
      </w:r>
      <w:r w:rsidRPr="00BB37AB">
        <w:tab/>
      </w:r>
      <w:r w:rsidRPr="00A82FF5">
        <w:rPr>
          <w:b/>
        </w:rPr>
        <w:t>Method A2</w:t>
      </w:r>
    </w:p>
    <w:p w:rsidR="00BB37AB" w:rsidRDefault="00BB37AB" w:rsidP="00BB37AB">
      <w:pPr>
        <w:rPr>
          <w:lang w:val="en-AU"/>
        </w:rPr>
      </w:pPr>
      <w:r w:rsidRPr="00200C16">
        <w:rPr>
          <w:lang w:val="en-AU"/>
        </w:rPr>
        <w:t>This Method would allow</w:t>
      </w:r>
      <w:r>
        <w:rPr>
          <w:lang w:val="en-AU"/>
        </w:rPr>
        <w:t xml:space="preserve"> a large number of </w:t>
      </w:r>
      <w:proofErr w:type="gramStart"/>
      <w:r>
        <w:rPr>
          <w:lang w:val="en-AU"/>
        </w:rPr>
        <w:t>high powered</w:t>
      </w:r>
      <w:proofErr w:type="gramEnd"/>
      <w:r>
        <w:rPr>
          <w:lang w:val="en-AU"/>
        </w:rPr>
        <w:t xml:space="preserve"> </w:t>
      </w:r>
      <w:r w:rsidRPr="00200C16">
        <w:rPr>
          <w:lang w:val="en-AU"/>
        </w:rPr>
        <w:t>RLANs to</w:t>
      </w:r>
      <w:r>
        <w:rPr>
          <w:lang w:val="en-AU"/>
        </w:rPr>
        <w:t xml:space="preserve"> operate outdoors potentially resulting in harmful interference to non-GSO MSS feeder uplinks in the 5 150</w:t>
      </w:r>
      <w:r>
        <w:rPr>
          <w:lang w:val="en-AU"/>
        </w:rPr>
        <w:noBreakHyphen/>
        <w:t xml:space="preserve">5 250 MHz band.  </w:t>
      </w:r>
    </w:p>
    <w:p w:rsidR="00BB37AB" w:rsidRDefault="00BB37AB" w:rsidP="00BB37AB">
      <w:r>
        <w:t xml:space="preserve">Table 1 provides a comparison of the proposed Method A2 rules and the existing Resolution </w:t>
      </w:r>
      <w:r>
        <w:rPr>
          <w:b/>
        </w:rPr>
        <w:t>229 (Rev.WRC-12)</w:t>
      </w:r>
      <w:r>
        <w:t xml:space="preserve"> rules for RLAN emission elevation angles less than or equal to </w:t>
      </w:r>
      <w:r>
        <w:rPr>
          <w:szCs w:val="24"/>
        </w:rPr>
        <w:t>30</w:t>
      </w:r>
      <w:r>
        <w:rPr>
          <w:szCs w:val="24"/>
          <w:vertAlign w:val="superscript"/>
        </w:rPr>
        <w:t>0</w:t>
      </w:r>
      <w:r>
        <w:t xml:space="preserve"> and Table 2 for RLAN emission elevation angles greater than 30</w:t>
      </w:r>
      <w:r>
        <w:rPr>
          <w:vertAlign w:val="superscript"/>
        </w:rPr>
        <w:t>0</w:t>
      </w:r>
      <w:r>
        <w:t>.</w:t>
      </w:r>
    </w:p>
    <w:p w:rsidR="00BB37AB" w:rsidRDefault="00BB37AB" w:rsidP="00BB37AB">
      <w:pPr>
        <w:pStyle w:val="TableNo"/>
        <w:spacing w:before="360"/>
      </w:pPr>
      <w:r>
        <w:t xml:space="preserve">TABLE 1 </w:t>
      </w:r>
    </w:p>
    <w:p w:rsidR="00BB37AB" w:rsidRDefault="00BB37AB" w:rsidP="00BB37AB">
      <w:pPr>
        <w:pStyle w:val="Tabletitle"/>
      </w:pPr>
      <w:r>
        <w:t>RLAN emission elevation angles between 0</w:t>
      </w:r>
      <w:r>
        <w:rPr>
          <w:vertAlign w:val="superscript"/>
        </w:rPr>
        <w:t>0</w:t>
      </w:r>
      <w:r>
        <w:t xml:space="preserve"> and 30</w:t>
      </w:r>
      <w:r>
        <w:rPr>
          <w:vertAlign w:val="superscript"/>
        </w:rPr>
        <w:t>0</w:t>
      </w:r>
    </w:p>
    <w:tbl>
      <w:tblPr>
        <w:tblStyle w:val="TableGrid"/>
        <w:tblW w:w="9198" w:type="dxa"/>
        <w:tblInd w:w="0" w:type="dxa"/>
        <w:tblLook w:val="04A0" w:firstRow="1" w:lastRow="0" w:firstColumn="1" w:lastColumn="0" w:noHBand="0" w:noVBand="1"/>
      </w:tblPr>
      <w:tblGrid>
        <w:gridCol w:w="2144"/>
        <w:gridCol w:w="2651"/>
        <w:gridCol w:w="2381"/>
        <w:gridCol w:w="2022"/>
      </w:tblGrid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Parameter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Existing Resolution 229 (Rev.WRC-12) rules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Proposed Method A2 rules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 xml:space="preserve">Difference </w:t>
            </w:r>
          </w:p>
        </w:tc>
      </w:tr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Maximum 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200 </w:t>
            </w:r>
            <w:proofErr w:type="spellStart"/>
            <w:r>
              <w:t>mW</w:t>
            </w:r>
            <w:proofErr w:type="spellEnd"/>
            <w:r>
              <w:t xml:space="preserve"> (23 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4 W (36 </w:t>
            </w:r>
            <w:proofErr w:type="spellStart"/>
            <w:r>
              <w:t>dBm</w:t>
            </w:r>
            <w:proofErr w:type="spellEnd"/>
            <w:r>
              <w:t xml:space="preserve">)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13 dB</w:t>
            </w:r>
          </w:p>
        </w:tc>
      </w:tr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Location constraint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Yes, indoor only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No, outdoor permitted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B" w:rsidRDefault="00BB37AB" w:rsidP="00366F68">
            <w:pPr>
              <w:pStyle w:val="Tabletext"/>
            </w:pPr>
          </w:p>
        </w:tc>
      </w:tr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Resultant max. outdoor 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6 </w:t>
            </w:r>
            <w:proofErr w:type="spellStart"/>
            <w:r>
              <w:t>dBm</w:t>
            </w:r>
            <w:proofErr w:type="spellEnd"/>
            <w:r>
              <w:t>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36 </w:t>
            </w:r>
            <w:proofErr w:type="spellStart"/>
            <w:r>
              <w:t>dBm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30 dB*</w:t>
            </w:r>
          </w:p>
        </w:tc>
      </w:tr>
    </w:tbl>
    <w:p w:rsidR="00BB37AB" w:rsidRDefault="00BB37AB" w:rsidP="00BB37AB">
      <w:pPr>
        <w:rPr>
          <w:sz w:val="20"/>
        </w:rPr>
      </w:pPr>
      <w:r>
        <w:rPr>
          <w:sz w:val="20"/>
        </w:rPr>
        <w:t>* Assumes building loss of 17 dB</w:t>
      </w:r>
    </w:p>
    <w:p w:rsidR="00BB37AB" w:rsidRDefault="00BB37AB" w:rsidP="00BB37AB">
      <w:pPr>
        <w:pStyle w:val="TableNo"/>
        <w:spacing w:before="360"/>
      </w:pPr>
      <w:r>
        <w:t>TABLE 2</w:t>
      </w:r>
    </w:p>
    <w:p w:rsidR="00BB37AB" w:rsidRDefault="00BB37AB" w:rsidP="00BB37AB">
      <w:pPr>
        <w:pStyle w:val="Tabletitle"/>
      </w:pPr>
      <w:r>
        <w:t>RLAN emission elevation angles &gt;30</w:t>
      </w:r>
      <w:r>
        <w:rPr>
          <w:vertAlign w:val="superscript"/>
        </w:rPr>
        <w:t>0</w:t>
      </w:r>
    </w:p>
    <w:tbl>
      <w:tblPr>
        <w:tblStyle w:val="TableGrid"/>
        <w:tblW w:w="9184" w:type="dxa"/>
        <w:tblInd w:w="0" w:type="dxa"/>
        <w:tblLook w:val="04A0" w:firstRow="1" w:lastRow="0" w:firstColumn="1" w:lastColumn="0" w:noHBand="0" w:noVBand="1"/>
      </w:tblPr>
      <w:tblGrid>
        <w:gridCol w:w="2154"/>
        <w:gridCol w:w="2665"/>
        <w:gridCol w:w="2381"/>
        <w:gridCol w:w="1984"/>
      </w:tblGrid>
      <w:tr w:rsidR="00BB37AB" w:rsidTr="00366F6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Parameter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Existing Resolution 229</w:t>
            </w:r>
            <w:r>
              <w:br/>
              <w:t xml:space="preserve"> (Rev.WRC-12) rules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Proposed Method A2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Difference</w:t>
            </w:r>
          </w:p>
        </w:tc>
      </w:tr>
      <w:tr w:rsidR="00BB37AB" w:rsidTr="00366F6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Maximum 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200 </w:t>
            </w:r>
            <w:proofErr w:type="spellStart"/>
            <w:r>
              <w:t>mW</w:t>
            </w:r>
            <w:proofErr w:type="spellEnd"/>
            <w:r>
              <w:t xml:space="preserve"> (23 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125 </w:t>
            </w:r>
            <w:proofErr w:type="spellStart"/>
            <w:r>
              <w:t>mW</w:t>
            </w:r>
            <w:proofErr w:type="spellEnd"/>
            <w:r>
              <w:t xml:space="preserve"> (21 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-2 dB</w:t>
            </w:r>
          </w:p>
        </w:tc>
      </w:tr>
      <w:tr w:rsidR="00BB37AB" w:rsidTr="00366F6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Location constraint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Yes, indoor only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No, outdoor permitted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B" w:rsidRDefault="00BB37AB" w:rsidP="00366F68">
            <w:pPr>
              <w:pStyle w:val="Tabletext"/>
            </w:pPr>
          </w:p>
        </w:tc>
      </w:tr>
      <w:tr w:rsidR="00BB37AB" w:rsidTr="00366F6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Resultant max. outdoor 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6 </w:t>
            </w:r>
            <w:proofErr w:type="spellStart"/>
            <w:r>
              <w:t>dBm</w:t>
            </w:r>
            <w:proofErr w:type="spellEnd"/>
            <w:r>
              <w:t>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21 </w:t>
            </w:r>
            <w:proofErr w:type="spellStart"/>
            <w:r>
              <w:t>dBm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+15 dB*</w:t>
            </w:r>
          </w:p>
        </w:tc>
      </w:tr>
    </w:tbl>
    <w:p w:rsidR="00BB37AB" w:rsidRDefault="00BB37AB" w:rsidP="00BB37AB">
      <w:pPr>
        <w:rPr>
          <w:sz w:val="20"/>
        </w:rPr>
      </w:pPr>
      <w:r>
        <w:rPr>
          <w:sz w:val="20"/>
        </w:rPr>
        <w:t>* Assumes building loss of 17 dB</w:t>
      </w:r>
    </w:p>
    <w:p w:rsidR="00BB37AB" w:rsidRDefault="00BB37AB" w:rsidP="00BB37AB">
      <w:pPr>
        <w:rPr>
          <w:lang w:val="en-AU"/>
        </w:rPr>
      </w:pPr>
      <w:r>
        <w:rPr>
          <w:lang w:val="en-AU"/>
        </w:rPr>
        <w:t>In summary, Method A2 would:</w:t>
      </w:r>
    </w:p>
    <w:p w:rsidR="00BB37AB" w:rsidRPr="000D557E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</w:r>
      <w:r w:rsidRPr="000D557E">
        <w:rPr>
          <w:lang w:val="en-AU"/>
        </w:rPr>
        <w:t xml:space="preserve">For RLAN emission elevation angles between </w:t>
      </w:r>
      <w:r>
        <w:t>0</w:t>
      </w:r>
      <w:r w:rsidRPr="000D557E">
        <w:rPr>
          <w:vertAlign w:val="superscript"/>
        </w:rPr>
        <w:t>0</w:t>
      </w:r>
      <w:r>
        <w:t xml:space="preserve"> and 30</w:t>
      </w:r>
      <w:r w:rsidRPr="000D557E">
        <w:rPr>
          <w:vertAlign w:val="superscript"/>
        </w:rPr>
        <w:t>0</w:t>
      </w:r>
      <w:r w:rsidRPr="000D557E">
        <w:rPr>
          <w:lang w:val="en-AU"/>
        </w:rPr>
        <w:t xml:space="preserve">, result in an effective </w:t>
      </w:r>
      <w:proofErr w:type="spellStart"/>
      <w:r w:rsidRPr="000D557E">
        <w:rPr>
          <w:lang w:val="en-AU"/>
        </w:rPr>
        <w:t>e.i.r.p</w:t>
      </w:r>
      <w:proofErr w:type="spellEnd"/>
      <w:r w:rsidRPr="000D557E">
        <w:rPr>
          <w:lang w:val="en-AU"/>
        </w:rPr>
        <w:t xml:space="preserve">. increase for each outdoor RLAN of 30 dB compared to the existing 23 </w:t>
      </w:r>
      <w:proofErr w:type="spellStart"/>
      <w:r w:rsidRPr="000D557E">
        <w:rPr>
          <w:lang w:val="en-AU"/>
        </w:rPr>
        <w:t>dBm</w:t>
      </w:r>
      <w:proofErr w:type="spellEnd"/>
      <w:r w:rsidRPr="000D557E">
        <w:rPr>
          <w:lang w:val="en-AU"/>
        </w:rPr>
        <w:t xml:space="preserve"> permitted by </w:t>
      </w:r>
      <w:r w:rsidRPr="000D557E">
        <w:rPr>
          <w:rFonts w:eastAsia="BatangChe"/>
          <w:snapToGrid w:val="0"/>
          <w:szCs w:val="24"/>
          <w:lang w:val="en-US"/>
        </w:rPr>
        <w:t xml:space="preserve">Resolution </w:t>
      </w:r>
      <w:r w:rsidRPr="000D557E">
        <w:rPr>
          <w:rFonts w:eastAsia="BatangChe"/>
          <w:b/>
          <w:snapToGrid w:val="0"/>
          <w:szCs w:val="24"/>
          <w:lang w:val="en-US"/>
        </w:rPr>
        <w:t>229 (Rev.WRC-12)</w:t>
      </w:r>
      <w:r w:rsidRPr="000D557E">
        <w:rPr>
          <w:lang w:val="en-AU"/>
        </w:rPr>
        <w:t xml:space="preserve">; 17 dB from being outdoors and 13 dB from the maximum </w:t>
      </w:r>
      <w:proofErr w:type="spellStart"/>
      <w:r w:rsidRPr="000D557E">
        <w:rPr>
          <w:lang w:val="en-AU"/>
        </w:rPr>
        <w:t>e.i.r.p</w:t>
      </w:r>
      <w:proofErr w:type="spellEnd"/>
      <w:r w:rsidRPr="000D557E">
        <w:rPr>
          <w:lang w:val="en-AU"/>
        </w:rPr>
        <w:t xml:space="preserve">. increase to 36 </w:t>
      </w:r>
      <w:proofErr w:type="spellStart"/>
      <w:r w:rsidRPr="000D557E">
        <w:rPr>
          <w:lang w:val="en-AU"/>
        </w:rPr>
        <w:t>dBm</w:t>
      </w:r>
      <w:proofErr w:type="spellEnd"/>
      <w:r w:rsidRPr="000D557E">
        <w:rPr>
          <w:lang w:val="en-AU"/>
        </w:rPr>
        <w:t xml:space="preserve"> </w:t>
      </w:r>
    </w:p>
    <w:p w:rsidR="00BB37AB" w:rsidRPr="000D557E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</w:r>
      <w:r w:rsidRPr="000D557E">
        <w:rPr>
          <w:lang w:val="en-AU"/>
        </w:rPr>
        <w:t>For RLAN emission elevation angles &gt;</w:t>
      </w:r>
      <w:r>
        <w:t>30</w:t>
      </w:r>
      <w:r w:rsidRPr="000D557E">
        <w:rPr>
          <w:vertAlign w:val="superscript"/>
        </w:rPr>
        <w:t>0</w:t>
      </w:r>
      <w:r w:rsidRPr="000D557E">
        <w:rPr>
          <w:lang w:val="en-AU"/>
        </w:rPr>
        <w:t xml:space="preserve">, result in an effective </w:t>
      </w:r>
      <w:proofErr w:type="spellStart"/>
      <w:r w:rsidRPr="000D557E">
        <w:rPr>
          <w:lang w:val="en-AU"/>
        </w:rPr>
        <w:t>e.i.r.p</w:t>
      </w:r>
      <w:proofErr w:type="spellEnd"/>
      <w:r w:rsidRPr="000D557E">
        <w:rPr>
          <w:lang w:val="en-AU"/>
        </w:rPr>
        <w:t xml:space="preserve">. increase for each outdoor RLAN of 15 dB compared to the existing 23 </w:t>
      </w:r>
      <w:proofErr w:type="spellStart"/>
      <w:r w:rsidRPr="000D557E">
        <w:rPr>
          <w:lang w:val="en-AU"/>
        </w:rPr>
        <w:t>dBm</w:t>
      </w:r>
      <w:proofErr w:type="spellEnd"/>
      <w:r w:rsidRPr="000D557E">
        <w:rPr>
          <w:lang w:val="en-AU"/>
        </w:rPr>
        <w:t xml:space="preserve"> permitted by </w:t>
      </w:r>
      <w:r w:rsidRPr="000D557E">
        <w:rPr>
          <w:rFonts w:eastAsia="BatangChe"/>
          <w:snapToGrid w:val="0"/>
          <w:szCs w:val="24"/>
          <w:lang w:val="en-US"/>
        </w:rPr>
        <w:t xml:space="preserve">Resolution </w:t>
      </w:r>
      <w:r w:rsidRPr="000D557E">
        <w:rPr>
          <w:rFonts w:eastAsia="BatangChe"/>
          <w:b/>
          <w:snapToGrid w:val="0"/>
          <w:szCs w:val="24"/>
          <w:lang w:val="en-US"/>
        </w:rPr>
        <w:lastRenderedPageBreak/>
        <w:t>229 (Rev.WRC-12)</w:t>
      </w:r>
      <w:proofErr w:type="gramStart"/>
      <w:r w:rsidRPr="000D557E">
        <w:rPr>
          <w:lang w:val="en-AU"/>
        </w:rPr>
        <w:t>;</w:t>
      </w:r>
      <w:proofErr w:type="gramEnd"/>
      <w:r w:rsidRPr="000D557E">
        <w:rPr>
          <w:lang w:val="en-AU"/>
        </w:rPr>
        <w:t xml:space="preserve"> 17 dB from being outdoors and -2 dB from the maximum </w:t>
      </w:r>
      <w:proofErr w:type="spellStart"/>
      <w:r w:rsidRPr="000D557E">
        <w:rPr>
          <w:lang w:val="en-AU"/>
        </w:rPr>
        <w:t>e.i.r.p</w:t>
      </w:r>
      <w:proofErr w:type="spellEnd"/>
      <w:r w:rsidRPr="000D557E">
        <w:rPr>
          <w:lang w:val="en-AU"/>
        </w:rPr>
        <w:t xml:space="preserve">. decrease to 21 </w:t>
      </w:r>
      <w:proofErr w:type="spellStart"/>
      <w:r>
        <w:rPr>
          <w:lang w:val="en-AU"/>
        </w:rPr>
        <w:t>dBm</w:t>
      </w:r>
      <w:proofErr w:type="spellEnd"/>
      <w:r>
        <w:rPr>
          <w:lang w:val="en-AU"/>
        </w:rPr>
        <w:t>.</w:t>
      </w:r>
    </w:p>
    <w:p w:rsidR="00BB37AB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  <w:t xml:space="preserve">Enable large numbers of outdoor RLANs operating at significantly increased </w:t>
      </w:r>
      <w:proofErr w:type="spellStart"/>
      <w:r>
        <w:rPr>
          <w:lang w:val="en-AU"/>
        </w:rPr>
        <w:t>e.i.r.p.s</w:t>
      </w:r>
      <w:proofErr w:type="spellEnd"/>
      <w:r>
        <w:rPr>
          <w:lang w:val="en-AU"/>
        </w:rPr>
        <w:t>. with no proposal on how to limit these numbers; and</w:t>
      </w:r>
    </w:p>
    <w:p w:rsidR="00BB37AB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  <w:t>Enable</w:t>
      </w:r>
      <w:r w:rsidRPr="005840DF">
        <w:rPr>
          <w:lang w:val="en-AU"/>
        </w:rPr>
        <w:t xml:space="preserve"> </w:t>
      </w:r>
      <w:r>
        <w:rPr>
          <w:lang w:val="en-AU"/>
        </w:rPr>
        <w:t>large</w:t>
      </w:r>
      <w:r w:rsidRPr="005840DF">
        <w:rPr>
          <w:lang w:val="en-AU"/>
        </w:rPr>
        <w:t xml:space="preserve"> numbers of outdoor RLANs operating at significantly increased </w:t>
      </w:r>
      <w:proofErr w:type="spellStart"/>
      <w:r w:rsidRPr="005840DF">
        <w:rPr>
          <w:lang w:val="en-AU"/>
        </w:rPr>
        <w:t>e.i.r.p.s</w:t>
      </w:r>
      <w:proofErr w:type="spellEnd"/>
      <w:r w:rsidRPr="005840DF">
        <w:rPr>
          <w:lang w:val="en-AU"/>
        </w:rPr>
        <w:t>. in multiple adjacent countries with no proposal on how to limit the resultant aggregate noise interference received by the affected satellites or on how to identify the source of the interference.</w:t>
      </w:r>
    </w:p>
    <w:p w:rsidR="00BB37AB" w:rsidRPr="003F295D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–</w:t>
      </w:r>
      <w:r>
        <w:rPr>
          <w:lang w:val="en-AU"/>
        </w:rPr>
        <w:tab/>
      </w:r>
      <w:r w:rsidRPr="00BB37AB">
        <w:rPr>
          <w:b/>
          <w:bCs/>
          <w:lang w:val="en-AU"/>
        </w:rPr>
        <w:t>Method A3</w:t>
      </w:r>
    </w:p>
    <w:p w:rsidR="00BB37AB" w:rsidRDefault="00BB37AB" w:rsidP="00BB37AB">
      <w:pPr>
        <w:rPr>
          <w:lang w:val="en-AU"/>
        </w:rPr>
      </w:pPr>
      <w:r>
        <w:rPr>
          <w:lang w:val="en-AU"/>
        </w:rPr>
        <w:t xml:space="preserve">This Method would allow a large number of high powered </w:t>
      </w:r>
      <w:r w:rsidRPr="00200C16">
        <w:rPr>
          <w:lang w:val="en-AU"/>
        </w:rPr>
        <w:t>RLANs to</w:t>
      </w:r>
      <w:r>
        <w:rPr>
          <w:lang w:val="en-AU"/>
        </w:rPr>
        <w:t xml:space="preserve"> operate outdoors potentially resulting in interference to non-GSO MSS feeder uplinks in the 5 150-5 250 MHz band.  To mitigate against such interference it is proposed to adopt an </w:t>
      </w:r>
      <w:proofErr w:type="spellStart"/>
      <w:r w:rsidRPr="00C07DE0">
        <w:rPr>
          <w:lang w:val="en-AU"/>
        </w:rPr>
        <w:t>e.i.r.p</w:t>
      </w:r>
      <w:proofErr w:type="spellEnd"/>
      <w:r w:rsidRPr="00C07DE0">
        <w:rPr>
          <w:lang w:val="en-AU"/>
        </w:rPr>
        <w:t>. elevation mask</w:t>
      </w:r>
      <w:r>
        <w:rPr>
          <w:lang w:val="en-AU"/>
        </w:rPr>
        <w:t xml:space="preserve"> from the adjacent 5 250-5 350 MHz band.</w:t>
      </w:r>
    </w:p>
    <w:p w:rsidR="00BB37AB" w:rsidRDefault="00BB37AB" w:rsidP="00BB37AB">
      <w:r>
        <w:t xml:space="preserve">Table 3 provides a comparison of the proposed Method A3 rules and the existing Resolution </w:t>
      </w:r>
      <w:r>
        <w:rPr>
          <w:b/>
        </w:rPr>
        <w:t>229 (Rev.WRC-12)</w:t>
      </w:r>
      <w:r>
        <w:t xml:space="preserve"> rules.</w:t>
      </w:r>
    </w:p>
    <w:p w:rsidR="00BB37AB" w:rsidRDefault="00BB37AB" w:rsidP="00BB37AB">
      <w:pPr>
        <w:pStyle w:val="TableNo"/>
        <w:spacing w:before="360"/>
      </w:pPr>
      <w:r>
        <w:t xml:space="preserve">TABLE 3 </w:t>
      </w:r>
    </w:p>
    <w:tbl>
      <w:tblPr>
        <w:tblStyle w:val="TableGrid"/>
        <w:tblW w:w="9198" w:type="dxa"/>
        <w:tblInd w:w="0" w:type="dxa"/>
        <w:tblLook w:val="04A0" w:firstRow="1" w:lastRow="0" w:firstColumn="1" w:lastColumn="0" w:noHBand="0" w:noVBand="1"/>
      </w:tblPr>
      <w:tblGrid>
        <w:gridCol w:w="2144"/>
        <w:gridCol w:w="2651"/>
        <w:gridCol w:w="2381"/>
        <w:gridCol w:w="2022"/>
      </w:tblGrid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Parameter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Existing Resolution 229 (Rev.WRC-12) rules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>Proposed Method A3 rules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AE11DD">
            <w:pPr>
              <w:pStyle w:val="Tablehead"/>
            </w:pPr>
            <w:r>
              <w:t xml:space="preserve">Difference </w:t>
            </w:r>
          </w:p>
        </w:tc>
      </w:tr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Maximum 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200 </w:t>
            </w:r>
            <w:proofErr w:type="spellStart"/>
            <w:r>
              <w:t>mW</w:t>
            </w:r>
            <w:proofErr w:type="spellEnd"/>
            <w:r>
              <w:t xml:space="preserve"> (23 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1 W (30 </w:t>
            </w:r>
            <w:proofErr w:type="spellStart"/>
            <w:r>
              <w:t>dBm</w:t>
            </w:r>
            <w:proofErr w:type="spellEnd"/>
            <w:r>
              <w:t xml:space="preserve">)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7 dB</w:t>
            </w:r>
          </w:p>
        </w:tc>
      </w:tr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Location constraint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Yes, indoor only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No, outdoor permitted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B" w:rsidRDefault="00BB37AB" w:rsidP="00366F68">
            <w:pPr>
              <w:pStyle w:val="Tabletext"/>
            </w:pPr>
          </w:p>
        </w:tc>
      </w:tr>
      <w:tr w:rsidR="00BB37AB" w:rsidTr="00366F68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Resultant max. outdoor </w:t>
            </w:r>
            <w:proofErr w:type="spellStart"/>
            <w:r>
              <w:t>e.i.r.p</w:t>
            </w:r>
            <w:proofErr w:type="spellEnd"/>
            <w: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6 </w:t>
            </w:r>
            <w:proofErr w:type="spellStart"/>
            <w:r>
              <w:t>dBm</w:t>
            </w:r>
            <w:proofErr w:type="spellEnd"/>
            <w:r>
              <w:t>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 xml:space="preserve">30 </w:t>
            </w:r>
            <w:proofErr w:type="spellStart"/>
            <w:r>
              <w:t>dBm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7AB" w:rsidRDefault="00BB37AB" w:rsidP="00366F68">
            <w:pPr>
              <w:pStyle w:val="Tabletext"/>
            </w:pPr>
            <w:r>
              <w:t>24 dB*</w:t>
            </w:r>
          </w:p>
        </w:tc>
      </w:tr>
    </w:tbl>
    <w:p w:rsidR="00BB37AB" w:rsidRDefault="00BB37AB" w:rsidP="00BB37AB">
      <w:pPr>
        <w:rPr>
          <w:sz w:val="20"/>
        </w:rPr>
      </w:pPr>
      <w:r>
        <w:rPr>
          <w:sz w:val="20"/>
        </w:rPr>
        <w:t>* Assumes building loss of 17 dB</w:t>
      </w:r>
    </w:p>
    <w:p w:rsidR="00BB37AB" w:rsidRDefault="00BB37AB" w:rsidP="00BB37AB">
      <w:pPr>
        <w:rPr>
          <w:sz w:val="20"/>
        </w:rPr>
      </w:pPr>
    </w:p>
    <w:p w:rsidR="00BB37AB" w:rsidRDefault="00BB37AB" w:rsidP="00BB37AB">
      <w:pPr>
        <w:rPr>
          <w:lang w:val="en-AU"/>
        </w:rPr>
      </w:pPr>
      <w:r>
        <w:rPr>
          <w:lang w:val="en-AU"/>
        </w:rPr>
        <w:t>In summary, Method A3 would:</w:t>
      </w:r>
    </w:p>
    <w:p w:rsidR="00BB37AB" w:rsidRPr="00545586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</w:r>
      <w:r w:rsidRPr="00545586">
        <w:rPr>
          <w:lang w:val="en-AU"/>
        </w:rPr>
        <w:t xml:space="preserve">Allow outdoor RLANs to operate with an effective </w:t>
      </w:r>
      <w:proofErr w:type="spellStart"/>
      <w:r w:rsidRPr="00545586">
        <w:rPr>
          <w:lang w:val="en-AU"/>
        </w:rPr>
        <w:t>e.i.r.p</w:t>
      </w:r>
      <w:proofErr w:type="spellEnd"/>
      <w:r w:rsidRPr="00545586">
        <w:rPr>
          <w:lang w:val="en-AU"/>
        </w:rPr>
        <w:t xml:space="preserve">. increase of 24 dB </w:t>
      </w:r>
      <w:r>
        <w:rPr>
          <w:lang w:val="en-AU"/>
        </w:rPr>
        <w:t>above</w:t>
      </w:r>
      <w:r w:rsidRPr="00545586">
        <w:rPr>
          <w:lang w:val="en-AU"/>
        </w:rPr>
        <w:t xml:space="preserve"> the existing 23 </w:t>
      </w:r>
      <w:proofErr w:type="spellStart"/>
      <w:r w:rsidRPr="00545586">
        <w:rPr>
          <w:lang w:val="en-AU"/>
        </w:rPr>
        <w:t>dBm</w:t>
      </w:r>
      <w:proofErr w:type="spellEnd"/>
      <w:r w:rsidRPr="00545586">
        <w:rPr>
          <w:lang w:val="en-AU"/>
        </w:rPr>
        <w:t xml:space="preserve"> permitted by </w:t>
      </w:r>
      <w:r w:rsidRPr="00545586">
        <w:rPr>
          <w:rFonts w:eastAsia="BatangChe"/>
          <w:snapToGrid w:val="0"/>
          <w:szCs w:val="24"/>
          <w:lang w:val="en-US"/>
        </w:rPr>
        <w:t xml:space="preserve">Resolution </w:t>
      </w:r>
      <w:r w:rsidRPr="00545586">
        <w:rPr>
          <w:rFonts w:eastAsia="BatangChe"/>
          <w:b/>
          <w:snapToGrid w:val="0"/>
          <w:szCs w:val="24"/>
          <w:lang w:val="en-US"/>
        </w:rPr>
        <w:t>229 (Rev.WRC-12)</w:t>
      </w:r>
      <w:proofErr w:type="gramStart"/>
      <w:r w:rsidRPr="00545586">
        <w:rPr>
          <w:lang w:val="en-AU"/>
        </w:rPr>
        <w:t>;</w:t>
      </w:r>
      <w:proofErr w:type="gramEnd"/>
      <w:r w:rsidRPr="00545586">
        <w:rPr>
          <w:lang w:val="en-AU"/>
        </w:rPr>
        <w:t xml:space="preserve"> 17 dB from being outdoors and 7 dB from the maximum </w:t>
      </w:r>
      <w:proofErr w:type="spellStart"/>
      <w:r>
        <w:rPr>
          <w:lang w:val="en-AU"/>
        </w:rPr>
        <w:t>e.i.r.p</w:t>
      </w:r>
      <w:proofErr w:type="spellEnd"/>
      <w:r>
        <w:rPr>
          <w:lang w:val="en-AU"/>
        </w:rPr>
        <w:t xml:space="preserve">. increase to 30 </w:t>
      </w:r>
      <w:proofErr w:type="spellStart"/>
      <w:r>
        <w:rPr>
          <w:lang w:val="en-AU"/>
        </w:rPr>
        <w:t>dBm</w:t>
      </w:r>
      <w:proofErr w:type="spellEnd"/>
      <w:r>
        <w:rPr>
          <w:lang w:val="en-AU"/>
        </w:rPr>
        <w:t>.</w:t>
      </w:r>
    </w:p>
    <w:p w:rsidR="00BB37AB" w:rsidRPr="00545586" w:rsidRDefault="00BB37AB" w:rsidP="0098260E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</w:r>
      <w:r w:rsidR="002D1A81" w:rsidRPr="00545586">
        <w:rPr>
          <w:lang w:val="en-AU"/>
        </w:rPr>
        <w:t xml:space="preserve">Require outdoor RLANs to use an </w:t>
      </w:r>
      <w:proofErr w:type="spellStart"/>
      <w:r w:rsidR="002D1A81" w:rsidRPr="00545586">
        <w:rPr>
          <w:lang w:val="en-AU"/>
        </w:rPr>
        <w:t>e.i.r.p</w:t>
      </w:r>
      <w:proofErr w:type="spellEnd"/>
      <w:r w:rsidR="002D1A81" w:rsidRPr="00545586">
        <w:rPr>
          <w:lang w:val="en-AU"/>
        </w:rPr>
        <w:t>. elevation mask copied from the adjacent 5</w:t>
      </w:r>
      <w:r w:rsidR="0098260E">
        <w:rPr>
          <w:lang w:val="en-AU"/>
        </w:rPr>
        <w:t> </w:t>
      </w:r>
      <w:r w:rsidR="002D1A81" w:rsidRPr="00545586">
        <w:rPr>
          <w:lang w:val="en-AU"/>
        </w:rPr>
        <w:t>250-5 350 MHz band where it was originally developed to protect EESS, Space Research and Meteorological radars</w:t>
      </w:r>
      <w:r w:rsidR="002D1A81">
        <w:rPr>
          <w:lang w:val="en-AU"/>
        </w:rPr>
        <w:t>. This mask</w:t>
      </w:r>
      <w:r w:rsidR="002D1A81" w:rsidRPr="00545586">
        <w:rPr>
          <w:lang w:val="en-AU"/>
        </w:rPr>
        <w:t xml:space="preserve"> has not been studied to determine </w:t>
      </w:r>
      <w:r w:rsidR="002D1A81">
        <w:rPr>
          <w:lang w:val="en-AU"/>
        </w:rPr>
        <w:t xml:space="preserve">its suitability to </w:t>
      </w:r>
      <w:r w:rsidR="002D1A81" w:rsidRPr="00545586">
        <w:rPr>
          <w:lang w:val="en-AU"/>
        </w:rPr>
        <w:t xml:space="preserve">protect non-GSO MSS feeder links operating in the 5 150-5 250 MHz band.  Importantly, </w:t>
      </w:r>
      <w:r w:rsidR="002D1A81">
        <w:rPr>
          <w:lang w:val="en-AU"/>
        </w:rPr>
        <w:t xml:space="preserve">existing and planned </w:t>
      </w:r>
      <w:r w:rsidR="002D1A81" w:rsidRPr="00545586">
        <w:rPr>
          <w:lang w:val="en-AU"/>
        </w:rPr>
        <w:t xml:space="preserve">feeder links operate from as low as </w:t>
      </w:r>
      <w:r w:rsidR="002D1A81">
        <w:t>5</w:t>
      </w:r>
      <w:r w:rsidR="002D1A81" w:rsidRPr="00545586">
        <w:rPr>
          <w:vertAlign w:val="superscript"/>
        </w:rPr>
        <w:t xml:space="preserve">0 </w:t>
      </w:r>
      <w:r w:rsidR="002D1A81" w:rsidRPr="00545586">
        <w:rPr>
          <w:lang w:val="en-AU"/>
        </w:rPr>
        <w:t>above each horizon where the proposed Method A3 mask appears to have its max</w:t>
      </w:r>
      <w:r w:rsidR="002D1A81">
        <w:rPr>
          <w:lang w:val="en-AU"/>
        </w:rPr>
        <w:t>imum</w:t>
      </w:r>
      <w:r w:rsidR="002D1A81" w:rsidRPr="00545586">
        <w:rPr>
          <w:lang w:val="en-AU"/>
        </w:rPr>
        <w:t xml:space="preserve"> </w:t>
      </w:r>
      <w:proofErr w:type="spellStart"/>
      <w:r w:rsidR="002D1A81" w:rsidRPr="00545586">
        <w:rPr>
          <w:lang w:val="en-AU"/>
        </w:rPr>
        <w:t>e.i.r.p</w:t>
      </w:r>
      <w:proofErr w:type="spellEnd"/>
      <w:r w:rsidR="002D1A81" w:rsidRPr="00545586">
        <w:rPr>
          <w:lang w:val="en-AU"/>
        </w:rPr>
        <w:t>.</w:t>
      </w:r>
    </w:p>
    <w:p w:rsidR="00BB37AB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  <w:t xml:space="preserve">Enable large numbers of outdoor RLANs operating at increased </w:t>
      </w:r>
      <w:proofErr w:type="spellStart"/>
      <w:r>
        <w:rPr>
          <w:lang w:val="en-AU"/>
        </w:rPr>
        <w:t>e.i.r.p.s</w:t>
      </w:r>
      <w:proofErr w:type="spellEnd"/>
      <w:r>
        <w:rPr>
          <w:lang w:val="en-AU"/>
        </w:rPr>
        <w:t>. with no proposal to limit the number, for example, through  individual registration of each outdoor RLAN by national spectrum regulators; and</w:t>
      </w:r>
    </w:p>
    <w:p w:rsidR="00BB37AB" w:rsidRDefault="00BB37AB" w:rsidP="00BB37AB">
      <w:pPr>
        <w:pStyle w:val="enumlev1"/>
        <w:rPr>
          <w:lang w:val="en-AU"/>
        </w:rPr>
      </w:pPr>
      <w:r w:rsidRPr="00BB37AB">
        <w:rPr>
          <w:lang w:val="en-AU"/>
        </w:rPr>
        <w:t>•</w:t>
      </w:r>
      <w:r>
        <w:rPr>
          <w:lang w:val="en-AU"/>
        </w:rPr>
        <w:tab/>
        <w:t xml:space="preserve">Enable large number of outdoor RLANs operating </w:t>
      </w:r>
      <w:proofErr w:type="gramStart"/>
      <w:r>
        <w:rPr>
          <w:lang w:val="en-AU"/>
        </w:rPr>
        <w:t xml:space="preserve">at increased </w:t>
      </w:r>
      <w:proofErr w:type="spellStart"/>
      <w:r>
        <w:rPr>
          <w:lang w:val="en-AU"/>
        </w:rPr>
        <w:t>e.i.r.p.s</w:t>
      </w:r>
      <w:proofErr w:type="spellEnd"/>
      <w:r>
        <w:rPr>
          <w:lang w:val="en-AU"/>
        </w:rPr>
        <w:t xml:space="preserve"> in adjacent countries without limits on aggregate noise interference received by affected satellites or methods</w:t>
      </w:r>
      <w:proofErr w:type="gramEnd"/>
      <w:r>
        <w:rPr>
          <w:lang w:val="en-AU"/>
        </w:rPr>
        <w:t xml:space="preserve"> to identify the source of the interference.</w:t>
      </w:r>
    </w:p>
    <w:p w:rsidR="00BB37AB" w:rsidRPr="00BE149B" w:rsidRDefault="00BB37AB" w:rsidP="00BB37AB">
      <w:pPr>
        <w:pStyle w:val="Headingb"/>
        <w:rPr>
          <w:rFonts w:eastAsia="BatangChe"/>
          <w:lang w:val="en-GB" w:eastAsia="ko-KR"/>
        </w:rPr>
      </w:pPr>
      <w:r w:rsidRPr="00BE149B">
        <w:rPr>
          <w:rFonts w:eastAsia="BatangChe"/>
          <w:lang w:val="en-GB" w:eastAsia="ko-KR"/>
        </w:rPr>
        <w:t>Background on the 5 725-5 850 MHz band</w:t>
      </w:r>
    </w:p>
    <w:p w:rsidR="00BB37AB" w:rsidRPr="00853CC1" w:rsidRDefault="00BB37AB" w:rsidP="00BB37AB">
      <w:r>
        <w:rPr>
          <w:lang w:val="en-AU"/>
        </w:rPr>
        <w:t>C</w:t>
      </w:r>
      <w:r w:rsidRPr="00853CC1">
        <w:rPr>
          <w:lang w:val="en-AU"/>
        </w:rPr>
        <w:t xml:space="preserve">ompatibility studies performed </w:t>
      </w:r>
      <w:r>
        <w:rPr>
          <w:lang w:val="en-AU"/>
        </w:rPr>
        <w:t xml:space="preserve">in preparation for WRC-15 </w:t>
      </w:r>
      <w:r w:rsidRPr="00853CC1">
        <w:rPr>
          <w:lang w:val="en-AU"/>
        </w:rPr>
        <w:t>indicate</w:t>
      </w:r>
      <w:r>
        <w:rPr>
          <w:lang w:val="en-AU"/>
        </w:rPr>
        <w:t>d</w:t>
      </w:r>
      <w:r w:rsidRPr="00853CC1">
        <w:rPr>
          <w:lang w:val="en-AU"/>
        </w:rPr>
        <w:t xml:space="preserve"> that the</w:t>
      </w:r>
      <w:r>
        <w:rPr>
          <w:lang w:val="en-AU"/>
        </w:rPr>
        <w:t xml:space="preserve"> proposed</w:t>
      </w:r>
      <w:r>
        <w:t xml:space="preserve"> </w:t>
      </w:r>
      <w:r w:rsidRPr="000F7014">
        <w:t xml:space="preserve">WAS/RLAN mitigation measures </w:t>
      </w:r>
      <w:r>
        <w:t>were</w:t>
      </w:r>
      <w:r w:rsidRPr="000F7014">
        <w:t xml:space="preserve"> insufficient to ensure protection of certain radar types</w:t>
      </w:r>
      <w:r>
        <w:t xml:space="preserve">. </w:t>
      </w:r>
      <w:r>
        <w:lastRenderedPageBreak/>
        <w:t xml:space="preserve">Recognising that sharing between the mobile service and the radiolocation service may only be feasible if additional WAS/RLAN mitigation measures were implemented, Resolution </w:t>
      </w:r>
      <w:r w:rsidRPr="004730E3">
        <w:rPr>
          <w:b/>
        </w:rPr>
        <w:t>239 (WRC-15)</w:t>
      </w:r>
      <w:r>
        <w:t xml:space="preserve"> explicitly invited ITU-R to investigate mitigation techniques i.e. “to c</w:t>
      </w:r>
      <w:r w:rsidRPr="00446CB6">
        <w:t>onduct detailed sharing and compatibility studies, including mitigation techniques, between WAS/RLAN and incumbent</w:t>
      </w:r>
      <w:r>
        <w:t xml:space="preserve"> </w:t>
      </w:r>
      <w:r w:rsidRPr="00853CC1">
        <w:t>services”.</w:t>
      </w:r>
    </w:p>
    <w:p w:rsidR="00BB37AB" w:rsidRPr="00853CC1" w:rsidRDefault="00BB37AB" w:rsidP="00BB37AB">
      <w:r>
        <w:t xml:space="preserve">As noted in the CPM Report the current mitigation techniques are not sufficient to protect some radars operating in the 5 725-5 850 MHz frequency band. No new elements </w:t>
      </w:r>
      <w:proofErr w:type="gramStart"/>
      <w:r>
        <w:t>have been presented</w:t>
      </w:r>
      <w:proofErr w:type="gramEnd"/>
      <w:r>
        <w:t xml:space="preserve"> on any additional mitigation techniques to provide protection to these systems.</w:t>
      </w:r>
      <w:r w:rsidRPr="00853CC1">
        <w:t xml:space="preserve"> </w:t>
      </w:r>
    </w:p>
    <w:p w:rsidR="00BB37AB" w:rsidRDefault="00BB37AB" w:rsidP="00BB37AB">
      <w:r>
        <w:t>S</w:t>
      </w:r>
      <w:r w:rsidRPr="00853CC1">
        <w:t>ome analyses have confirmed that considerable protection di</w:t>
      </w:r>
      <w:r>
        <w:t>stances are required to ensure</w:t>
      </w:r>
      <w:r w:rsidRPr="00853CC1">
        <w:t xml:space="preserve"> </w:t>
      </w:r>
      <w:r>
        <w:t>unhindered</w:t>
      </w:r>
      <w:r w:rsidRPr="00853CC1">
        <w:t xml:space="preserve"> operation of the radiolocation service.  A statistical analysis conducted </w:t>
      </w:r>
      <w:r>
        <w:t xml:space="preserve">in relation to radars 22 and 23 of </w:t>
      </w:r>
      <w:r w:rsidRPr="00853CC1">
        <w:t>Rec</w:t>
      </w:r>
      <w:r>
        <w:t>ommendation ITU-R M.1638-1</w:t>
      </w:r>
      <w:r w:rsidRPr="00853CC1">
        <w:t xml:space="preserve"> has shown that the current </w:t>
      </w:r>
      <w:r>
        <w:t xml:space="preserve">WAS/RLAN </w:t>
      </w:r>
      <w:r w:rsidRPr="00853CC1">
        <w:t xml:space="preserve">dynamic frequency selection (DFS) </w:t>
      </w:r>
      <w:r>
        <w:t>system</w:t>
      </w:r>
      <w:r w:rsidRPr="00853CC1">
        <w:t xml:space="preserve"> is unable to detect those radars. Further, no new proposals have been presented on any additional mitigation techniques </w:t>
      </w:r>
      <w:r>
        <w:t xml:space="preserve">to provide protection to fast frequency hopping </w:t>
      </w:r>
      <w:proofErr w:type="gramStart"/>
      <w:r>
        <w:t>radar</w:t>
      </w:r>
      <w:r w:rsidRPr="00853CC1">
        <w:t xml:space="preserve"> operating</w:t>
      </w:r>
      <w:proofErr w:type="gramEnd"/>
      <w:r w:rsidRPr="00853CC1">
        <w:t xml:space="preserve"> modes.</w:t>
      </w:r>
    </w:p>
    <w:p w:rsidR="00187BD9" w:rsidRPr="00BB37AB" w:rsidRDefault="00BB37AB" w:rsidP="00BB37AB">
      <w:pPr>
        <w:pStyle w:val="Heading1"/>
      </w:pPr>
      <w:r>
        <w:rPr>
          <w:rFonts w:eastAsia="BatangChe"/>
          <w:lang w:val="en-US" w:eastAsia="ko-KR"/>
        </w:rPr>
        <w:t>2</w:t>
      </w:r>
      <w:r>
        <w:rPr>
          <w:rFonts w:eastAsia="BatangChe"/>
          <w:lang w:val="en-US" w:eastAsia="ko-KR"/>
        </w:rPr>
        <w:tab/>
      </w:r>
      <w:r w:rsidRPr="005840DF">
        <w:rPr>
          <w:rFonts w:eastAsia="BatangChe"/>
          <w:lang w:val="en-US" w:eastAsia="ko-KR"/>
        </w:rPr>
        <w:t>Proposals</w:t>
      </w:r>
    </w:p>
    <w:p w:rsidR="008B2E84" w:rsidRDefault="00AC6A45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:rsidR="008B2E84" w:rsidRDefault="00AC6A45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:rsidR="008B2E84" w:rsidRPr="00B25B23" w:rsidRDefault="00AC6A45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B5FBF" w:rsidRDefault="00AC6A45">
      <w:pPr>
        <w:pStyle w:val="Proposal"/>
      </w:pPr>
      <w:r>
        <w:rPr>
          <w:u w:val="single"/>
        </w:rPr>
        <w:t>NOC</w:t>
      </w:r>
      <w:r>
        <w:tab/>
        <w:t>AUS/47A16/1</w:t>
      </w:r>
      <w:r>
        <w:rPr>
          <w:vanish/>
          <w:color w:val="7F7F7F" w:themeColor="text1" w:themeTint="80"/>
          <w:vertAlign w:val="superscript"/>
        </w:rPr>
        <w:t>#49950</w:t>
      </w:r>
    </w:p>
    <w:p w:rsidR="001962A2" w:rsidRPr="0042498F" w:rsidRDefault="00AC6A45" w:rsidP="00130FDA">
      <w:pPr>
        <w:pStyle w:val="Tabletitle"/>
        <w:rPr>
          <w:lang w:val="en-US"/>
        </w:rPr>
      </w:pPr>
      <w:r w:rsidRPr="0042498F">
        <w:rPr>
          <w:lang w:val="en-US"/>
        </w:rPr>
        <w:t>4 800-5 250 MHz</w:t>
      </w:r>
    </w:p>
    <w:tbl>
      <w:tblPr>
        <w:tblW w:w="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rPr>
                <w:lang w:val="en-US"/>
              </w:rPr>
            </w:pPr>
            <w:r w:rsidRPr="0042498F">
              <w:rPr>
                <w:rStyle w:val="Tablefreq"/>
                <w:lang w:val="en-US"/>
              </w:rPr>
              <w:t>5 150-5 250</w:t>
            </w:r>
            <w:r w:rsidRPr="0042498F">
              <w:rPr>
                <w:lang w:val="en-US"/>
              </w:rPr>
              <w:tab/>
              <w:t xml:space="preserve">FIXED-SATELLITE (Earth-to-space)  </w:t>
            </w:r>
            <w:r w:rsidRPr="0042498F">
              <w:rPr>
                <w:rStyle w:val="Artref"/>
                <w:lang w:val="en-US"/>
              </w:rPr>
              <w:t>5.447A</w:t>
            </w:r>
          </w:p>
          <w:p w:rsidR="001962A2" w:rsidRPr="0042498F" w:rsidRDefault="00AC6A45" w:rsidP="00130FDA">
            <w:pPr>
              <w:pStyle w:val="TableTextS5"/>
              <w:rPr>
                <w:lang w:val="fr-CH"/>
              </w:rPr>
            </w:pP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ab/>
            </w:r>
            <w:r w:rsidRPr="0042498F">
              <w:rPr>
                <w:lang w:val="fr-CH"/>
              </w:rPr>
              <w:t xml:space="preserve">MOBILE </w:t>
            </w:r>
            <w:proofErr w:type="spellStart"/>
            <w:r w:rsidRPr="0042498F">
              <w:rPr>
                <w:lang w:val="fr-CH"/>
              </w:rPr>
              <w:t>except</w:t>
            </w:r>
            <w:proofErr w:type="spellEnd"/>
            <w:r w:rsidRPr="0042498F">
              <w:rPr>
                <w:lang w:val="fr-CH"/>
              </w:rPr>
              <w:t xml:space="preserve"> </w:t>
            </w:r>
            <w:proofErr w:type="spellStart"/>
            <w:r w:rsidRPr="0042498F">
              <w:rPr>
                <w:lang w:val="fr-CH"/>
              </w:rPr>
              <w:t>aeronautical</w:t>
            </w:r>
            <w:proofErr w:type="spellEnd"/>
            <w:r w:rsidRPr="0042498F">
              <w:rPr>
                <w:lang w:val="fr-CH"/>
              </w:rPr>
              <w:t xml:space="preserve"> </w:t>
            </w:r>
            <w:proofErr w:type="gramStart"/>
            <w:r w:rsidRPr="0042498F">
              <w:rPr>
                <w:lang w:val="fr-CH"/>
              </w:rPr>
              <w:t xml:space="preserve">mobile  </w:t>
            </w:r>
            <w:r w:rsidRPr="0042498F">
              <w:rPr>
                <w:rStyle w:val="Artref"/>
                <w:lang w:val="fr-CH"/>
              </w:rPr>
              <w:t>5</w:t>
            </w:r>
            <w:proofErr w:type="gramEnd"/>
            <w:r w:rsidRPr="0042498F">
              <w:rPr>
                <w:rStyle w:val="Artref"/>
                <w:lang w:val="fr-CH"/>
              </w:rPr>
              <w:t>.446A</w:t>
            </w:r>
            <w:r w:rsidRPr="0042498F">
              <w:rPr>
                <w:lang w:val="fr-CH"/>
              </w:rPr>
              <w:t xml:space="preserve">  </w:t>
            </w:r>
            <w:r w:rsidRPr="0042498F">
              <w:rPr>
                <w:rStyle w:val="Artref"/>
                <w:lang w:val="fr-CH"/>
              </w:rPr>
              <w:t>5.446B</w:t>
            </w:r>
          </w:p>
          <w:p w:rsidR="001962A2" w:rsidRPr="0042498F" w:rsidRDefault="00AC6A45" w:rsidP="00130FDA">
            <w:pPr>
              <w:pStyle w:val="TableTextS5"/>
              <w:rPr>
                <w:lang w:val="en-US"/>
              </w:rPr>
            </w:pP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fr-CH"/>
              </w:rPr>
              <w:tab/>
            </w:r>
            <w:r w:rsidRPr="0042498F">
              <w:rPr>
                <w:lang w:val="en-US"/>
              </w:rPr>
              <w:t>AERONAUTICAL RADIONAVIGATION</w:t>
            </w:r>
          </w:p>
          <w:p w:rsidR="001962A2" w:rsidRPr="0042498F" w:rsidRDefault="00AC6A45" w:rsidP="00130FDA">
            <w:pPr>
              <w:pStyle w:val="TableTextS5"/>
              <w:rPr>
                <w:rStyle w:val="Tablefreq"/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rStyle w:val="Artref"/>
                <w:lang w:val="en-US"/>
              </w:rPr>
              <w:t>5.446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5.446C  5.447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5.447B</w:t>
            </w:r>
            <w:r w:rsidRPr="0042498F">
              <w:rPr>
                <w:lang w:val="en-US"/>
              </w:rPr>
              <w:t xml:space="preserve">  </w:t>
            </w:r>
            <w:r w:rsidRPr="0042498F">
              <w:rPr>
                <w:rStyle w:val="Artref"/>
                <w:lang w:val="en-US"/>
              </w:rPr>
              <w:t>5.447C</w:t>
            </w:r>
          </w:p>
        </w:tc>
      </w:tr>
    </w:tbl>
    <w:p w:rsidR="00FB5FBF" w:rsidRDefault="00FB5FBF"/>
    <w:p w:rsidR="00FB5FBF" w:rsidRDefault="00AC6A45">
      <w:pPr>
        <w:pStyle w:val="Reasons"/>
      </w:pPr>
      <w:r>
        <w:rPr>
          <w:b/>
        </w:rPr>
        <w:t>Reasons:</w:t>
      </w:r>
      <w:r>
        <w:tab/>
      </w:r>
      <w:r w:rsidR="00BB37AB">
        <w:rPr>
          <w:lang w:val="en-AU"/>
        </w:rPr>
        <w:t xml:space="preserve">Due to concerns </w:t>
      </w:r>
      <w:r w:rsidR="00BB37AB">
        <w:rPr>
          <w:rFonts w:eastAsia="BatangChe"/>
          <w:snapToGrid w:val="0"/>
          <w:szCs w:val="24"/>
          <w:lang w:val="en-US"/>
        </w:rPr>
        <w:t xml:space="preserve">on how incumbent services such as non-GSO MSS feeder uplinks would be protected </w:t>
      </w:r>
      <w:r w:rsidR="00BB37AB" w:rsidRPr="009C0B4E">
        <w:rPr>
          <w:rFonts w:eastAsia="BatangChe"/>
          <w:snapToGrid w:val="0"/>
          <w:szCs w:val="24"/>
          <w:lang w:val="en-US"/>
        </w:rPr>
        <w:t xml:space="preserve">if the regulatory conditions of Resolution </w:t>
      </w:r>
      <w:r w:rsidR="00BB37AB" w:rsidRPr="009C0B4E">
        <w:rPr>
          <w:rFonts w:eastAsia="BatangChe"/>
          <w:b/>
          <w:snapToGrid w:val="0"/>
          <w:szCs w:val="24"/>
          <w:lang w:val="en-US"/>
        </w:rPr>
        <w:t>229 (Rev.WRC-12)</w:t>
      </w:r>
      <w:r w:rsidR="00BB37AB" w:rsidRPr="009C0B4E">
        <w:rPr>
          <w:rFonts w:eastAsia="BatangChe"/>
          <w:snapToGrid w:val="0"/>
          <w:szCs w:val="24"/>
          <w:lang w:val="en-US"/>
        </w:rPr>
        <w:t xml:space="preserve"> were relaxed</w:t>
      </w:r>
      <w:r w:rsidR="00BB37AB">
        <w:rPr>
          <w:rFonts w:eastAsia="BatangChe"/>
          <w:snapToGrid w:val="0"/>
          <w:szCs w:val="24"/>
          <w:lang w:val="en-US"/>
        </w:rPr>
        <w:t xml:space="preserve">, and the lack of any ITU-R Reports on WRC-19 agenda item 1.16 after four years of study by WP 5A, </w:t>
      </w:r>
      <w:r w:rsidR="00BB37AB">
        <w:rPr>
          <w:lang w:val="en-AU"/>
        </w:rPr>
        <w:t>Australia does not support Method A2 or Method A3</w:t>
      </w:r>
      <w:r w:rsidR="00717AEB">
        <w:rPr>
          <w:lang w:val="en-AU"/>
        </w:rPr>
        <w:t xml:space="preserve"> </w:t>
      </w:r>
      <w:r w:rsidR="00717AEB" w:rsidRPr="003E13F4">
        <w:rPr>
          <w:rFonts w:eastAsia="BatangChe"/>
          <w:szCs w:val="24"/>
          <w:lang w:val="en-US" w:eastAsia="ko-KR"/>
        </w:rPr>
        <w:t>of the CPM Report</w:t>
      </w:r>
      <w:r w:rsidR="00BB37AB" w:rsidRPr="003E13F4">
        <w:rPr>
          <w:lang w:val="en-AU"/>
        </w:rPr>
        <w:t>. Australia’s position is therefore to support Method A1</w:t>
      </w:r>
      <w:r w:rsidR="00717AEB" w:rsidRPr="003E13F4">
        <w:rPr>
          <w:lang w:val="en-AU"/>
        </w:rPr>
        <w:t xml:space="preserve"> </w:t>
      </w:r>
      <w:r w:rsidR="00717AEB" w:rsidRPr="003E13F4">
        <w:rPr>
          <w:rFonts w:eastAsia="BatangChe"/>
          <w:szCs w:val="24"/>
          <w:lang w:val="en-US" w:eastAsia="ko-KR"/>
        </w:rPr>
        <w:t>of the CPM Report</w:t>
      </w:r>
      <w:r w:rsidR="00BB37AB">
        <w:rPr>
          <w:lang w:val="en-AU"/>
        </w:rPr>
        <w:t xml:space="preserve"> (NOC) for the 5 150-5 250 MHz band.  </w:t>
      </w:r>
    </w:p>
    <w:p w:rsidR="00FB5FBF" w:rsidRDefault="00AC6A45">
      <w:pPr>
        <w:pStyle w:val="Proposal"/>
      </w:pPr>
      <w:r>
        <w:rPr>
          <w:u w:val="single"/>
        </w:rPr>
        <w:lastRenderedPageBreak/>
        <w:t>NOC</w:t>
      </w:r>
      <w:r>
        <w:tab/>
        <w:t>AUS/47A16/2</w:t>
      </w:r>
      <w:r>
        <w:rPr>
          <w:vanish/>
          <w:color w:val="7F7F7F" w:themeColor="text1" w:themeTint="80"/>
          <w:vertAlign w:val="superscript"/>
        </w:rPr>
        <w:t>#49956</w:t>
      </w:r>
    </w:p>
    <w:p w:rsidR="001962A2" w:rsidRPr="0042498F" w:rsidRDefault="00AC6A45" w:rsidP="00130FDA">
      <w:pPr>
        <w:pStyle w:val="Tabletitle"/>
        <w:rPr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5 250-5 255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MOBILE 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SPACE RESEARCH  </w:t>
            </w:r>
            <w:r w:rsidRPr="0042498F">
              <w:rPr>
                <w:rStyle w:val="Artref"/>
                <w:color w:val="000000"/>
                <w:lang w:val="en-US"/>
              </w:rPr>
              <w:t>5.447D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5 255-5 350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lang w:val="en-US"/>
              </w:rPr>
              <w:tab/>
            </w:r>
            <w:r w:rsidRPr="0042498F">
              <w:rPr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>MOBILE</w:t>
            </w:r>
            <w:r w:rsidRPr="0042498F">
              <w:rPr>
                <w:lang w:val="en-US"/>
              </w:rPr>
              <w:t xml:space="preserve"> </w:t>
            </w:r>
            <w:r w:rsidRPr="0042498F">
              <w:rPr>
                <w:color w:val="000000"/>
                <w:lang w:val="en-US"/>
              </w:rPr>
              <w:t xml:space="preserve">except aeronautical mobile  </w:t>
            </w:r>
            <w:r w:rsidRPr="0042498F">
              <w:rPr>
                <w:rStyle w:val="Artref"/>
                <w:color w:val="000000"/>
                <w:lang w:val="en-US"/>
              </w:rPr>
              <w:t>5.446A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5.447F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 RESEARCH (active)</w:t>
            </w:r>
          </w:p>
          <w:p w:rsidR="001962A2" w:rsidRPr="0042498F" w:rsidRDefault="00AC6A45" w:rsidP="00130FD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  <w:t>5.447E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5.448A</w:t>
            </w:r>
          </w:p>
        </w:tc>
      </w:tr>
    </w:tbl>
    <w:p w:rsidR="00FB5FBF" w:rsidRDefault="00FB5FBF"/>
    <w:p w:rsidR="00FB5FBF" w:rsidRDefault="00AC6A45">
      <w:pPr>
        <w:pStyle w:val="Reasons"/>
      </w:pPr>
      <w:r>
        <w:rPr>
          <w:b/>
        </w:rPr>
        <w:t>Reasons:</w:t>
      </w:r>
      <w:r>
        <w:tab/>
      </w:r>
      <w:r w:rsidR="00BB37AB">
        <w:t>Australia supports</w:t>
      </w:r>
      <w:r w:rsidR="00BB37AB" w:rsidRPr="00EA181C">
        <w:t xml:space="preserve"> </w:t>
      </w:r>
      <w:r w:rsidR="00BB37AB">
        <w:t xml:space="preserve">the single Method </w:t>
      </w:r>
      <w:r w:rsidR="00BB37AB" w:rsidRPr="003E13F4">
        <w:t>B</w:t>
      </w:r>
      <w:r w:rsidR="00717AEB" w:rsidRPr="003E13F4">
        <w:t xml:space="preserve"> </w:t>
      </w:r>
      <w:r w:rsidR="00717AEB" w:rsidRPr="003E13F4">
        <w:rPr>
          <w:rFonts w:eastAsia="BatangChe"/>
          <w:szCs w:val="24"/>
          <w:lang w:val="en-US" w:eastAsia="ko-KR"/>
        </w:rPr>
        <w:t>of the CPM Report</w:t>
      </w:r>
      <w:r w:rsidR="00BB37AB">
        <w:t xml:space="preserve"> (NOC) for the 5 250-5 350 MHz band.</w:t>
      </w:r>
    </w:p>
    <w:p w:rsidR="00FB5FBF" w:rsidRDefault="00AC6A45">
      <w:pPr>
        <w:pStyle w:val="Proposal"/>
      </w:pPr>
      <w:r>
        <w:rPr>
          <w:u w:val="single"/>
        </w:rPr>
        <w:t>NOC</w:t>
      </w:r>
      <w:r>
        <w:tab/>
        <w:t>AUS/47A16/3</w:t>
      </w:r>
      <w:r>
        <w:rPr>
          <w:vanish/>
          <w:color w:val="7F7F7F" w:themeColor="text1" w:themeTint="80"/>
          <w:vertAlign w:val="superscript"/>
        </w:rPr>
        <w:t>#49957</w:t>
      </w:r>
    </w:p>
    <w:p w:rsidR="001962A2" w:rsidRPr="0042498F" w:rsidRDefault="00AC6A45" w:rsidP="00130FDA">
      <w:pPr>
        <w:pStyle w:val="Tabletitle"/>
        <w:rPr>
          <w:lang w:val="en-US"/>
        </w:rPr>
      </w:pPr>
      <w:r w:rsidRPr="0042498F">
        <w:rPr>
          <w:lang w:val="en-US"/>
        </w:rPr>
        <w:t>5 250-5 570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60" w:line="210" w:lineRule="exact"/>
              <w:rPr>
                <w:lang w:val="en-US"/>
              </w:rPr>
            </w:pPr>
            <w:r w:rsidRPr="0042498F">
              <w:rPr>
                <w:rStyle w:val="Tablefreq"/>
                <w:lang w:val="en-US"/>
              </w:rPr>
              <w:t>5 350-5 460</w:t>
            </w:r>
            <w:r w:rsidRPr="0042498F">
              <w:rPr>
                <w:color w:val="000000"/>
                <w:lang w:val="en-US"/>
              </w:rPr>
              <w:tab/>
              <w:t xml:space="preserve">EARTH EXPLORATION-SATELLITE (active)  </w:t>
            </w:r>
            <w:r w:rsidRPr="0042498F">
              <w:rPr>
                <w:rStyle w:val="Artref"/>
                <w:color w:val="000000"/>
                <w:lang w:val="en-US"/>
              </w:rPr>
              <w:t>5.448B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rStyle w:val="Artref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lang w:val="en-US"/>
              </w:rPr>
              <w:t>RADIOLOCATION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5.448D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AERONAUTICAL RADIONAVIGATION  </w:t>
            </w:r>
            <w:r w:rsidRPr="0042498F">
              <w:rPr>
                <w:rStyle w:val="Artref"/>
                <w:color w:val="000000"/>
                <w:lang w:val="en-US"/>
              </w:rPr>
              <w:t>5.449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60" w:after="60" w:line="21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 xml:space="preserve">SPACE RESEARCH (active)  </w:t>
            </w:r>
            <w:r w:rsidRPr="0042498F">
              <w:rPr>
                <w:rStyle w:val="Artref"/>
                <w:color w:val="000000"/>
                <w:lang w:val="en-US"/>
              </w:rPr>
              <w:t>5.448C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5 460-5 470</w:t>
            </w:r>
            <w:r w:rsidRPr="0042498F">
              <w:rPr>
                <w:color w:val="000000"/>
                <w:lang w:val="en-US"/>
              </w:rPr>
              <w:tab/>
              <w:t>EARTH EXPLORATION-SATELLITE (active)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RADIOLOCATION  </w:t>
            </w:r>
            <w:r w:rsidRPr="0042498F">
              <w:rPr>
                <w:rStyle w:val="Artref"/>
                <w:color w:val="000000"/>
                <w:lang w:val="en-US"/>
              </w:rPr>
              <w:t>5.448D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 xml:space="preserve">RADIONAVIGATION  </w:t>
            </w:r>
            <w:r w:rsidRPr="0042498F">
              <w:rPr>
                <w:rStyle w:val="Artref"/>
                <w:color w:val="000000"/>
                <w:lang w:val="en-US"/>
              </w:rPr>
              <w:t>5.449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SPACE</w:t>
            </w:r>
            <w:r w:rsidRPr="0042498F">
              <w:rPr>
                <w:lang w:val="en-US"/>
              </w:rPr>
              <w:t xml:space="preserve"> RESEARCH (active)</w:t>
            </w:r>
          </w:p>
          <w:p w:rsidR="001962A2" w:rsidRPr="0042498F" w:rsidRDefault="00AC6A45" w:rsidP="00130FDA">
            <w:pPr>
              <w:pStyle w:val="TableTextS5"/>
              <w:tabs>
                <w:tab w:val="clear" w:pos="567"/>
                <w:tab w:val="clear" w:pos="737"/>
              </w:tabs>
              <w:spacing w:before="20" w:after="20" w:line="210" w:lineRule="exact"/>
              <w:rPr>
                <w:rStyle w:val="Artref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5.448B</w:t>
            </w:r>
          </w:p>
        </w:tc>
      </w:tr>
    </w:tbl>
    <w:p w:rsidR="00FB5FBF" w:rsidRDefault="00FB5FBF"/>
    <w:p w:rsidR="00FB5FBF" w:rsidRDefault="00AC6A45">
      <w:pPr>
        <w:pStyle w:val="Reasons"/>
      </w:pPr>
      <w:r>
        <w:rPr>
          <w:b/>
        </w:rPr>
        <w:t>Reasons:</w:t>
      </w:r>
      <w:r>
        <w:tab/>
      </w:r>
      <w:r w:rsidR="00BB37AB">
        <w:t xml:space="preserve">Australia supports the single Method </w:t>
      </w:r>
      <w:r w:rsidR="00BB37AB" w:rsidRPr="003E13F4">
        <w:t>C</w:t>
      </w:r>
      <w:r w:rsidR="00717AEB" w:rsidRPr="003E13F4">
        <w:t xml:space="preserve"> </w:t>
      </w:r>
      <w:r w:rsidR="00717AEB" w:rsidRPr="003E13F4">
        <w:rPr>
          <w:rFonts w:eastAsia="BatangChe"/>
          <w:szCs w:val="24"/>
          <w:lang w:val="en-US" w:eastAsia="ko-KR"/>
        </w:rPr>
        <w:t>of the CPM Report</w:t>
      </w:r>
      <w:r w:rsidR="00BB37AB">
        <w:t xml:space="preserve"> (NOC) for the 5 350-5 470 MHz band.</w:t>
      </w:r>
    </w:p>
    <w:p w:rsidR="00FB5FBF" w:rsidRDefault="00AC6A45">
      <w:pPr>
        <w:pStyle w:val="Proposal"/>
      </w:pPr>
      <w:r>
        <w:rPr>
          <w:u w:val="single"/>
        </w:rPr>
        <w:t>NOC</w:t>
      </w:r>
      <w:r>
        <w:tab/>
        <w:t>AUS/47A16/4</w:t>
      </w:r>
      <w:r>
        <w:rPr>
          <w:vanish/>
          <w:color w:val="7F7F7F" w:themeColor="text1" w:themeTint="80"/>
          <w:vertAlign w:val="superscript"/>
        </w:rPr>
        <w:t>#49958</w:t>
      </w:r>
    </w:p>
    <w:p w:rsidR="001962A2" w:rsidRPr="0042498F" w:rsidRDefault="00AC6A45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5 725-5 830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5.453  5.455</w:t>
            </w:r>
          </w:p>
        </w:tc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lastRenderedPageBreak/>
              <w:t>5 830-5 850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  <w:p w:rsidR="001962A2" w:rsidRPr="0042498F" w:rsidRDefault="00AC6A45" w:rsidP="00130FDA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Amateur-satellite (space-to-Earth)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5 830-5 850</w:t>
            </w:r>
          </w:p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RADIOLOCATION</w:t>
            </w:r>
          </w:p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</w:t>
            </w:r>
          </w:p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  <w:t>Amateur-satellite (space-to-Earth)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5.451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  <w:tc>
          <w:tcPr>
            <w:tcW w:w="61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tabs>
                <w:tab w:val="clear" w:pos="170"/>
              </w:tabs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color w:val="000000"/>
                <w:lang w:val="en-US"/>
              </w:rPr>
              <w:tab/>
            </w:r>
            <w:r w:rsidRPr="0042498F">
              <w:rPr>
                <w:rStyle w:val="Artref"/>
                <w:color w:val="000000"/>
                <w:lang w:val="en-US"/>
              </w:rPr>
              <w:t>5.150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5.453</w:t>
            </w:r>
            <w:r w:rsidRPr="0042498F">
              <w:rPr>
                <w:color w:val="000000"/>
                <w:lang w:val="en-US"/>
              </w:rPr>
              <w:t xml:space="preserve">  </w:t>
            </w:r>
            <w:r w:rsidRPr="0042498F">
              <w:rPr>
                <w:rStyle w:val="Artref"/>
                <w:color w:val="000000"/>
                <w:lang w:val="en-US"/>
              </w:rPr>
              <w:t>5.455</w:t>
            </w:r>
          </w:p>
        </w:tc>
      </w:tr>
    </w:tbl>
    <w:p w:rsidR="00FB5FBF" w:rsidRDefault="00FB5FBF"/>
    <w:p w:rsidR="00FB5FBF" w:rsidRDefault="00AC6A45">
      <w:pPr>
        <w:pStyle w:val="Reasons"/>
      </w:pPr>
      <w:r>
        <w:rPr>
          <w:b/>
        </w:rPr>
        <w:t>Reasons:</w:t>
      </w:r>
      <w:r>
        <w:tab/>
      </w:r>
      <w:r w:rsidR="00BB37AB">
        <w:rPr>
          <w:rFonts w:eastAsia="BatangChe"/>
          <w:szCs w:val="24"/>
          <w:lang w:val="en-US" w:eastAsia="ko-KR"/>
        </w:rPr>
        <w:t>D</w:t>
      </w:r>
      <w:r w:rsidR="00BB37AB" w:rsidRPr="005A362A">
        <w:rPr>
          <w:rFonts w:eastAsia="BatangChe"/>
          <w:szCs w:val="24"/>
          <w:lang w:val="en-US" w:eastAsia="ko-KR"/>
        </w:rPr>
        <w:t>ue to the lack of studies showing the compatibility of WAS/RLAN with other services in the band 5</w:t>
      </w:r>
      <w:r w:rsidR="00BB37AB">
        <w:rPr>
          <w:rFonts w:eastAsia="BatangChe"/>
          <w:szCs w:val="24"/>
          <w:lang w:val="en-US" w:eastAsia="ko-KR"/>
        </w:rPr>
        <w:t> </w:t>
      </w:r>
      <w:r w:rsidR="00BB37AB" w:rsidRPr="005A362A">
        <w:rPr>
          <w:rFonts w:eastAsia="BatangChe"/>
          <w:szCs w:val="24"/>
          <w:lang w:val="en-US" w:eastAsia="ko-KR"/>
        </w:rPr>
        <w:t>725</w:t>
      </w:r>
      <w:r w:rsidR="00BB37AB">
        <w:rPr>
          <w:rFonts w:eastAsia="BatangChe"/>
          <w:szCs w:val="24"/>
          <w:lang w:val="en-US" w:eastAsia="ko-KR"/>
        </w:rPr>
        <w:t>–</w:t>
      </w:r>
      <w:r w:rsidR="00BB37AB" w:rsidRPr="005A362A">
        <w:rPr>
          <w:rFonts w:eastAsia="BatangChe"/>
          <w:szCs w:val="24"/>
          <w:lang w:val="en-US" w:eastAsia="ko-KR"/>
        </w:rPr>
        <w:t>5</w:t>
      </w:r>
      <w:r w:rsidR="00BB37AB">
        <w:rPr>
          <w:rFonts w:eastAsia="BatangChe"/>
          <w:szCs w:val="24"/>
          <w:lang w:val="en-US" w:eastAsia="ko-KR"/>
        </w:rPr>
        <w:t> </w:t>
      </w:r>
      <w:r w:rsidR="00BB37AB" w:rsidRPr="005A362A">
        <w:rPr>
          <w:rFonts w:eastAsia="BatangChe"/>
          <w:szCs w:val="24"/>
          <w:lang w:val="en-US" w:eastAsia="ko-KR"/>
        </w:rPr>
        <w:t>850</w:t>
      </w:r>
      <w:r w:rsidR="00BB37AB">
        <w:rPr>
          <w:rFonts w:eastAsia="BatangChe"/>
          <w:szCs w:val="24"/>
          <w:lang w:val="en-US" w:eastAsia="ko-KR"/>
        </w:rPr>
        <w:t> </w:t>
      </w:r>
      <w:r w:rsidR="00BB37AB" w:rsidRPr="005A362A">
        <w:rPr>
          <w:rFonts w:eastAsia="BatangChe"/>
          <w:szCs w:val="24"/>
          <w:lang w:val="en-US" w:eastAsia="ko-KR"/>
        </w:rPr>
        <w:t xml:space="preserve">MHz, in particular </w:t>
      </w:r>
      <w:r w:rsidR="00BB37AB">
        <w:rPr>
          <w:rFonts w:eastAsia="BatangChe"/>
          <w:szCs w:val="24"/>
          <w:lang w:val="en-US" w:eastAsia="ko-KR"/>
        </w:rPr>
        <w:t>the radiolocation service</w:t>
      </w:r>
      <w:r w:rsidR="00BB37AB" w:rsidRPr="005A362A">
        <w:rPr>
          <w:rFonts w:eastAsia="BatangChe"/>
          <w:szCs w:val="24"/>
          <w:lang w:val="en-US" w:eastAsia="ko-KR"/>
        </w:rPr>
        <w:t>,</w:t>
      </w:r>
      <w:r w:rsidR="00BB37AB">
        <w:rPr>
          <w:rFonts w:eastAsia="BatangChe"/>
          <w:szCs w:val="24"/>
          <w:lang w:val="en-US" w:eastAsia="ko-KR"/>
        </w:rPr>
        <w:t xml:space="preserve"> and in the absence of any detailed mitigation techniques being proposed, </w:t>
      </w:r>
      <w:r w:rsidR="00BB37AB" w:rsidRPr="005A362A">
        <w:rPr>
          <w:rFonts w:eastAsia="BatangChe"/>
          <w:szCs w:val="24"/>
          <w:lang w:val="en-US" w:eastAsia="ko-KR"/>
        </w:rPr>
        <w:t xml:space="preserve">Australia </w:t>
      </w:r>
      <w:r w:rsidR="00BB37AB">
        <w:rPr>
          <w:rFonts w:eastAsia="BatangChe"/>
          <w:szCs w:val="24"/>
          <w:lang w:val="en-US" w:eastAsia="ko-KR"/>
        </w:rPr>
        <w:t>supports</w:t>
      </w:r>
      <w:r w:rsidR="00BB37AB" w:rsidRPr="005A362A">
        <w:rPr>
          <w:rFonts w:eastAsia="BatangChe"/>
          <w:szCs w:val="24"/>
          <w:lang w:val="en-US" w:eastAsia="ko-KR"/>
        </w:rPr>
        <w:t xml:space="preserve"> Method D1 </w:t>
      </w:r>
      <w:r w:rsidR="00BB37AB">
        <w:rPr>
          <w:rFonts w:eastAsia="BatangChe"/>
          <w:szCs w:val="24"/>
          <w:lang w:val="en-US" w:eastAsia="ko-KR"/>
        </w:rPr>
        <w:t xml:space="preserve">of the CPM Report </w:t>
      </w:r>
      <w:r w:rsidR="00BB37AB" w:rsidRPr="005A362A">
        <w:rPr>
          <w:rFonts w:eastAsia="BatangChe"/>
          <w:szCs w:val="24"/>
          <w:lang w:val="en-US" w:eastAsia="ko-KR"/>
        </w:rPr>
        <w:t xml:space="preserve">(NOC) </w:t>
      </w:r>
      <w:r w:rsidR="00BB37AB">
        <w:rPr>
          <w:rFonts w:eastAsia="BatangChe"/>
          <w:szCs w:val="24"/>
          <w:lang w:val="en-US" w:eastAsia="ko-KR"/>
        </w:rPr>
        <w:t>i</w:t>
      </w:r>
      <w:r w:rsidR="00BB37AB" w:rsidRPr="005A362A">
        <w:rPr>
          <w:rFonts w:eastAsia="BatangChe"/>
          <w:szCs w:val="24"/>
          <w:lang w:val="en-US" w:eastAsia="ko-KR"/>
        </w:rPr>
        <w:t>n the 5</w:t>
      </w:r>
      <w:r w:rsidR="00BB37AB">
        <w:rPr>
          <w:rFonts w:eastAsia="BatangChe"/>
          <w:szCs w:val="24"/>
          <w:lang w:val="en-US" w:eastAsia="ko-KR"/>
        </w:rPr>
        <w:t> </w:t>
      </w:r>
      <w:r w:rsidR="00BB37AB" w:rsidRPr="005A362A">
        <w:rPr>
          <w:rFonts w:eastAsia="BatangChe"/>
          <w:szCs w:val="24"/>
          <w:lang w:val="en-US" w:eastAsia="ko-KR"/>
        </w:rPr>
        <w:t>725</w:t>
      </w:r>
      <w:r w:rsidR="00BB37AB">
        <w:rPr>
          <w:rFonts w:eastAsia="BatangChe"/>
          <w:szCs w:val="24"/>
          <w:lang w:val="en-US" w:eastAsia="ko-KR"/>
        </w:rPr>
        <w:t>–</w:t>
      </w:r>
      <w:r w:rsidR="00BB37AB" w:rsidRPr="005A362A">
        <w:rPr>
          <w:rFonts w:eastAsia="BatangChe"/>
          <w:szCs w:val="24"/>
          <w:lang w:val="en-US" w:eastAsia="ko-KR"/>
        </w:rPr>
        <w:t>5</w:t>
      </w:r>
      <w:r w:rsidR="00BB37AB">
        <w:rPr>
          <w:rFonts w:eastAsia="BatangChe"/>
          <w:szCs w:val="24"/>
          <w:lang w:val="en-US" w:eastAsia="ko-KR"/>
        </w:rPr>
        <w:t> </w:t>
      </w:r>
      <w:r w:rsidR="00BB37AB" w:rsidRPr="005A362A">
        <w:rPr>
          <w:rFonts w:eastAsia="BatangChe"/>
          <w:szCs w:val="24"/>
          <w:lang w:val="en-US" w:eastAsia="ko-KR"/>
        </w:rPr>
        <w:t>850</w:t>
      </w:r>
      <w:r w:rsidR="00BB37AB">
        <w:rPr>
          <w:rFonts w:eastAsia="BatangChe"/>
          <w:szCs w:val="24"/>
          <w:lang w:val="en-US" w:eastAsia="ko-KR"/>
        </w:rPr>
        <w:t> </w:t>
      </w:r>
      <w:r w:rsidR="00BB37AB" w:rsidRPr="005A362A">
        <w:rPr>
          <w:rFonts w:eastAsia="BatangChe"/>
          <w:szCs w:val="24"/>
          <w:lang w:val="en-US" w:eastAsia="ko-KR"/>
        </w:rPr>
        <w:t>MHz band.</w:t>
      </w:r>
    </w:p>
    <w:p w:rsidR="00FB5FBF" w:rsidRDefault="00AC6A45">
      <w:pPr>
        <w:pStyle w:val="Proposal"/>
      </w:pPr>
      <w:r>
        <w:rPr>
          <w:u w:val="single"/>
        </w:rPr>
        <w:t>NOC</w:t>
      </w:r>
      <w:r>
        <w:tab/>
        <w:t>AUS/47A16/5</w:t>
      </w:r>
      <w:r>
        <w:rPr>
          <w:vanish/>
          <w:color w:val="7F7F7F" w:themeColor="text1" w:themeTint="80"/>
          <w:vertAlign w:val="superscript"/>
        </w:rPr>
        <w:t>#49963</w:t>
      </w:r>
    </w:p>
    <w:p w:rsidR="001962A2" w:rsidRPr="0042498F" w:rsidRDefault="00AC6A45" w:rsidP="00130FDA">
      <w:pPr>
        <w:pStyle w:val="Tabletitle"/>
        <w:rPr>
          <w:lang w:val="en-US"/>
        </w:rPr>
      </w:pPr>
      <w:r w:rsidRPr="0042498F">
        <w:rPr>
          <w:lang w:val="en-US"/>
        </w:rPr>
        <w:t>5 570-6 700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1962A2" w:rsidRPr="0042498F" w:rsidTr="00130FD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Allocation to services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head"/>
              <w:rPr>
                <w:lang w:val="en-US"/>
              </w:rPr>
            </w:pPr>
            <w:r w:rsidRPr="0042498F">
              <w:rPr>
                <w:lang w:val="en-US"/>
              </w:rPr>
              <w:t>Region 3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</w:t>
            </w:r>
            <w:bookmarkStart w:id="10" w:name="_GoBack"/>
            <w:bookmarkEnd w:id="10"/>
            <w:r w:rsidRPr="0042498F">
              <w:rPr>
                <w:color w:val="000000"/>
                <w:lang w:val="en-US"/>
              </w:rPr>
              <w:t>XED-SATELLITE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Amateur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rStyle w:val="Tablefreq"/>
                <w:lang w:val="en-US"/>
              </w:rPr>
            </w:pPr>
            <w:r w:rsidRPr="0042498F">
              <w:rPr>
                <w:rStyle w:val="Tablefreq"/>
                <w:lang w:val="en-US"/>
              </w:rPr>
              <w:t>5 850-5 925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FIXED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 xml:space="preserve">FIXED-SATELLITE </w:t>
            </w:r>
            <w:r w:rsidRPr="0042498F">
              <w:rPr>
                <w:color w:val="000000"/>
                <w:lang w:val="en-US"/>
              </w:rPr>
              <w:br/>
              <w:t>(Earth-to-space)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MOBILE</w:t>
            </w:r>
          </w:p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color w:val="000000"/>
                <w:lang w:val="en-US"/>
              </w:rPr>
              <w:t>Radiolocation</w:t>
            </w:r>
          </w:p>
        </w:tc>
      </w:tr>
      <w:tr w:rsidR="001962A2" w:rsidRPr="0042498F" w:rsidTr="00130FDA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2A2" w:rsidRPr="0042498F" w:rsidRDefault="00AC6A45" w:rsidP="00130FDA">
            <w:pPr>
              <w:pStyle w:val="TableTextS5"/>
              <w:spacing w:before="60" w:after="20" w:line="220" w:lineRule="exact"/>
              <w:rPr>
                <w:color w:val="000000"/>
                <w:lang w:val="en-US"/>
              </w:rPr>
            </w:pPr>
            <w:r w:rsidRPr="0042498F">
              <w:rPr>
                <w:rStyle w:val="Artref"/>
                <w:color w:val="000000"/>
                <w:lang w:val="en-US"/>
              </w:rPr>
              <w:t>5.150</w:t>
            </w:r>
          </w:p>
        </w:tc>
      </w:tr>
    </w:tbl>
    <w:p w:rsidR="00FB5FBF" w:rsidRDefault="00FB5FBF"/>
    <w:p w:rsidR="00FB5FBF" w:rsidRDefault="00AC6A45">
      <w:pPr>
        <w:pStyle w:val="Reasons"/>
      </w:pPr>
      <w:r>
        <w:rPr>
          <w:b/>
        </w:rPr>
        <w:t>Reasons:</w:t>
      </w:r>
      <w:r>
        <w:tab/>
      </w:r>
      <w:r w:rsidR="00BB37AB">
        <w:t xml:space="preserve">Australia supports the single Method </w:t>
      </w:r>
      <w:r w:rsidR="00BB37AB" w:rsidRPr="003E13F4">
        <w:t>E</w:t>
      </w:r>
      <w:r w:rsidR="00717AEB" w:rsidRPr="003E13F4">
        <w:rPr>
          <w:rFonts w:eastAsia="BatangChe"/>
          <w:szCs w:val="24"/>
          <w:lang w:val="en-US" w:eastAsia="ko-KR"/>
        </w:rPr>
        <w:t xml:space="preserve"> of the CPM Report</w:t>
      </w:r>
      <w:r w:rsidR="00BB37AB" w:rsidRPr="003E13F4">
        <w:t xml:space="preserve"> (</w:t>
      </w:r>
      <w:r w:rsidR="00BB37AB">
        <w:t>NOC) for the 5 850-5 925 MHz band.</w:t>
      </w:r>
    </w:p>
    <w:p w:rsidR="00FB5FBF" w:rsidRDefault="00AC6A45">
      <w:pPr>
        <w:pStyle w:val="Proposal"/>
      </w:pPr>
      <w:r>
        <w:t>SUP</w:t>
      </w:r>
      <w:r>
        <w:tab/>
        <w:t>AUS/47A16/6</w:t>
      </w:r>
      <w:r>
        <w:rPr>
          <w:vanish/>
          <w:color w:val="7F7F7F" w:themeColor="text1" w:themeTint="80"/>
          <w:vertAlign w:val="superscript"/>
        </w:rPr>
        <w:t>#49964</w:t>
      </w:r>
    </w:p>
    <w:p w:rsidR="001962A2" w:rsidRPr="0042498F" w:rsidRDefault="00AC6A45" w:rsidP="00130FDA">
      <w:pPr>
        <w:pStyle w:val="ResNo"/>
        <w:rPr>
          <w:lang w:val="en-US"/>
        </w:rPr>
      </w:pPr>
      <w:bookmarkStart w:id="11" w:name="_Toc450048694"/>
      <w:r w:rsidRPr="0042498F">
        <w:rPr>
          <w:lang w:val="en-US"/>
        </w:rPr>
        <w:t xml:space="preserve">RESOLUTION </w:t>
      </w:r>
      <w:r w:rsidRPr="0042498F">
        <w:rPr>
          <w:rStyle w:val="href"/>
          <w:caps w:val="0"/>
          <w:lang w:val="en-US"/>
        </w:rPr>
        <w:t>239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  <w:bookmarkEnd w:id="11"/>
    </w:p>
    <w:p w:rsidR="001962A2" w:rsidRPr="0042498F" w:rsidRDefault="00AC6A45" w:rsidP="00130FDA">
      <w:pPr>
        <w:pStyle w:val="Restitle"/>
        <w:rPr>
          <w:lang w:val="en-US"/>
        </w:rPr>
      </w:pPr>
      <w:bookmarkStart w:id="12" w:name="_Toc450048695"/>
      <w:r w:rsidRPr="0042498F">
        <w:rPr>
          <w:lang w:val="en-US"/>
        </w:rPr>
        <w:t xml:space="preserve">Studies concerning Wireless Access Systems including radio local </w:t>
      </w:r>
      <w:r w:rsidRPr="0042498F">
        <w:rPr>
          <w:lang w:val="en-US"/>
        </w:rPr>
        <w:br/>
        <w:t xml:space="preserve">area networks in the frequency bands between </w:t>
      </w:r>
      <w:r w:rsidRPr="0042498F">
        <w:rPr>
          <w:lang w:val="en-US"/>
        </w:rPr>
        <w:br/>
        <w:t>5 150 MHz and 5 925 MHz</w:t>
      </w:r>
      <w:bookmarkEnd w:id="12"/>
    </w:p>
    <w:p w:rsidR="00FB5FBF" w:rsidRDefault="00AC6A45">
      <w:pPr>
        <w:pStyle w:val="Reasons"/>
      </w:pPr>
      <w:r>
        <w:rPr>
          <w:b/>
        </w:rPr>
        <w:t>Reasons:</w:t>
      </w:r>
      <w:r>
        <w:tab/>
      </w:r>
      <w:r w:rsidR="00BB37AB">
        <w:t>No longer required post WRC-19.</w:t>
      </w:r>
    </w:p>
    <w:p w:rsidR="00BB37AB" w:rsidRDefault="00BB37AB" w:rsidP="00BB37AB"/>
    <w:p w:rsidR="00BB37AB" w:rsidRDefault="00BB37AB" w:rsidP="00BB37AB">
      <w:pPr>
        <w:jc w:val="center"/>
      </w:pPr>
      <w:r>
        <w:t>______________</w:t>
      </w:r>
    </w:p>
    <w:sectPr w:rsidR="00BB37A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02" w:rsidRDefault="000B7102">
      <w:r>
        <w:separator/>
      </w:r>
    </w:p>
  </w:endnote>
  <w:endnote w:type="continuationSeparator" w:id="0">
    <w:p w:rsidR="000B7102" w:rsidRDefault="000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A6491">
      <w:rPr>
        <w:noProof/>
        <w:lang w:val="en-US"/>
      </w:rPr>
      <w:t>P:\ITU-R\CONF-R\CMR19\000\047ADD16E.docx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6491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6491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AC6A45" w:rsidRDefault="00DA6491" w:rsidP="00AC6A4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P:\ITU-R\CONF-R\CMR19\000\047ADD16E.docx</w:t>
    </w:r>
    <w:r>
      <w:fldChar w:fldCharType="end"/>
    </w:r>
    <w:r w:rsidR="00246DDF">
      <w:t xml:space="preserve"> (461946)</w:t>
    </w:r>
    <w:r w:rsidR="00AC6A45">
      <w:tab/>
    </w:r>
    <w:r w:rsidR="00AC6A45">
      <w:fldChar w:fldCharType="begin"/>
    </w:r>
    <w:r w:rsidR="00AC6A45">
      <w:instrText xml:space="preserve"> SAVEDATE \@ DD.MM.YY </w:instrText>
    </w:r>
    <w:r w:rsidR="00AC6A45">
      <w:fldChar w:fldCharType="separate"/>
    </w:r>
    <w:r>
      <w:t>16.10.19</w:t>
    </w:r>
    <w:r w:rsidR="00AC6A45">
      <w:fldChar w:fldCharType="end"/>
    </w:r>
    <w:r w:rsidR="00AC6A45">
      <w:tab/>
    </w:r>
    <w:r w:rsidR="00AC6A45">
      <w:fldChar w:fldCharType="begin"/>
    </w:r>
    <w:r w:rsidR="00AC6A45">
      <w:instrText xml:space="preserve"> PRINTDATE \@ DD.MM.YY </w:instrText>
    </w:r>
    <w:r w:rsidR="00AC6A45">
      <w:fldChar w:fldCharType="separate"/>
    </w:r>
    <w:r>
      <w:t>16.10.19</w:t>
    </w:r>
    <w:r w:rsidR="00AC6A4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Pr="0041348E" w:rsidRDefault="00E45D05" w:rsidP="005C106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A6491">
      <w:rPr>
        <w:lang w:val="en-US"/>
      </w:rPr>
      <w:t>P:\ITU-R\CONF-R\CMR19\000\047ADD16E.docx</w:t>
    </w:r>
    <w:r>
      <w:fldChar w:fldCharType="end"/>
    </w:r>
    <w:r w:rsidR="00AC6A45">
      <w:t xml:space="preserve"> (461946</w:t>
    </w:r>
    <w:r w:rsidR="005C1065">
      <w:t>)</w:t>
    </w:r>
    <w:r w:rsidR="00AC6A45">
      <w:tab/>
    </w:r>
    <w:r w:rsidR="00AC6A45">
      <w:fldChar w:fldCharType="begin"/>
    </w:r>
    <w:r w:rsidR="00AC6A45">
      <w:instrText xml:space="preserve"> SAVEDATE \@ DD.MM.YY </w:instrText>
    </w:r>
    <w:r w:rsidR="00AC6A45">
      <w:fldChar w:fldCharType="separate"/>
    </w:r>
    <w:r w:rsidR="00DA6491">
      <w:t>16.10.19</w:t>
    </w:r>
    <w:r w:rsidR="00AC6A45">
      <w:fldChar w:fldCharType="end"/>
    </w:r>
    <w:r w:rsidR="00AC6A45">
      <w:tab/>
    </w:r>
    <w:r w:rsidR="00AC6A45">
      <w:fldChar w:fldCharType="begin"/>
    </w:r>
    <w:r w:rsidR="00AC6A45">
      <w:instrText xml:space="preserve"> PRINTDATE \@ DD.MM.YY </w:instrText>
    </w:r>
    <w:r w:rsidR="00AC6A45">
      <w:fldChar w:fldCharType="separate"/>
    </w:r>
    <w:r w:rsidR="00DA6491">
      <w:t>16.10.19</w:t>
    </w:r>
    <w:r w:rsidR="00AC6A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02" w:rsidRDefault="000B7102">
      <w:r>
        <w:rPr>
          <w:b/>
        </w:rPr>
        <w:t>_______________</w:t>
      </w:r>
    </w:p>
  </w:footnote>
  <w:footnote w:type="continuationSeparator" w:id="0">
    <w:p w:rsidR="000B7102" w:rsidRDefault="000B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6491">
      <w:rPr>
        <w:noProof/>
      </w:rPr>
      <w:t>5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47(Add.16)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E1265DC"/>
    <w:multiLevelType w:val="hybridMultilevel"/>
    <w:tmpl w:val="F12EF48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7DB520A"/>
    <w:multiLevelType w:val="hybridMultilevel"/>
    <w:tmpl w:val="4E52151E"/>
    <w:lvl w:ilvl="0" w:tplc="0C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A1D757C"/>
    <w:multiLevelType w:val="hybridMultilevel"/>
    <w:tmpl w:val="058E781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B7102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21B77"/>
    <w:rsid w:val="00241FA2"/>
    <w:rsid w:val="00246DDF"/>
    <w:rsid w:val="00271316"/>
    <w:rsid w:val="002B349C"/>
    <w:rsid w:val="002D1A81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13F4"/>
    <w:rsid w:val="0041348E"/>
    <w:rsid w:val="00420873"/>
    <w:rsid w:val="00492075"/>
    <w:rsid w:val="00494CFB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1065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17AEB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3C6E"/>
    <w:rsid w:val="008B43F2"/>
    <w:rsid w:val="008B6CFF"/>
    <w:rsid w:val="009274B4"/>
    <w:rsid w:val="00934EA2"/>
    <w:rsid w:val="00944A5C"/>
    <w:rsid w:val="00952A66"/>
    <w:rsid w:val="0098260E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FF5"/>
    <w:rsid w:val="00A93B85"/>
    <w:rsid w:val="00AA0B18"/>
    <w:rsid w:val="00AA3C65"/>
    <w:rsid w:val="00AA666F"/>
    <w:rsid w:val="00AC6A45"/>
    <w:rsid w:val="00AD7914"/>
    <w:rsid w:val="00AE11DD"/>
    <w:rsid w:val="00AE514B"/>
    <w:rsid w:val="00B40888"/>
    <w:rsid w:val="00B639E9"/>
    <w:rsid w:val="00B817CD"/>
    <w:rsid w:val="00B81A7D"/>
    <w:rsid w:val="00B94AD0"/>
    <w:rsid w:val="00BB37AB"/>
    <w:rsid w:val="00BB3A95"/>
    <w:rsid w:val="00BD6CCE"/>
    <w:rsid w:val="00BE149B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CF5388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A649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375E"/>
    <w:rsid w:val="00FB5FBF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E16CC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uiPriority w:val="34"/>
    <w:qFormat/>
    <w:rsid w:val="00BB37AB"/>
    <w:pPr>
      <w:ind w:left="720"/>
      <w:contextualSpacing/>
    </w:pPr>
  </w:style>
  <w:style w:type="table" w:styleId="TableGrid">
    <w:name w:val="Table Grid"/>
    <w:basedOn w:val="TableNormal"/>
    <w:rsid w:val="00BB37AB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R16-WRC19-C-0047!A16!MSW-E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721BF3-6D4D-4398-A52C-6B9912D21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C9B4A-98DE-47B8-AF20-25CD083B1CF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884E1F3-531F-475D-8FBE-012515B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1814</Words>
  <Characters>9818</Characters>
  <Application>Microsoft Office Word</Application>
  <DocSecurity>0</DocSecurity>
  <Lines>313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R16-WRC19-C-0047!A16!MSW-E</vt:lpstr>
    </vt:vector>
  </TitlesOfParts>
  <Manager>General Secretariat - Pool</Manager>
  <Company>International Telecommunication Union (ITU)</Company>
  <LinksUpToDate>false</LinksUpToDate>
  <CharactersWithSpaces>11565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R16-WRC19-C-0047!A16!MSW-E</dc:title>
  <dc:subject>World Radiocommunication Conference - 2019</dc:subject>
  <dc:creator>Documents Proposals Manager (DPM)</dc:creator>
  <cp:keywords>DPM_v2019.10.3.1_prod</cp:keywords>
  <dc:description>Uploaded on 2015.07.06</dc:description>
  <cp:lastModifiedBy>Ferrer, Jacqueline</cp:lastModifiedBy>
  <cp:revision>4</cp:revision>
  <cp:lastPrinted>2019-10-16T17:08:00Z</cp:lastPrinted>
  <dcterms:created xsi:type="dcterms:W3CDTF">2019-10-16T17:06:00Z</dcterms:created>
  <dcterms:modified xsi:type="dcterms:W3CDTF">2019-10-16T17:08:00Z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