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039E6" w14:paraId="47FA5F08" w14:textId="77777777" w:rsidTr="0050008E">
        <w:trPr>
          <w:cantSplit/>
        </w:trPr>
        <w:tc>
          <w:tcPr>
            <w:tcW w:w="6911" w:type="dxa"/>
          </w:tcPr>
          <w:p w14:paraId="130FF513" w14:textId="77777777" w:rsidR="0090121B" w:rsidRPr="004039E6" w:rsidRDefault="005D46FB" w:rsidP="004039E6">
            <w:pPr>
              <w:spacing w:before="400" w:after="48"/>
              <w:rPr>
                <w:rFonts w:ascii="Verdana" w:hAnsi="Verdana"/>
                <w:position w:val="6"/>
              </w:rPr>
            </w:pPr>
            <w:r w:rsidRPr="004039E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4039E6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4039E6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4039E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4039E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4039E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4039E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4039E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4039E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4039E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4039E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4039E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4039E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663986EF" w14:textId="77777777" w:rsidR="0090121B" w:rsidRPr="004039E6" w:rsidRDefault="00DA71A3" w:rsidP="004039E6">
            <w:pPr>
              <w:spacing w:before="0"/>
              <w:jc w:val="right"/>
            </w:pPr>
            <w:r w:rsidRPr="004039E6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07FC9416" wp14:editId="7FC9BB8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039E6" w14:paraId="77CA684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B1C986F" w14:textId="77777777" w:rsidR="0090121B" w:rsidRPr="004039E6" w:rsidRDefault="0090121B" w:rsidP="004039E6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310D50F" w14:textId="77777777" w:rsidR="0090121B" w:rsidRPr="004039E6" w:rsidRDefault="0090121B" w:rsidP="004039E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4039E6" w14:paraId="0823FE20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B105998" w14:textId="77777777" w:rsidR="0090121B" w:rsidRPr="004039E6" w:rsidRDefault="0090121B" w:rsidP="004039E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D49ED5E" w14:textId="77777777" w:rsidR="0090121B" w:rsidRPr="004039E6" w:rsidRDefault="0090121B" w:rsidP="004039E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4039E6" w14:paraId="0C34A325" w14:textId="77777777" w:rsidTr="0090121B">
        <w:trPr>
          <w:cantSplit/>
        </w:trPr>
        <w:tc>
          <w:tcPr>
            <w:tcW w:w="6911" w:type="dxa"/>
          </w:tcPr>
          <w:p w14:paraId="67D8D655" w14:textId="77777777" w:rsidR="0090121B" w:rsidRPr="004039E6" w:rsidRDefault="001E7D42" w:rsidP="004039E6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4039E6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4A36A60" w14:textId="77777777" w:rsidR="0090121B" w:rsidRPr="004039E6" w:rsidRDefault="00AE658F" w:rsidP="004039E6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4039E6">
              <w:rPr>
                <w:rFonts w:ascii="Verdana" w:hAnsi="Verdana"/>
                <w:b/>
                <w:sz w:val="18"/>
                <w:szCs w:val="18"/>
              </w:rPr>
              <w:t>Addéndum 12 al</w:t>
            </w:r>
            <w:r w:rsidRPr="004039E6">
              <w:rPr>
                <w:rFonts w:ascii="Verdana" w:hAnsi="Verdana"/>
                <w:b/>
                <w:sz w:val="18"/>
                <w:szCs w:val="18"/>
              </w:rPr>
              <w:br/>
              <w:t>Documento 47</w:t>
            </w:r>
            <w:r w:rsidR="0090121B" w:rsidRPr="004039E6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4039E6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4039E6" w14:paraId="4F55A28E" w14:textId="77777777" w:rsidTr="0090121B">
        <w:trPr>
          <w:cantSplit/>
        </w:trPr>
        <w:tc>
          <w:tcPr>
            <w:tcW w:w="6911" w:type="dxa"/>
          </w:tcPr>
          <w:p w14:paraId="5A6373BE" w14:textId="77777777" w:rsidR="000A5B9A" w:rsidRPr="004039E6" w:rsidRDefault="000A5B9A" w:rsidP="004039E6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45C2DCB" w14:textId="77777777" w:rsidR="000A5B9A" w:rsidRPr="004039E6" w:rsidRDefault="000A5B9A" w:rsidP="004039E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39E6">
              <w:rPr>
                <w:rFonts w:ascii="Verdana" w:hAnsi="Verdana"/>
                <w:b/>
                <w:sz w:val="18"/>
                <w:szCs w:val="18"/>
              </w:rPr>
              <w:t>8 de octubre de 2019</w:t>
            </w:r>
          </w:p>
        </w:tc>
      </w:tr>
      <w:tr w:rsidR="000A5B9A" w:rsidRPr="004039E6" w14:paraId="332D1F47" w14:textId="77777777" w:rsidTr="0090121B">
        <w:trPr>
          <w:cantSplit/>
        </w:trPr>
        <w:tc>
          <w:tcPr>
            <w:tcW w:w="6911" w:type="dxa"/>
          </w:tcPr>
          <w:p w14:paraId="234A0B50" w14:textId="77777777" w:rsidR="000A5B9A" w:rsidRPr="004039E6" w:rsidRDefault="000A5B9A" w:rsidP="004039E6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AA0BADA" w14:textId="77777777" w:rsidR="000A5B9A" w:rsidRPr="004039E6" w:rsidRDefault="000A5B9A" w:rsidP="004039E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039E6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4039E6" w14:paraId="0D35C7EB" w14:textId="77777777" w:rsidTr="006744FC">
        <w:trPr>
          <w:cantSplit/>
        </w:trPr>
        <w:tc>
          <w:tcPr>
            <w:tcW w:w="10031" w:type="dxa"/>
            <w:gridSpan w:val="2"/>
          </w:tcPr>
          <w:p w14:paraId="6515B7B7" w14:textId="77777777" w:rsidR="000A5B9A" w:rsidRPr="004039E6" w:rsidRDefault="000A5B9A" w:rsidP="004039E6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4039E6" w14:paraId="232546A3" w14:textId="77777777" w:rsidTr="0050008E">
        <w:trPr>
          <w:cantSplit/>
        </w:trPr>
        <w:tc>
          <w:tcPr>
            <w:tcW w:w="10031" w:type="dxa"/>
            <w:gridSpan w:val="2"/>
          </w:tcPr>
          <w:p w14:paraId="63432D14" w14:textId="77777777" w:rsidR="000A5B9A" w:rsidRPr="004039E6" w:rsidRDefault="000A5B9A" w:rsidP="004039E6">
            <w:pPr>
              <w:pStyle w:val="Source"/>
            </w:pPr>
            <w:bookmarkStart w:id="1" w:name="dsource" w:colFirst="0" w:colLast="0"/>
            <w:r w:rsidRPr="004039E6">
              <w:t>Australia</w:t>
            </w:r>
          </w:p>
        </w:tc>
      </w:tr>
      <w:tr w:rsidR="000A5B9A" w:rsidRPr="004039E6" w14:paraId="5489291D" w14:textId="77777777" w:rsidTr="0050008E">
        <w:trPr>
          <w:cantSplit/>
        </w:trPr>
        <w:tc>
          <w:tcPr>
            <w:tcW w:w="10031" w:type="dxa"/>
            <w:gridSpan w:val="2"/>
          </w:tcPr>
          <w:p w14:paraId="6813A40B" w14:textId="77777777" w:rsidR="000A5B9A" w:rsidRPr="004039E6" w:rsidRDefault="006B78D0" w:rsidP="004039E6">
            <w:pPr>
              <w:pStyle w:val="Title1"/>
            </w:pPr>
            <w:bookmarkStart w:id="2" w:name="dtitle1" w:colFirst="0" w:colLast="0"/>
            <w:bookmarkEnd w:id="1"/>
            <w:r w:rsidRPr="004039E6">
              <w:t>Propuestas para los trabajos de la Conferencia</w:t>
            </w:r>
          </w:p>
        </w:tc>
      </w:tr>
      <w:tr w:rsidR="000A5B9A" w:rsidRPr="004039E6" w14:paraId="39E196D9" w14:textId="77777777" w:rsidTr="0050008E">
        <w:trPr>
          <w:cantSplit/>
        </w:trPr>
        <w:tc>
          <w:tcPr>
            <w:tcW w:w="10031" w:type="dxa"/>
            <w:gridSpan w:val="2"/>
          </w:tcPr>
          <w:p w14:paraId="2CFB25B0" w14:textId="77777777" w:rsidR="000A5B9A" w:rsidRPr="004039E6" w:rsidRDefault="000A5B9A" w:rsidP="004039E6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4039E6" w14:paraId="1B678735" w14:textId="77777777" w:rsidTr="0050008E">
        <w:trPr>
          <w:cantSplit/>
        </w:trPr>
        <w:tc>
          <w:tcPr>
            <w:tcW w:w="10031" w:type="dxa"/>
            <w:gridSpan w:val="2"/>
          </w:tcPr>
          <w:p w14:paraId="1E64C85E" w14:textId="77777777" w:rsidR="000A5B9A" w:rsidRPr="004039E6" w:rsidRDefault="000A5B9A" w:rsidP="004039E6">
            <w:pPr>
              <w:pStyle w:val="Agendaitem"/>
            </w:pPr>
            <w:bookmarkStart w:id="4" w:name="dtitle3" w:colFirst="0" w:colLast="0"/>
            <w:bookmarkEnd w:id="3"/>
            <w:r w:rsidRPr="004039E6">
              <w:t>Punto 1.12 del orden del día</w:t>
            </w:r>
          </w:p>
        </w:tc>
      </w:tr>
    </w:tbl>
    <w:bookmarkEnd w:id="4"/>
    <w:p w14:paraId="6DBAB38C" w14:textId="77777777" w:rsidR="001C0E40" w:rsidRPr="004039E6" w:rsidRDefault="00B61C6D" w:rsidP="004039E6">
      <w:r w:rsidRPr="004039E6">
        <w:t>1.12</w:t>
      </w:r>
      <w:r w:rsidRPr="004039E6">
        <w:tab/>
      </w:r>
      <w:r w:rsidRPr="004039E6">
        <w:rPr>
          <w:rFonts w:eastAsia="SimSun"/>
          <w:bCs/>
          <w:lang w:eastAsia="zh-CN"/>
        </w:rPr>
        <w:t>considerar las posibles bandas de frecuencias armonizadas a nivel mundial o regional, en la mayor medida posible, para la implantación de sistemas de transporte inteligentes (ITS) en evolución en atribuciones existentes al servicio móvil d</w:t>
      </w:r>
      <w:r w:rsidR="006B78D0" w:rsidRPr="004039E6">
        <w:rPr>
          <w:rFonts w:eastAsia="SimSun"/>
          <w:bCs/>
          <w:lang w:eastAsia="zh-CN"/>
        </w:rPr>
        <w:t xml:space="preserve">e conformidad con la Resolución </w:t>
      </w:r>
      <w:r w:rsidRPr="004039E6">
        <w:rPr>
          <w:rFonts w:eastAsia="SimSun"/>
          <w:b/>
          <w:bCs/>
          <w:lang w:eastAsia="zh-CN"/>
        </w:rPr>
        <w:t>237 (CMR</w:t>
      </w:r>
      <w:r w:rsidRPr="004039E6">
        <w:rPr>
          <w:rFonts w:eastAsia="SimSun"/>
          <w:b/>
          <w:bCs/>
          <w:lang w:eastAsia="zh-CN"/>
        </w:rPr>
        <w:noBreakHyphen/>
        <w:t>15)</w:t>
      </w:r>
      <w:r w:rsidRPr="004039E6">
        <w:rPr>
          <w:rFonts w:eastAsia="SimSun"/>
          <w:lang w:eastAsia="zh-CN"/>
        </w:rPr>
        <w:t>;</w:t>
      </w:r>
    </w:p>
    <w:p w14:paraId="2E870403" w14:textId="77777777" w:rsidR="006B78D0" w:rsidRPr="004039E6" w:rsidRDefault="006B78D0" w:rsidP="004039E6">
      <w:pPr>
        <w:pStyle w:val="Heading1"/>
      </w:pPr>
      <w:r w:rsidRPr="004039E6">
        <w:t>1</w:t>
      </w:r>
      <w:r w:rsidRPr="004039E6">
        <w:tab/>
        <w:t>Introducción</w:t>
      </w:r>
    </w:p>
    <w:p w14:paraId="0CB1AE33" w14:textId="77777777" w:rsidR="006B78D0" w:rsidRPr="004039E6" w:rsidRDefault="004137CA" w:rsidP="004039E6">
      <w:r w:rsidRPr="004039E6">
        <w:t>Durante el period</w:t>
      </w:r>
      <w:r w:rsidR="0055137E" w:rsidRPr="004039E6">
        <w:t>o</w:t>
      </w:r>
      <w:r w:rsidR="00800764" w:rsidRPr="004039E6">
        <w:t xml:space="preserve"> de estudios previo a la CMR</w:t>
      </w:r>
      <w:r w:rsidR="006B78D0" w:rsidRPr="004039E6">
        <w:t xml:space="preserve">-19, </w:t>
      </w:r>
      <w:r w:rsidRPr="004039E6">
        <w:t>el Grupo de Trabajo 5A del UIT</w:t>
      </w:r>
      <w:r w:rsidR="006B78D0" w:rsidRPr="004039E6">
        <w:t>-R (</w:t>
      </w:r>
      <w:r w:rsidRPr="004039E6">
        <w:t>GT</w:t>
      </w:r>
      <w:r w:rsidR="006B78D0" w:rsidRPr="004039E6">
        <w:t xml:space="preserve"> 5A) </w:t>
      </w:r>
      <w:r w:rsidRPr="004039E6">
        <w:t xml:space="preserve">ha elaborado varios Informes y Recomendaciones UIT-R </w:t>
      </w:r>
      <w:r w:rsidR="006B78D0" w:rsidRPr="004039E6">
        <w:t xml:space="preserve"> </w:t>
      </w:r>
      <w:r w:rsidRPr="004039E6">
        <w:t>en apoyo de este punto del orden del día, entre otros los siguientes:</w:t>
      </w:r>
    </w:p>
    <w:p w14:paraId="17749C78" w14:textId="1406E346" w:rsidR="001F7517" w:rsidRPr="004039E6" w:rsidRDefault="00B61C6D" w:rsidP="004039E6">
      <w:pPr>
        <w:pStyle w:val="enumlev1"/>
      </w:pPr>
      <w:r w:rsidRPr="004039E6">
        <w:t>•</w:t>
      </w:r>
      <w:r w:rsidRPr="004039E6">
        <w:tab/>
      </w:r>
      <w:hyperlink r:id="rId13" w:history="1">
        <w:r w:rsidR="001F7517" w:rsidRPr="005D3BE7">
          <w:rPr>
            <w:rStyle w:val="Hyperlink"/>
          </w:rPr>
          <w:t>Recom</w:t>
        </w:r>
        <w:r w:rsidR="006B78D0" w:rsidRPr="005D3BE7">
          <w:rPr>
            <w:rStyle w:val="Hyperlink"/>
          </w:rPr>
          <w:t>end</w:t>
        </w:r>
        <w:r w:rsidR="001F7517" w:rsidRPr="005D3BE7">
          <w:rPr>
            <w:rStyle w:val="Hyperlink"/>
          </w:rPr>
          <w:t>a</w:t>
        </w:r>
        <w:r w:rsidR="004D75D1" w:rsidRPr="005D3BE7">
          <w:rPr>
            <w:rStyle w:val="Hyperlink"/>
          </w:rPr>
          <w:t>c</w:t>
        </w:r>
        <w:r w:rsidR="001F7517" w:rsidRPr="005D3BE7">
          <w:rPr>
            <w:rStyle w:val="Hyperlink"/>
          </w:rPr>
          <w:t>i</w:t>
        </w:r>
        <w:r w:rsidR="004D75D1" w:rsidRPr="005D3BE7">
          <w:rPr>
            <w:rStyle w:val="Hyperlink"/>
          </w:rPr>
          <w:t>ó</w:t>
        </w:r>
        <w:r w:rsidR="006B78D0" w:rsidRPr="005D3BE7">
          <w:rPr>
            <w:rStyle w:val="Hyperlink"/>
          </w:rPr>
          <w:t>n ITU</w:t>
        </w:r>
        <w:r w:rsidR="006B78D0" w:rsidRPr="005D3BE7">
          <w:rPr>
            <w:rStyle w:val="Hyperlink"/>
          </w:rPr>
          <w:noBreakHyphen/>
          <w:t>R M.2121</w:t>
        </w:r>
      </w:hyperlink>
      <w:r w:rsidR="006B78D0" w:rsidRPr="004039E6">
        <w:t xml:space="preserve"> – </w:t>
      </w:r>
      <w:r w:rsidR="001F7517" w:rsidRPr="004039E6">
        <w:rPr>
          <w:i/>
          <w:iCs/>
        </w:rPr>
        <w:t>Armonización de las bandas de frecuencias para los sistemas de transporte inteligentes en el servicio móvil</w:t>
      </w:r>
      <w:r w:rsidR="006B78D0" w:rsidRPr="004039E6">
        <w:t xml:space="preserve"> –</w:t>
      </w:r>
      <w:r w:rsidR="004137CA" w:rsidRPr="004039E6">
        <w:t xml:space="preserve"> proporciona orientaciones y alienta a </w:t>
      </w:r>
      <w:r w:rsidR="001F7517" w:rsidRPr="004039E6">
        <w:t xml:space="preserve">las administraciones a emplear bandas de frecuencias armonizadas </w:t>
      </w:r>
      <w:bookmarkStart w:id="5" w:name="lt_pId062"/>
      <w:r w:rsidR="004137CA" w:rsidRPr="004039E6">
        <w:t xml:space="preserve">incluidas en su Anexo para las </w:t>
      </w:r>
      <w:r w:rsidR="001F7517" w:rsidRPr="004039E6">
        <w:t>aplicaciones STI</w:t>
      </w:r>
      <w:r w:rsidR="004137CA" w:rsidRPr="004039E6">
        <w:t xml:space="preserve"> en lo relativo al intercambio de información para mejorar la gestión del tráfico y contribuir a una tráfico seguro</w:t>
      </w:r>
      <w:bookmarkStart w:id="6" w:name="lt_pId063"/>
      <w:bookmarkEnd w:id="5"/>
      <w:r w:rsidR="004137CA" w:rsidRPr="004039E6">
        <w:t>; y</w:t>
      </w:r>
      <w:bookmarkEnd w:id="6"/>
    </w:p>
    <w:p w14:paraId="6FA35513" w14:textId="1021A2BF" w:rsidR="00973C54" w:rsidRPr="004039E6" w:rsidRDefault="00B61C6D" w:rsidP="004039E6">
      <w:pPr>
        <w:pStyle w:val="enumlev1"/>
      </w:pPr>
      <w:r w:rsidRPr="004039E6">
        <w:t>•</w:t>
      </w:r>
      <w:r w:rsidRPr="004039E6">
        <w:tab/>
      </w:r>
      <w:hyperlink r:id="rId14" w:history="1">
        <w:r w:rsidR="004137CA" w:rsidRPr="005D3BE7">
          <w:rPr>
            <w:rStyle w:val="Hyperlink"/>
          </w:rPr>
          <w:t xml:space="preserve">Informe UIT–R </w:t>
        </w:r>
        <w:r w:rsidR="006B78D0" w:rsidRPr="005D3BE7">
          <w:rPr>
            <w:rStyle w:val="Hyperlink"/>
          </w:rPr>
          <w:t>M.2445</w:t>
        </w:r>
      </w:hyperlink>
      <w:r w:rsidR="006B78D0" w:rsidRPr="004039E6">
        <w:t xml:space="preserve"> – </w:t>
      </w:r>
      <w:r w:rsidR="004137CA" w:rsidRPr="004039E6">
        <w:rPr>
          <w:i/>
          <w:iCs/>
        </w:rPr>
        <w:t>Utilización de sist</w:t>
      </w:r>
      <w:r w:rsidR="00973C54" w:rsidRPr="004039E6">
        <w:rPr>
          <w:i/>
          <w:iCs/>
        </w:rPr>
        <w:t>emas de transporte inteligentes</w:t>
      </w:r>
      <w:r w:rsidR="006B78D0" w:rsidRPr="004039E6">
        <w:t xml:space="preserve"> </w:t>
      </w:r>
      <w:r w:rsidR="004137CA" w:rsidRPr="004039E6">
        <w:t>(STI)</w:t>
      </w:r>
      <w:r w:rsidR="006B78D0" w:rsidRPr="004039E6">
        <w:t xml:space="preserve"> – </w:t>
      </w:r>
      <w:r w:rsidR="004137CA" w:rsidRPr="004039E6">
        <w:t>identifica</w:t>
      </w:r>
      <w:r w:rsidR="00973C54" w:rsidRPr="004039E6">
        <w:t>,</w:t>
      </w:r>
      <w:r w:rsidR="004137CA" w:rsidRPr="004039E6">
        <w:t xml:space="preserve"> </w:t>
      </w:r>
      <w:r w:rsidR="00973C54" w:rsidRPr="004039E6">
        <w:t xml:space="preserve">en el ámbito de los STI, </w:t>
      </w:r>
      <w:r w:rsidR="004137CA" w:rsidRPr="004039E6">
        <w:t>tecnologías</w:t>
      </w:r>
      <w:r w:rsidR="00973C54" w:rsidRPr="004039E6">
        <w:t xml:space="preserve"> actuales y previstas</w:t>
      </w:r>
      <w:r w:rsidR="004137CA" w:rsidRPr="004039E6">
        <w:t xml:space="preserve">, bandas de frecuencias, situación de la normalización, aplicaciones y despliegues </w:t>
      </w:r>
      <w:r w:rsidR="00973C54" w:rsidRPr="004039E6">
        <w:t xml:space="preserve">para las </w:t>
      </w:r>
      <w:r w:rsidR="004137CA" w:rsidRPr="004039E6">
        <w:t xml:space="preserve">aplicaciones </w:t>
      </w:r>
      <w:r w:rsidR="00E26E37" w:rsidRPr="004039E6">
        <w:t xml:space="preserve">de </w:t>
      </w:r>
      <w:r w:rsidR="004137CA" w:rsidRPr="004039E6">
        <w:t>STI</w:t>
      </w:r>
      <w:r w:rsidR="006B78D0" w:rsidRPr="004039E6">
        <w:t>,</w:t>
      </w:r>
      <w:r w:rsidR="00973C54" w:rsidRPr="004039E6">
        <w:t xml:space="preserve"> tales como las comunicaciones </w:t>
      </w:r>
      <w:r w:rsidR="00B21589">
        <w:t>de</w:t>
      </w:r>
      <w:r w:rsidR="00973C54" w:rsidRPr="004039E6">
        <w:t xml:space="preserve"> vehículos e infraestructura</w:t>
      </w:r>
      <w:r w:rsidR="00B21589">
        <w:t>s, de vehículos a vehículos</w:t>
      </w:r>
      <w:r w:rsidR="00973C54" w:rsidRPr="004039E6">
        <w:t xml:space="preserve"> y </w:t>
      </w:r>
      <w:r w:rsidR="00B21589">
        <w:t>d</w:t>
      </w:r>
      <w:r w:rsidR="00973C54" w:rsidRPr="004039E6">
        <w:t xml:space="preserve">e vehículos </w:t>
      </w:r>
      <w:r w:rsidR="00B21589">
        <w:t>a</w:t>
      </w:r>
      <w:bookmarkStart w:id="7" w:name="_GoBack"/>
      <w:bookmarkEnd w:id="7"/>
      <w:r w:rsidR="00973C54" w:rsidRPr="004039E6">
        <w:t xml:space="preserve"> peatones </w:t>
      </w:r>
      <w:r w:rsidR="00E26E37" w:rsidRPr="004039E6">
        <w:t xml:space="preserve">para un tráfico más seguro </w:t>
      </w:r>
      <w:r w:rsidR="00973C54" w:rsidRPr="004039E6">
        <w:t xml:space="preserve">y </w:t>
      </w:r>
      <w:r w:rsidR="00E26E37" w:rsidRPr="004039E6">
        <w:t xml:space="preserve">facilitar </w:t>
      </w:r>
      <w:r w:rsidR="00973C54" w:rsidRPr="004039E6">
        <w:t>la eficiencia del mismo, así como sistemas de peaje electrónico y radares para automóviles para evitar colisiones. Este Informe señala que la banda de fr</w:t>
      </w:r>
      <w:r w:rsidR="00294350">
        <w:t>ecuencias 5 850-5 925 </w:t>
      </w:r>
      <w:r w:rsidR="00973C54" w:rsidRPr="004039E6">
        <w:t xml:space="preserve">MHz, o parte de la misma, ha sido diseñada en gran medida para </w:t>
      </w:r>
      <w:r w:rsidR="00E26E37" w:rsidRPr="004039E6">
        <w:t xml:space="preserve">la implantación de </w:t>
      </w:r>
      <w:r w:rsidR="00973C54" w:rsidRPr="004039E6">
        <w:t>STI en evolución de numerosas administraciones en las tres regiones.</w:t>
      </w:r>
    </w:p>
    <w:p w14:paraId="68039D8E" w14:textId="36781BF3" w:rsidR="006B78D0" w:rsidRPr="004039E6" w:rsidRDefault="008963A9" w:rsidP="004039E6">
      <w:r w:rsidRPr="004039E6">
        <w:t xml:space="preserve">El </w:t>
      </w:r>
      <w:r w:rsidR="00F6412C" w:rsidRPr="004039E6">
        <w:t xml:space="preserve">Informe </w:t>
      </w:r>
      <w:r w:rsidR="00E26E37" w:rsidRPr="004039E6">
        <w:t xml:space="preserve">de la Reunión Preparatoria de la Conferencia </w:t>
      </w:r>
      <w:r w:rsidR="006B78D0" w:rsidRPr="004039E6">
        <w:t>(</w:t>
      </w:r>
      <w:r w:rsidR="00E26E37" w:rsidRPr="004039E6">
        <w:t>RP</w:t>
      </w:r>
      <w:r w:rsidR="00F6412C">
        <w:t>C</w:t>
      </w:r>
      <w:r w:rsidR="006B78D0" w:rsidRPr="004039E6">
        <w:t xml:space="preserve">) </w:t>
      </w:r>
      <w:r w:rsidR="00E26E37" w:rsidRPr="004039E6">
        <w:t xml:space="preserve">a la CMR-19 presenta tres métodos para </w:t>
      </w:r>
      <w:r w:rsidRPr="004039E6">
        <w:t>satisfacer</w:t>
      </w:r>
      <w:r w:rsidR="00E26E37" w:rsidRPr="004039E6">
        <w:t xml:space="preserve"> este punto del orden del día</w:t>
      </w:r>
      <w:r w:rsidR="006B78D0" w:rsidRPr="004039E6">
        <w:t>:</w:t>
      </w:r>
    </w:p>
    <w:p w14:paraId="6DC040E7" w14:textId="77777777" w:rsidR="006B78D0" w:rsidRPr="004039E6" w:rsidRDefault="00D322E4" w:rsidP="004039E6">
      <w:pPr>
        <w:pStyle w:val="enumlev1"/>
      </w:pPr>
      <w:r w:rsidRPr="004039E6">
        <w:t>•</w:t>
      </w:r>
      <w:r w:rsidRPr="004039E6">
        <w:tab/>
      </w:r>
      <w:r w:rsidR="00B1748B" w:rsidRPr="004039E6">
        <w:t>Método A</w:t>
      </w:r>
      <w:r w:rsidR="000F4634" w:rsidRPr="004039E6">
        <w:t>: P</w:t>
      </w:r>
      <w:r w:rsidR="00B1748B" w:rsidRPr="004039E6">
        <w:t>ropone no modificar el Reglamento de Radiocomunicaciones</w:t>
      </w:r>
      <w:r w:rsidR="006B78D0" w:rsidRPr="004039E6">
        <w:t>;</w:t>
      </w:r>
    </w:p>
    <w:p w14:paraId="0386C27A" w14:textId="77777777" w:rsidR="000F4634" w:rsidRPr="004039E6" w:rsidRDefault="00D322E4" w:rsidP="004039E6">
      <w:pPr>
        <w:pStyle w:val="enumlev1"/>
        <w:rPr>
          <w:highlight w:val="green"/>
        </w:rPr>
      </w:pPr>
      <w:r w:rsidRPr="004039E6">
        <w:t>•</w:t>
      </w:r>
      <w:r w:rsidRPr="004039E6">
        <w:tab/>
      </w:r>
      <w:r w:rsidR="000F4634" w:rsidRPr="004039E6">
        <w:t>Método</w:t>
      </w:r>
      <w:r w:rsidR="006B78D0" w:rsidRPr="004039E6">
        <w:t xml:space="preserve"> B: </w:t>
      </w:r>
      <w:r w:rsidR="000F4634" w:rsidRPr="004039E6">
        <w:t xml:space="preserve">No modificar el cuadro de atribuciones de frecuencias del Reglamento de Radiocomunicaciones y </w:t>
      </w:r>
      <w:r w:rsidR="00E26E37" w:rsidRPr="004039E6">
        <w:t>crear</w:t>
      </w:r>
      <w:r w:rsidR="000F4634" w:rsidRPr="004039E6">
        <w:t xml:space="preserve"> una nueva Resolución de la CMR para instar a las </w:t>
      </w:r>
      <w:r w:rsidR="000F4634" w:rsidRPr="004039E6">
        <w:lastRenderedPageBreak/>
        <w:t>administraciones a utilizar las bandas de frecuencias armonizadas a escala mundial y regional para aplicaciones de STI. Otra(s) banda(s) de frecuencias armonizada(s) para aplicaciones de STI en evolución remiten a la versión más reciente d</w:t>
      </w:r>
      <w:r w:rsidR="00294350">
        <w:t>e la Recomendación UIT-R M.2121</w:t>
      </w:r>
      <w:r w:rsidR="000F4634" w:rsidRPr="004039E6">
        <w:t>; y</w:t>
      </w:r>
    </w:p>
    <w:p w14:paraId="63DF6CCE" w14:textId="77777777" w:rsidR="006B78D0" w:rsidRPr="004039E6" w:rsidRDefault="00D322E4" w:rsidP="004039E6">
      <w:pPr>
        <w:pStyle w:val="enumlev1"/>
      </w:pPr>
      <w:r w:rsidRPr="004039E6">
        <w:t>•</w:t>
      </w:r>
      <w:r w:rsidRPr="004039E6">
        <w:tab/>
      </w:r>
      <w:r w:rsidR="00202E1F" w:rsidRPr="004039E6">
        <w:t>Mét</w:t>
      </w:r>
      <w:r w:rsidR="006B78D0" w:rsidRPr="004039E6">
        <w:t>od</w:t>
      </w:r>
      <w:r w:rsidR="00202E1F" w:rsidRPr="004039E6">
        <w:t>o</w:t>
      </w:r>
      <w:r w:rsidR="006B78D0" w:rsidRPr="004039E6">
        <w:t xml:space="preserve"> C: </w:t>
      </w:r>
      <w:r w:rsidR="00202E1F" w:rsidRPr="004039E6">
        <w:t>No modificar el cuadro de atribuciones de frecuencias del Reglamento de Radiocomunicaciones y crear una nueva Resolución de la CMR para instar a las administraciones a utilizar las bandas de frecuencias armonizadas a escala mundial y regional para aplicaciones de STI en evolución, remitiendo a la versión más reciente de la Recomendación UIT-R M.2121.</w:t>
      </w:r>
    </w:p>
    <w:p w14:paraId="0D5DF44E" w14:textId="77777777" w:rsidR="006B78D0" w:rsidRPr="004039E6" w:rsidRDefault="00E26E37" w:rsidP="004039E6">
      <w:r w:rsidRPr="004039E6">
        <w:t>En todos los métodos se suprime la Resolución</w:t>
      </w:r>
      <w:r w:rsidR="006B78D0" w:rsidRPr="004039E6">
        <w:t xml:space="preserve"> </w:t>
      </w:r>
      <w:r w:rsidR="006B78D0" w:rsidRPr="004039E6">
        <w:rPr>
          <w:b/>
        </w:rPr>
        <w:t>237 (</w:t>
      </w:r>
      <w:r w:rsidRPr="004039E6">
        <w:rPr>
          <w:b/>
        </w:rPr>
        <w:t>CMR</w:t>
      </w:r>
      <w:r w:rsidR="006B78D0" w:rsidRPr="004039E6">
        <w:rPr>
          <w:b/>
        </w:rPr>
        <w:t>-15)</w:t>
      </w:r>
      <w:r w:rsidR="006B78D0" w:rsidRPr="004039E6">
        <w:t>.</w:t>
      </w:r>
    </w:p>
    <w:p w14:paraId="6872032A" w14:textId="77777777" w:rsidR="00E26E37" w:rsidRPr="004039E6" w:rsidRDefault="00E26E37" w:rsidP="004039E6">
      <w:r w:rsidRPr="004039E6">
        <w:t xml:space="preserve">La opinión de Australia es que la armonización de las aplicaciones de radiocomunicación no debería ser un requisito obligatorio </w:t>
      </w:r>
      <w:r w:rsidR="0055137E" w:rsidRPr="004039E6">
        <w:t>establecido en el R</w:t>
      </w:r>
      <w:r w:rsidRPr="004039E6">
        <w:t xml:space="preserve">eglamento de Radiocomunicaciones </w:t>
      </w:r>
      <w:r w:rsidR="008963A9" w:rsidRPr="004039E6">
        <w:t>ni</w:t>
      </w:r>
      <w:r w:rsidRPr="004039E6">
        <w:t xml:space="preserve"> debería especificarse en</w:t>
      </w:r>
      <w:r w:rsidR="008963A9" w:rsidRPr="004039E6">
        <w:t xml:space="preserve"> una R</w:t>
      </w:r>
      <w:r w:rsidRPr="004039E6">
        <w:t>esolución del UIT-R</w:t>
      </w:r>
      <w:r w:rsidR="0055137E" w:rsidRPr="004039E6">
        <w:t>. La armonización del espectro puede lograrse más fácilmente a través de la elaboraci</w:t>
      </w:r>
      <w:r w:rsidR="008963A9" w:rsidRPr="004039E6">
        <w:t>ón de R</w:t>
      </w:r>
      <w:r w:rsidR="0055137E" w:rsidRPr="004039E6">
        <w:t>ecomendaciones UIT-R apoyadas por los Informes UIT-R pertinentes ya sean nuevos o revisado</w:t>
      </w:r>
      <w:r w:rsidR="008963A9" w:rsidRPr="004039E6">
        <w:t>s</w:t>
      </w:r>
      <w:r w:rsidR="0055137E" w:rsidRPr="004039E6">
        <w:t>. Ello permite tener la flexibilidad necesaria para las aplicaciones de STI en evolución.</w:t>
      </w:r>
    </w:p>
    <w:p w14:paraId="78F05040" w14:textId="77777777" w:rsidR="0055137E" w:rsidRPr="004039E6" w:rsidRDefault="0055137E" w:rsidP="004039E6">
      <w:r w:rsidRPr="004039E6">
        <w:t xml:space="preserve">Además, la selección de la tecnología preferida para los STI es una cuestión que concierne exclusivamente a las administraciones nacionales y queda fuera del alcance de la Resolución </w:t>
      </w:r>
      <w:r w:rsidRPr="004039E6">
        <w:rPr>
          <w:b/>
          <w:bCs/>
        </w:rPr>
        <w:t>237 (CMR-15)</w:t>
      </w:r>
      <w:r w:rsidRPr="004039E6">
        <w:t xml:space="preserve">. </w:t>
      </w:r>
      <w:r w:rsidR="008963A9" w:rsidRPr="004039E6">
        <w:t>Es una cuestión que</w:t>
      </w:r>
      <w:r w:rsidRPr="004039E6">
        <w:t xml:space="preserve"> no debería abordarse en ninguna potencial Reso</w:t>
      </w:r>
      <w:r w:rsidR="00294350">
        <w:t>lución o Recomendación UIT</w:t>
      </w:r>
      <w:r w:rsidR="00294350">
        <w:noBreakHyphen/>
        <w:t>R.</w:t>
      </w:r>
    </w:p>
    <w:p w14:paraId="364399F7" w14:textId="77777777" w:rsidR="006B78D0" w:rsidRPr="004039E6" w:rsidRDefault="0084786F" w:rsidP="004039E6">
      <w:pPr>
        <w:pStyle w:val="Heading1"/>
      </w:pPr>
      <w:r w:rsidRPr="004039E6">
        <w:t>2</w:t>
      </w:r>
      <w:r w:rsidRPr="004039E6">
        <w:tab/>
        <w:t>Propuestas</w:t>
      </w:r>
    </w:p>
    <w:p w14:paraId="5A76762A" w14:textId="77777777" w:rsidR="00363A65" w:rsidRPr="004039E6" w:rsidRDefault="006B78D0" w:rsidP="004039E6">
      <w:r w:rsidRPr="004039E6">
        <w:t>Australia propo</w:t>
      </w:r>
      <w:r w:rsidR="0055137E" w:rsidRPr="004039E6">
        <w:t>ne que no se realicen cambios reglamentarios en relación con este punto del orden del día, tal como se indica a continuación</w:t>
      </w:r>
      <w:r w:rsidRPr="004039E6">
        <w:t>:</w:t>
      </w:r>
    </w:p>
    <w:p w14:paraId="0DA01682" w14:textId="77777777" w:rsidR="008750A8" w:rsidRPr="004039E6" w:rsidRDefault="008750A8" w:rsidP="004039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039E6">
        <w:br w:type="page"/>
      </w:r>
    </w:p>
    <w:p w14:paraId="518C2642" w14:textId="77777777" w:rsidR="00947F9A" w:rsidRPr="004039E6" w:rsidRDefault="00B61C6D" w:rsidP="004039E6">
      <w:pPr>
        <w:pStyle w:val="Proposal"/>
      </w:pPr>
      <w:r w:rsidRPr="004039E6">
        <w:rPr>
          <w:u w:val="single"/>
        </w:rPr>
        <w:lastRenderedPageBreak/>
        <w:t>NOC</w:t>
      </w:r>
      <w:r w:rsidRPr="004039E6">
        <w:tab/>
        <w:t>AUS/47A12/1</w:t>
      </w:r>
    </w:p>
    <w:p w14:paraId="08A49230" w14:textId="790157EB" w:rsidR="00947F9A" w:rsidRPr="00EB6878" w:rsidRDefault="00EB6878" w:rsidP="004039E6">
      <w:pPr>
        <w:pStyle w:val="Volumetitle"/>
        <w:rPr>
          <w:b/>
          <w:bCs/>
        </w:rPr>
      </w:pPr>
      <w:r w:rsidRPr="00EB6878">
        <w:rPr>
          <w:b/>
          <w:bCs/>
        </w:rPr>
        <w:t>ARTÍCULOS</w:t>
      </w:r>
    </w:p>
    <w:p w14:paraId="2C88F79B" w14:textId="77777777" w:rsidR="00947F9A" w:rsidRPr="004039E6" w:rsidRDefault="00B61C6D" w:rsidP="004039E6">
      <w:pPr>
        <w:pStyle w:val="Reasons"/>
      </w:pPr>
      <w:r w:rsidRPr="004039E6">
        <w:rPr>
          <w:b/>
        </w:rPr>
        <w:t>Motivos:</w:t>
      </w:r>
      <w:r w:rsidRPr="004039E6">
        <w:tab/>
      </w:r>
      <w:r w:rsidR="00202E1F" w:rsidRPr="004039E6">
        <w:t xml:space="preserve">No </w:t>
      </w:r>
      <w:r w:rsidR="0055137E" w:rsidRPr="004039E6">
        <w:t>es adecuado o necesario modificar ARTÍCULOS del Volumen 1 del Reglamento de Radiocomunicaciones para satisfacer este punto del orden del día</w:t>
      </w:r>
      <w:r w:rsidR="00202E1F" w:rsidRPr="004039E6">
        <w:t>.</w:t>
      </w:r>
    </w:p>
    <w:p w14:paraId="1D8FC9AE" w14:textId="77777777" w:rsidR="00947F9A" w:rsidRPr="004039E6" w:rsidRDefault="00B61C6D" w:rsidP="004039E6">
      <w:pPr>
        <w:pStyle w:val="Proposal"/>
      </w:pPr>
      <w:r w:rsidRPr="004039E6">
        <w:rPr>
          <w:u w:val="single"/>
        </w:rPr>
        <w:t>NOC</w:t>
      </w:r>
      <w:r w:rsidRPr="004039E6">
        <w:tab/>
        <w:t>AUS/47A12/2</w:t>
      </w:r>
    </w:p>
    <w:p w14:paraId="3038DFEB" w14:textId="77777777" w:rsidR="00947F9A" w:rsidRPr="000205D7" w:rsidRDefault="004B7587" w:rsidP="004039E6">
      <w:pPr>
        <w:pStyle w:val="Volumetitle"/>
        <w:rPr>
          <w:b/>
        </w:rPr>
      </w:pPr>
      <w:r w:rsidRPr="000205D7">
        <w:rPr>
          <w:b/>
        </w:rPr>
        <w:t>APÉNDICES</w:t>
      </w:r>
    </w:p>
    <w:p w14:paraId="10F30DB2" w14:textId="77777777" w:rsidR="0055137E" w:rsidRPr="004039E6" w:rsidRDefault="00B61C6D" w:rsidP="004039E6">
      <w:pPr>
        <w:pStyle w:val="Reasons"/>
      </w:pPr>
      <w:r w:rsidRPr="004039E6">
        <w:rPr>
          <w:b/>
        </w:rPr>
        <w:t>Motivos:</w:t>
      </w:r>
      <w:r w:rsidRPr="004039E6">
        <w:tab/>
      </w:r>
      <w:r w:rsidR="0055137E" w:rsidRPr="004039E6">
        <w:t>No es adecuado o necesario modificar APÉNDICES del Volumen 2 del Reglamento de Radiocomunicaciones para satisfacer este punto del orden del día</w:t>
      </w:r>
      <w:r w:rsidR="00294350">
        <w:t>.</w:t>
      </w:r>
    </w:p>
    <w:p w14:paraId="5761188A" w14:textId="77777777" w:rsidR="00947F9A" w:rsidRPr="004039E6" w:rsidRDefault="00B61C6D" w:rsidP="004039E6">
      <w:pPr>
        <w:pStyle w:val="Proposal"/>
      </w:pPr>
      <w:r w:rsidRPr="004039E6">
        <w:t>SUP</w:t>
      </w:r>
      <w:r w:rsidRPr="004039E6">
        <w:tab/>
        <w:t>AUS/47A12/3</w:t>
      </w:r>
    </w:p>
    <w:p w14:paraId="42F74CC9" w14:textId="77777777" w:rsidR="007B7DBC" w:rsidRPr="004039E6" w:rsidRDefault="00B61C6D" w:rsidP="004039E6">
      <w:pPr>
        <w:pStyle w:val="ResNo"/>
      </w:pPr>
      <w:r w:rsidRPr="004039E6">
        <w:t xml:space="preserve">RESOLUCIÓN </w:t>
      </w:r>
      <w:r w:rsidRPr="004039E6">
        <w:rPr>
          <w:rStyle w:val="href"/>
        </w:rPr>
        <w:t>237</w:t>
      </w:r>
      <w:r w:rsidRPr="004039E6">
        <w:t xml:space="preserve"> (CMR-15)</w:t>
      </w:r>
    </w:p>
    <w:p w14:paraId="24498F04" w14:textId="77777777" w:rsidR="007B7DBC" w:rsidRPr="004039E6" w:rsidRDefault="00B61C6D" w:rsidP="004039E6">
      <w:pPr>
        <w:pStyle w:val="Restitle"/>
        <w:rPr>
          <w:lang w:eastAsia="ja-JP"/>
        </w:rPr>
      </w:pPr>
      <w:r w:rsidRPr="004039E6">
        <w:rPr>
          <w:lang w:eastAsia="ja-JP"/>
        </w:rPr>
        <w:t>Aplicaciones de los sistemas de transporte inteligentes</w:t>
      </w:r>
    </w:p>
    <w:p w14:paraId="350057AF" w14:textId="77777777" w:rsidR="00294350" w:rsidRPr="004039E6" w:rsidRDefault="00B61C6D" w:rsidP="00FC6067">
      <w:pPr>
        <w:pStyle w:val="Reasons"/>
      </w:pPr>
      <w:r w:rsidRPr="004039E6">
        <w:rPr>
          <w:b/>
        </w:rPr>
        <w:t>Motivos:</w:t>
      </w:r>
      <w:r w:rsidRPr="004039E6">
        <w:tab/>
      </w:r>
      <w:r w:rsidR="008963A9" w:rsidRPr="004039E6">
        <w:t>No</w:t>
      </w:r>
      <w:r w:rsidR="0055137E" w:rsidRPr="004039E6">
        <w:t xml:space="preserve"> es necesaria después de la CMR</w:t>
      </w:r>
      <w:r w:rsidR="00202E1F" w:rsidRPr="004039E6">
        <w:t>-19.</w:t>
      </w:r>
    </w:p>
    <w:p w14:paraId="69309622" w14:textId="77777777" w:rsidR="00947F9A" w:rsidRPr="004039E6" w:rsidRDefault="00202E1F" w:rsidP="004039E6">
      <w:pPr>
        <w:jc w:val="center"/>
      </w:pPr>
      <w:r w:rsidRPr="004039E6">
        <w:t>______________</w:t>
      </w:r>
    </w:p>
    <w:sectPr w:rsidR="00947F9A" w:rsidRPr="004039E6"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55ECB" w14:textId="77777777" w:rsidR="003C0613" w:rsidRDefault="003C0613">
      <w:r>
        <w:separator/>
      </w:r>
    </w:p>
  </w:endnote>
  <w:endnote w:type="continuationSeparator" w:id="0">
    <w:p w14:paraId="37830F3B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B39F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0CB7EA" w14:textId="55F7113A" w:rsidR="0077084A" w:rsidRPr="00F6412C" w:rsidRDefault="0077084A">
    <w:pPr>
      <w:ind w:right="360"/>
    </w:pPr>
    <w:r>
      <w:fldChar w:fldCharType="begin"/>
    </w:r>
    <w:r w:rsidRPr="00F6412C">
      <w:instrText xml:space="preserve"> FILENAME \p  \* MERGEFORMAT </w:instrText>
    </w:r>
    <w:r>
      <w:fldChar w:fldCharType="separate"/>
    </w:r>
    <w:r w:rsidR="00F6412C">
      <w:rPr>
        <w:noProof/>
      </w:rPr>
      <w:t>P:\ESP\ITU-R\CONF-R\CMR19\000\047ADD12S.docx</w:t>
    </w:r>
    <w:r>
      <w:fldChar w:fldCharType="end"/>
    </w:r>
    <w:r w:rsidRPr="00F6412C">
      <w:tab/>
    </w:r>
    <w:r>
      <w:fldChar w:fldCharType="begin"/>
    </w:r>
    <w:r>
      <w:instrText xml:space="preserve"> SAVEDATE \@ DD.MM.YY </w:instrText>
    </w:r>
    <w:r>
      <w:fldChar w:fldCharType="separate"/>
    </w:r>
    <w:r w:rsidR="00EB6878">
      <w:rPr>
        <w:noProof/>
      </w:rPr>
      <w:t>24.10.19</w:t>
    </w:r>
    <w:r>
      <w:fldChar w:fldCharType="end"/>
    </w:r>
    <w:r w:rsidRPr="00F6412C">
      <w:tab/>
    </w:r>
    <w:r>
      <w:fldChar w:fldCharType="begin"/>
    </w:r>
    <w:r>
      <w:instrText xml:space="preserve"> PRINTDATE \@ DD.MM.YY </w:instrText>
    </w:r>
    <w:r>
      <w:fldChar w:fldCharType="separate"/>
    </w:r>
    <w:r w:rsidR="00F6412C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CD74" w14:textId="025B6AAD" w:rsidR="0077084A" w:rsidRPr="00294350" w:rsidRDefault="00B21589" w:rsidP="0029435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6412C">
      <w:t>P:\ESP\ITU-R\CONF-R\CMR19\000\047ADD12S.docx</w:t>
    </w:r>
    <w:r>
      <w:fldChar w:fldCharType="end"/>
    </w:r>
    <w:r w:rsidR="00294350">
      <w:t xml:space="preserve"> (461943)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D5782" w14:textId="214597B1" w:rsidR="0077084A" w:rsidRPr="00800764" w:rsidRDefault="00B21589" w:rsidP="0080076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6412C">
      <w:t>P:\ESP\ITU-R\CONF-R\CMR19\000\047ADD12S.docx</w:t>
    </w:r>
    <w:r>
      <w:fldChar w:fldCharType="end"/>
    </w:r>
    <w:r w:rsidR="00800764">
      <w:t xml:space="preserve"> (461943)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5AF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E1BDE6C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1F11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60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8A09A5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47(Add.12)-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458967E4"/>
    <w:multiLevelType w:val="hybridMultilevel"/>
    <w:tmpl w:val="A20C42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9A7E38">
      <w:numFmt w:val="bullet"/>
      <w:lvlText w:val="−"/>
      <w:lvlJc w:val="left"/>
      <w:pPr>
        <w:ind w:left="1860" w:hanging="114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DC1CC2"/>
    <w:multiLevelType w:val="hybridMultilevel"/>
    <w:tmpl w:val="0A9E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05D7"/>
    <w:rsid w:val="0002785D"/>
    <w:rsid w:val="00087AE8"/>
    <w:rsid w:val="000A5B9A"/>
    <w:rsid w:val="000E5BF9"/>
    <w:rsid w:val="000F0E6D"/>
    <w:rsid w:val="000F4634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D48A1"/>
    <w:rsid w:val="001E2B52"/>
    <w:rsid w:val="001E3F27"/>
    <w:rsid w:val="001E7D42"/>
    <w:rsid w:val="001F7517"/>
    <w:rsid w:val="00202E1F"/>
    <w:rsid w:val="0023659C"/>
    <w:rsid w:val="00236D2A"/>
    <w:rsid w:val="0024569E"/>
    <w:rsid w:val="00255F12"/>
    <w:rsid w:val="00262C09"/>
    <w:rsid w:val="00294350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039E6"/>
    <w:rsid w:val="004137CA"/>
    <w:rsid w:val="00440B3A"/>
    <w:rsid w:val="0044375A"/>
    <w:rsid w:val="0045384C"/>
    <w:rsid w:val="004539D6"/>
    <w:rsid w:val="00454553"/>
    <w:rsid w:val="00472A86"/>
    <w:rsid w:val="004B124A"/>
    <w:rsid w:val="004B3095"/>
    <w:rsid w:val="004B7587"/>
    <w:rsid w:val="004C4BDA"/>
    <w:rsid w:val="004D17AA"/>
    <w:rsid w:val="004D2C7C"/>
    <w:rsid w:val="004D75D1"/>
    <w:rsid w:val="005133B5"/>
    <w:rsid w:val="00524392"/>
    <w:rsid w:val="00532097"/>
    <w:rsid w:val="0055137E"/>
    <w:rsid w:val="0058350F"/>
    <w:rsid w:val="00583C7E"/>
    <w:rsid w:val="0059098E"/>
    <w:rsid w:val="005D3BE7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B78D0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64"/>
    <w:rsid w:val="0084786F"/>
    <w:rsid w:val="00866AE6"/>
    <w:rsid w:val="008750A8"/>
    <w:rsid w:val="008963A9"/>
    <w:rsid w:val="008D3316"/>
    <w:rsid w:val="008E5AF2"/>
    <w:rsid w:val="0090121B"/>
    <w:rsid w:val="009144C9"/>
    <w:rsid w:val="0094091F"/>
    <w:rsid w:val="00947F9A"/>
    <w:rsid w:val="00962171"/>
    <w:rsid w:val="00973754"/>
    <w:rsid w:val="00973C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1748B"/>
    <w:rsid w:val="00B21589"/>
    <w:rsid w:val="00B239FA"/>
    <w:rsid w:val="00B372AB"/>
    <w:rsid w:val="00B47331"/>
    <w:rsid w:val="00B52D55"/>
    <w:rsid w:val="00B61C6D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322E4"/>
    <w:rsid w:val="00D64F3B"/>
    <w:rsid w:val="00D72A5D"/>
    <w:rsid w:val="00DA71A3"/>
    <w:rsid w:val="00DC629B"/>
    <w:rsid w:val="00DE1C31"/>
    <w:rsid w:val="00E05BFF"/>
    <w:rsid w:val="00E262F1"/>
    <w:rsid w:val="00E26E37"/>
    <w:rsid w:val="00E3176A"/>
    <w:rsid w:val="00E36CE4"/>
    <w:rsid w:val="00E54754"/>
    <w:rsid w:val="00E56BD3"/>
    <w:rsid w:val="00E71D14"/>
    <w:rsid w:val="00EA77F0"/>
    <w:rsid w:val="00EB6878"/>
    <w:rsid w:val="00ED0869"/>
    <w:rsid w:val="00F32316"/>
    <w:rsid w:val="00F6412C"/>
    <w:rsid w:val="00F66597"/>
    <w:rsid w:val="00F675D0"/>
    <w:rsid w:val="00F8150C"/>
    <w:rsid w:val="00FC6067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A6D6CBE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character" w:styleId="Hyperlink">
    <w:name w:val="Hyperlink"/>
    <w:aliases w:val="超级链接,CEO_Hyperlink"/>
    <w:basedOn w:val="DefaultParagraphFont"/>
    <w:uiPriority w:val="99"/>
    <w:unhideWhenUsed/>
    <w:rsid w:val="006B78D0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qFormat/>
    <w:rsid w:val="006B78D0"/>
    <w:rPr>
      <w:rFonts w:ascii="Times New Roman" w:hAnsi="Times New Roman"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1F75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dms_pubrec/itu-r/rec/m/R-REC-M.2121-0-201901-I!!PDF-S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pub/itu-r/opb/rep/R-REP-M.2445-2018-PDF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25493-549B-46A1-A77A-E96B984F7329}">
  <ds:schemaRefs>
    <ds:schemaRef ds:uri="http://schemas.microsoft.com/office/2006/documentManagement/types"/>
    <ds:schemaRef ds:uri="http://www.w3.org/XML/1998/namespace"/>
    <ds:schemaRef ds:uri="32a1a8c5-2265-4ebc-b7a0-2071e2c5c9b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D09DC40-E95A-40DA-A79F-BE3CFEC5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R16-WRC19-C-0047!A12!MSW-S</vt:lpstr>
    </vt:vector>
  </TitlesOfParts>
  <Manager>Secretaría General - Pool</Manager>
  <Company>Unión Internacional de Telecomunicaciones (UIT)</Company>
  <LinksUpToDate>false</LinksUpToDate>
  <CharactersWithSpaces>4701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R16-WRC19-C-0047!A12!MSW-S</dc:title>
  <dc:subject>Conferencia Mundial de Radiocomunicaciones - 2019</dc:subject>
  <dc:creator>Documents Proposals Manager (DPM)</dc:creator>
  <cp:keywords>DPM_v2019.10.14.1_prod</cp:keywords>
  <dc:description/>
  <cp:lastModifiedBy>Spanish</cp:lastModifiedBy>
  <cp:revision>11</cp:revision>
  <cp:lastPrinted>2019-10-24T10:42:00Z</cp:lastPrinted>
  <dcterms:created xsi:type="dcterms:W3CDTF">2019-10-24T04:17:00Z</dcterms:created>
  <dcterms:modified xsi:type="dcterms:W3CDTF">2019-10-24T11:34:00Z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