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17CF5" w14:paraId="5E3AE0F5" w14:textId="77777777" w:rsidTr="0050008E">
        <w:trPr>
          <w:cantSplit/>
        </w:trPr>
        <w:tc>
          <w:tcPr>
            <w:tcW w:w="6911" w:type="dxa"/>
          </w:tcPr>
          <w:p w14:paraId="141EFCC2" w14:textId="77777777" w:rsidR="00BB1D82" w:rsidRPr="00117CF5" w:rsidRDefault="00851625" w:rsidP="00A27B9B">
            <w:pPr>
              <w:spacing w:before="400" w:after="48"/>
              <w:rPr>
                <w:rFonts w:ascii="Verdana" w:hAnsi="Verdana"/>
                <w:b/>
                <w:bCs/>
                <w:sz w:val="20"/>
              </w:rPr>
            </w:pPr>
            <w:r w:rsidRPr="00117CF5">
              <w:rPr>
                <w:rFonts w:ascii="Verdana" w:hAnsi="Verdana"/>
                <w:b/>
                <w:bCs/>
                <w:sz w:val="20"/>
              </w:rPr>
              <w:t>Conférence mondiale des radiocommunications (CMR-1</w:t>
            </w:r>
            <w:r w:rsidR="00FD7AA3" w:rsidRPr="00117CF5">
              <w:rPr>
                <w:rFonts w:ascii="Verdana" w:hAnsi="Verdana"/>
                <w:b/>
                <w:bCs/>
                <w:sz w:val="20"/>
              </w:rPr>
              <w:t>9</w:t>
            </w:r>
            <w:r w:rsidRPr="00117CF5">
              <w:rPr>
                <w:rFonts w:ascii="Verdana" w:hAnsi="Verdana"/>
                <w:b/>
                <w:bCs/>
                <w:sz w:val="20"/>
              </w:rPr>
              <w:t>)</w:t>
            </w:r>
            <w:r w:rsidRPr="00117CF5">
              <w:rPr>
                <w:rFonts w:ascii="Verdana" w:hAnsi="Verdana"/>
                <w:b/>
                <w:bCs/>
                <w:sz w:val="20"/>
              </w:rPr>
              <w:br/>
            </w:r>
            <w:r w:rsidR="00063A1F" w:rsidRPr="00117CF5">
              <w:rPr>
                <w:rFonts w:ascii="Verdana" w:hAnsi="Verdana"/>
                <w:b/>
                <w:bCs/>
                <w:sz w:val="18"/>
                <w:szCs w:val="18"/>
              </w:rPr>
              <w:t xml:space="preserve">Charm el-Cheikh, </w:t>
            </w:r>
            <w:r w:rsidR="00081366" w:rsidRPr="00117CF5">
              <w:rPr>
                <w:rFonts w:ascii="Verdana" w:hAnsi="Verdana"/>
                <w:b/>
                <w:bCs/>
                <w:sz w:val="18"/>
                <w:szCs w:val="18"/>
              </w:rPr>
              <w:t>É</w:t>
            </w:r>
            <w:r w:rsidR="00063A1F" w:rsidRPr="00117CF5">
              <w:rPr>
                <w:rFonts w:ascii="Verdana" w:hAnsi="Verdana"/>
                <w:b/>
                <w:bCs/>
                <w:sz w:val="18"/>
                <w:szCs w:val="18"/>
              </w:rPr>
              <w:t>gypte</w:t>
            </w:r>
            <w:r w:rsidRPr="00117CF5">
              <w:rPr>
                <w:rFonts w:ascii="Verdana" w:hAnsi="Verdana"/>
                <w:b/>
                <w:bCs/>
                <w:sz w:val="18"/>
                <w:szCs w:val="18"/>
              </w:rPr>
              <w:t>,</w:t>
            </w:r>
            <w:r w:rsidR="00E537FF" w:rsidRPr="00117CF5">
              <w:rPr>
                <w:rFonts w:ascii="Verdana" w:hAnsi="Verdana"/>
                <w:b/>
                <w:bCs/>
                <w:sz w:val="18"/>
                <w:szCs w:val="18"/>
              </w:rPr>
              <w:t xml:space="preserve"> </w:t>
            </w:r>
            <w:r w:rsidRPr="00117CF5">
              <w:rPr>
                <w:rFonts w:ascii="Verdana" w:hAnsi="Verdana"/>
                <w:b/>
                <w:bCs/>
                <w:sz w:val="18"/>
                <w:szCs w:val="18"/>
              </w:rPr>
              <w:t>2</w:t>
            </w:r>
            <w:r w:rsidR="00FD7AA3" w:rsidRPr="00117CF5">
              <w:rPr>
                <w:rFonts w:ascii="Verdana" w:hAnsi="Verdana"/>
                <w:b/>
                <w:bCs/>
                <w:sz w:val="18"/>
                <w:szCs w:val="18"/>
              </w:rPr>
              <w:t xml:space="preserve">8 octobre </w:t>
            </w:r>
            <w:r w:rsidR="00F10064" w:rsidRPr="00117CF5">
              <w:rPr>
                <w:rFonts w:ascii="Verdana" w:hAnsi="Verdana"/>
                <w:b/>
                <w:bCs/>
                <w:sz w:val="18"/>
                <w:szCs w:val="18"/>
              </w:rPr>
              <w:t>–</w:t>
            </w:r>
            <w:r w:rsidR="00FD7AA3" w:rsidRPr="00117CF5">
              <w:rPr>
                <w:rFonts w:ascii="Verdana" w:hAnsi="Verdana"/>
                <w:b/>
                <w:bCs/>
                <w:sz w:val="18"/>
                <w:szCs w:val="18"/>
              </w:rPr>
              <w:t xml:space="preserve"> </w:t>
            </w:r>
            <w:r w:rsidRPr="00117CF5">
              <w:rPr>
                <w:rFonts w:ascii="Verdana" w:hAnsi="Verdana"/>
                <w:b/>
                <w:bCs/>
                <w:sz w:val="18"/>
                <w:szCs w:val="18"/>
              </w:rPr>
              <w:t>2</w:t>
            </w:r>
            <w:r w:rsidR="00FD7AA3" w:rsidRPr="00117CF5">
              <w:rPr>
                <w:rFonts w:ascii="Verdana" w:hAnsi="Verdana"/>
                <w:b/>
                <w:bCs/>
                <w:sz w:val="18"/>
                <w:szCs w:val="18"/>
              </w:rPr>
              <w:t>2</w:t>
            </w:r>
            <w:r w:rsidRPr="00117CF5">
              <w:rPr>
                <w:rFonts w:ascii="Verdana" w:hAnsi="Verdana"/>
                <w:b/>
                <w:bCs/>
                <w:sz w:val="18"/>
                <w:szCs w:val="18"/>
              </w:rPr>
              <w:t xml:space="preserve"> novembre 201</w:t>
            </w:r>
            <w:r w:rsidR="00FD7AA3" w:rsidRPr="00117CF5">
              <w:rPr>
                <w:rFonts w:ascii="Verdana" w:hAnsi="Verdana"/>
                <w:b/>
                <w:bCs/>
                <w:sz w:val="18"/>
                <w:szCs w:val="18"/>
              </w:rPr>
              <w:t>9</w:t>
            </w:r>
          </w:p>
        </w:tc>
        <w:tc>
          <w:tcPr>
            <w:tcW w:w="3120" w:type="dxa"/>
          </w:tcPr>
          <w:p w14:paraId="03D35A46" w14:textId="77777777" w:rsidR="00BB1D82" w:rsidRPr="00117CF5" w:rsidRDefault="000A55AE" w:rsidP="00A27B9B">
            <w:pPr>
              <w:spacing w:before="0"/>
              <w:jc w:val="right"/>
            </w:pPr>
            <w:r w:rsidRPr="00117CF5">
              <w:rPr>
                <w:rFonts w:ascii="Verdana" w:hAnsi="Verdana"/>
                <w:b/>
                <w:bCs/>
                <w:noProof/>
                <w:lang w:eastAsia="fr-CH"/>
              </w:rPr>
              <w:drawing>
                <wp:inline distT="0" distB="0" distL="0" distR="0" wp14:anchorId="723423F7" wp14:editId="5554A68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17CF5" w14:paraId="3E10C4DC" w14:textId="77777777" w:rsidTr="0050008E">
        <w:trPr>
          <w:cantSplit/>
        </w:trPr>
        <w:tc>
          <w:tcPr>
            <w:tcW w:w="6911" w:type="dxa"/>
            <w:tcBorders>
              <w:bottom w:val="single" w:sz="12" w:space="0" w:color="auto"/>
            </w:tcBorders>
          </w:tcPr>
          <w:p w14:paraId="13D4F352" w14:textId="77777777" w:rsidR="00BB1D82" w:rsidRPr="00117CF5" w:rsidRDefault="00BB1D82" w:rsidP="00A27B9B">
            <w:pPr>
              <w:spacing w:before="0" w:after="48"/>
              <w:rPr>
                <w:b/>
                <w:smallCaps/>
                <w:szCs w:val="24"/>
              </w:rPr>
            </w:pPr>
            <w:bookmarkStart w:id="0" w:name="dhead"/>
          </w:p>
        </w:tc>
        <w:tc>
          <w:tcPr>
            <w:tcW w:w="3120" w:type="dxa"/>
            <w:tcBorders>
              <w:bottom w:val="single" w:sz="12" w:space="0" w:color="auto"/>
            </w:tcBorders>
          </w:tcPr>
          <w:p w14:paraId="6B873BDF" w14:textId="77777777" w:rsidR="00BB1D82" w:rsidRPr="00117CF5" w:rsidRDefault="00BB1D82" w:rsidP="00A27B9B">
            <w:pPr>
              <w:spacing w:before="0"/>
              <w:rPr>
                <w:rFonts w:ascii="Verdana" w:hAnsi="Verdana"/>
                <w:szCs w:val="24"/>
              </w:rPr>
            </w:pPr>
          </w:p>
        </w:tc>
      </w:tr>
      <w:tr w:rsidR="00BB1D82" w:rsidRPr="00117CF5" w14:paraId="56E900AB" w14:textId="77777777" w:rsidTr="00BB1D82">
        <w:trPr>
          <w:cantSplit/>
        </w:trPr>
        <w:tc>
          <w:tcPr>
            <w:tcW w:w="6911" w:type="dxa"/>
            <w:tcBorders>
              <w:top w:val="single" w:sz="12" w:space="0" w:color="auto"/>
            </w:tcBorders>
          </w:tcPr>
          <w:p w14:paraId="245D06A9" w14:textId="77777777" w:rsidR="00BB1D82" w:rsidRPr="00117CF5" w:rsidRDefault="00BB1D82" w:rsidP="00A27B9B">
            <w:pPr>
              <w:spacing w:before="0" w:after="48"/>
              <w:rPr>
                <w:rFonts w:ascii="Verdana" w:hAnsi="Verdana"/>
                <w:b/>
                <w:smallCaps/>
                <w:sz w:val="20"/>
              </w:rPr>
            </w:pPr>
          </w:p>
        </w:tc>
        <w:tc>
          <w:tcPr>
            <w:tcW w:w="3120" w:type="dxa"/>
            <w:tcBorders>
              <w:top w:val="single" w:sz="12" w:space="0" w:color="auto"/>
            </w:tcBorders>
          </w:tcPr>
          <w:p w14:paraId="1FD559F6" w14:textId="77777777" w:rsidR="00BB1D82" w:rsidRPr="00117CF5" w:rsidRDefault="00BB1D82" w:rsidP="00A27B9B">
            <w:pPr>
              <w:spacing w:before="0"/>
              <w:rPr>
                <w:rFonts w:ascii="Verdana" w:hAnsi="Verdana"/>
                <w:sz w:val="20"/>
              </w:rPr>
            </w:pPr>
          </w:p>
        </w:tc>
      </w:tr>
      <w:tr w:rsidR="00BB1D82" w:rsidRPr="00117CF5" w14:paraId="2A0AA169" w14:textId="77777777" w:rsidTr="00BB1D82">
        <w:trPr>
          <w:cantSplit/>
        </w:trPr>
        <w:tc>
          <w:tcPr>
            <w:tcW w:w="6911" w:type="dxa"/>
          </w:tcPr>
          <w:p w14:paraId="43CB72D8" w14:textId="77777777" w:rsidR="00BB1D82" w:rsidRPr="00117CF5" w:rsidRDefault="006D4724" w:rsidP="00A27B9B">
            <w:pPr>
              <w:spacing w:before="0"/>
              <w:rPr>
                <w:rFonts w:ascii="Verdana" w:hAnsi="Verdana"/>
                <w:b/>
                <w:sz w:val="20"/>
              </w:rPr>
            </w:pPr>
            <w:r w:rsidRPr="00117CF5">
              <w:rPr>
                <w:rFonts w:ascii="Verdana" w:hAnsi="Verdana"/>
                <w:b/>
                <w:sz w:val="20"/>
              </w:rPr>
              <w:t>SÉANCE PLÉNIÈRE</w:t>
            </w:r>
          </w:p>
        </w:tc>
        <w:tc>
          <w:tcPr>
            <w:tcW w:w="3120" w:type="dxa"/>
          </w:tcPr>
          <w:p w14:paraId="6F019053" w14:textId="77777777" w:rsidR="00BB1D82" w:rsidRPr="00117CF5" w:rsidRDefault="006D4724" w:rsidP="00A27B9B">
            <w:pPr>
              <w:spacing w:before="0"/>
              <w:rPr>
                <w:rFonts w:ascii="Verdana" w:hAnsi="Verdana"/>
                <w:sz w:val="20"/>
              </w:rPr>
            </w:pPr>
            <w:r w:rsidRPr="00117CF5">
              <w:rPr>
                <w:rFonts w:ascii="Verdana" w:hAnsi="Verdana"/>
                <w:b/>
                <w:sz w:val="20"/>
              </w:rPr>
              <w:t>Addendum 12 au</w:t>
            </w:r>
            <w:r w:rsidRPr="00117CF5">
              <w:rPr>
                <w:rFonts w:ascii="Verdana" w:hAnsi="Verdana"/>
                <w:b/>
                <w:sz w:val="20"/>
              </w:rPr>
              <w:br/>
              <w:t>Document 47</w:t>
            </w:r>
            <w:r w:rsidR="00BB1D82" w:rsidRPr="00117CF5">
              <w:rPr>
                <w:rFonts w:ascii="Verdana" w:hAnsi="Verdana"/>
                <w:b/>
                <w:sz w:val="20"/>
              </w:rPr>
              <w:t>-</w:t>
            </w:r>
            <w:r w:rsidRPr="00117CF5">
              <w:rPr>
                <w:rFonts w:ascii="Verdana" w:hAnsi="Verdana"/>
                <w:b/>
                <w:sz w:val="20"/>
              </w:rPr>
              <w:t>F</w:t>
            </w:r>
          </w:p>
        </w:tc>
      </w:tr>
      <w:bookmarkEnd w:id="0"/>
      <w:tr w:rsidR="00690C7B" w:rsidRPr="00117CF5" w14:paraId="681A8590" w14:textId="77777777" w:rsidTr="00BB1D82">
        <w:trPr>
          <w:cantSplit/>
        </w:trPr>
        <w:tc>
          <w:tcPr>
            <w:tcW w:w="6911" w:type="dxa"/>
          </w:tcPr>
          <w:p w14:paraId="74DF0A4A" w14:textId="77777777" w:rsidR="00690C7B" w:rsidRPr="00117CF5" w:rsidRDefault="00690C7B" w:rsidP="00A27B9B">
            <w:pPr>
              <w:spacing w:before="0"/>
              <w:rPr>
                <w:rFonts w:ascii="Verdana" w:hAnsi="Verdana"/>
                <w:b/>
                <w:sz w:val="20"/>
              </w:rPr>
            </w:pPr>
          </w:p>
        </w:tc>
        <w:tc>
          <w:tcPr>
            <w:tcW w:w="3120" w:type="dxa"/>
          </w:tcPr>
          <w:p w14:paraId="2B9AAE39" w14:textId="77777777" w:rsidR="00690C7B" w:rsidRPr="00117CF5" w:rsidRDefault="00690C7B" w:rsidP="00A27B9B">
            <w:pPr>
              <w:spacing w:before="0"/>
              <w:rPr>
                <w:rFonts w:ascii="Verdana" w:hAnsi="Verdana"/>
                <w:b/>
                <w:sz w:val="20"/>
              </w:rPr>
            </w:pPr>
            <w:r w:rsidRPr="00117CF5">
              <w:rPr>
                <w:rFonts w:ascii="Verdana" w:hAnsi="Verdana"/>
                <w:b/>
                <w:sz w:val="20"/>
              </w:rPr>
              <w:t>8 octobre 2019</w:t>
            </w:r>
          </w:p>
        </w:tc>
      </w:tr>
      <w:tr w:rsidR="00690C7B" w:rsidRPr="00117CF5" w14:paraId="7D5BE78E" w14:textId="77777777" w:rsidTr="00BB1D82">
        <w:trPr>
          <w:cantSplit/>
        </w:trPr>
        <w:tc>
          <w:tcPr>
            <w:tcW w:w="6911" w:type="dxa"/>
          </w:tcPr>
          <w:p w14:paraId="5C82E2BE" w14:textId="77777777" w:rsidR="00690C7B" w:rsidRPr="00117CF5" w:rsidRDefault="00690C7B" w:rsidP="00A27B9B">
            <w:pPr>
              <w:spacing w:before="0" w:after="48"/>
              <w:rPr>
                <w:rFonts w:ascii="Verdana" w:hAnsi="Verdana"/>
                <w:b/>
                <w:smallCaps/>
                <w:sz w:val="20"/>
              </w:rPr>
            </w:pPr>
          </w:p>
        </w:tc>
        <w:tc>
          <w:tcPr>
            <w:tcW w:w="3120" w:type="dxa"/>
          </w:tcPr>
          <w:p w14:paraId="24416F69" w14:textId="77777777" w:rsidR="00690C7B" w:rsidRPr="00117CF5" w:rsidRDefault="00690C7B" w:rsidP="00A27B9B">
            <w:pPr>
              <w:spacing w:before="0"/>
              <w:rPr>
                <w:rFonts w:ascii="Verdana" w:hAnsi="Verdana"/>
                <w:b/>
                <w:sz w:val="20"/>
              </w:rPr>
            </w:pPr>
            <w:r w:rsidRPr="00117CF5">
              <w:rPr>
                <w:rFonts w:ascii="Verdana" w:hAnsi="Verdana"/>
                <w:b/>
                <w:sz w:val="20"/>
              </w:rPr>
              <w:t>Original: anglais</w:t>
            </w:r>
          </w:p>
        </w:tc>
      </w:tr>
      <w:tr w:rsidR="00690C7B" w:rsidRPr="00117CF5" w14:paraId="2ECAAAE3" w14:textId="77777777" w:rsidTr="00C11970">
        <w:trPr>
          <w:cantSplit/>
        </w:trPr>
        <w:tc>
          <w:tcPr>
            <w:tcW w:w="10031" w:type="dxa"/>
            <w:gridSpan w:val="2"/>
          </w:tcPr>
          <w:p w14:paraId="49CF3FAD" w14:textId="77777777" w:rsidR="00690C7B" w:rsidRPr="00117CF5" w:rsidRDefault="00690C7B" w:rsidP="00A27B9B">
            <w:pPr>
              <w:spacing w:before="0"/>
              <w:rPr>
                <w:rFonts w:ascii="Verdana" w:hAnsi="Verdana"/>
                <w:b/>
                <w:sz w:val="20"/>
              </w:rPr>
            </w:pPr>
          </w:p>
        </w:tc>
      </w:tr>
      <w:tr w:rsidR="00690C7B" w:rsidRPr="00117CF5" w14:paraId="20F15650" w14:textId="77777777" w:rsidTr="0050008E">
        <w:trPr>
          <w:cantSplit/>
        </w:trPr>
        <w:tc>
          <w:tcPr>
            <w:tcW w:w="10031" w:type="dxa"/>
            <w:gridSpan w:val="2"/>
          </w:tcPr>
          <w:p w14:paraId="300A948B" w14:textId="77777777" w:rsidR="00690C7B" w:rsidRPr="00117CF5" w:rsidRDefault="00690C7B" w:rsidP="00A27B9B">
            <w:pPr>
              <w:pStyle w:val="Source"/>
            </w:pPr>
            <w:bookmarkStart w:id="1" w:name="dsource" w:colFirst="0" w:colLast="0"/>
            <w:r w:rsidRPr="00117CF5">
              <w:t>Australie</w:t>
            </w:r>
          </w:p>
        </w:tc>
      </w:tr>
      <w:tr w:rsidR="00690C7B" w:rsidRPr="00117CF5" w14:paraId="561C1D4A" w14:textId="77777777" w:rsidTr="0050008E">
        <w:trPr>
          <w:cantSplit/>
        </w:trPr>
        <w:tc>
          <w:tcPr>
            <w:tcW w:w="10031" w:type="dxa"/>
            <w:gridSpan w:val="2"/>
          </w:tcPr>
          <w:p w14:paraId="65890F48" w14:textId="3EC9EB14" w:rsidR="00690C7B" w:rsidRPr="00117CF5" w:rsidRDefault="00277EF0" w:rsidP="00A27B9B">
            <w:pPr>
              <w:pStyle w:val="Title1"/>
            </w:pPr>
            <w:bookmarkStart w:id="2" w:name="dtitle1" w:colFirst="0" w:colLast="0"/>
            <w:bookmarkEnd w:id="1"/>
            <w:r w:rsidRPr="00117CF5">
              <w:t>PROPOSITIONS POUR LES TRAVAUX DE LA CONFÉRENCE</w:t>
            </w:r>
          </w:p>
        </w:tc>
      </w:tr>
      <w:tr w:rsidR="00690C7B" w:rsidRPr="00117CF5" w14:paraId="01389CE9" w14:textId="77777777" w:rsidTr="0050008E">
        <w:trPr>
          <w:cantSplit/>
        </w:trPr>
        <w:tc>
          <w:tcPr>
            <w:tcW w:w="10031" w:type="dxa"/>
            <w:gridSpan w:val="2"/>
          </w:tcPr>
          <w:p w14:paraId="0F9C7B73" w14:textId="77777777" w:rsidR="00690C7B" w:rsidRPr="00117CF5" w:rsidRDefault="00690C7B" w:rsidP="00A27B9B">
            <w:pPr>
              <w:pStyle w:val="Title2"/>
            </w:pPr>
            <w:bookmarkStart w:id="3" w:name="dtitle2" w:colFirst="0" w:colLast="0"/>
            <w:bookmarkEnd w:id="2"/>
          </w:p>
        </w:tc>
      </w:tr>
      <w:tr w:rsidR="00690C7B" w:rsidRPr="00117CF5" w14:paraId="2EAA58E1" w14:textId="77777777" w:rsidTr="0050008E">
        <w:trPr>
          <w:cantSplit/>
        </w:trPr>
        <w:tc>
          <w:tcPr>
            <w:tcW w:w="10031" w:type="dxa"/>
            <w:gridSpan w:val="2"/>
          </w:tcPr>
          <w:p w14:paraId="73E8379C" w14:textId="77777777" w:rsidR="00690C7B" w:rsidRPr="00117CF5" w:rsidRDefault="00690C7B" w:rsidP="00A27B9B">
            <w:pPr>
              <w:pStyle w:val="Agendaitem"/>
              <w:rPr>
                <w:lang w:val="fr-FR"/>
              </w:rPr>
            </w:pPr>
            <w:bookmarkStart w:id="4" w:name="dtitle3" w:colFirst="0" w:colLast="0"/>
            <w:bookmarkEnd w:id="3"/>
            <w:r w:rsidRPr="00117CF5">
              <w:rPr>
                <w:lang w:val="fr-FR"/>
              </w:rPr>
              <w:t>Point 1.12 de l'ordre du jour</w:t>
            </w:r>
          </w:p>
        </w:tc>
      </w:tr>
    </w:tbl>
    <w:bookmarkEnd w:id="4"/>
    <w:p w14:paraId="72481013" w14:textId="4B745E68" w:rsidR="003A583E" w:rsidRPr="00117CF5" w:rsidRDefault="009B5435" w:rsidP="00A27B9B">
      <w:r w:rsidRPr="00117CF5">
        <w:t>1.12</w:t>
      </w:r>
      <w:r w:rsidRPr="00117CF5">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117CF5">
        <w:rPr>
          <w:b/>
          <w:bCs/>
        </w:rPr>
        <w:t>237 (CMR-15)</w:t>
      </w:r>
      <w:r w:rsidRPr="00117CF5">
        <w:t>;</w:t>
      </w:r>
    </w:p>
    <w:p w14:paraId="77467FF7" w14:textId="77777777" w:rsidR="006C2DEA" w:rsidRPr="00117CF5" w:rsidRDefault="006C2DEA" w:rsidP="00A27B9B">
      <w:pPr>
        <w:pStyle w:val="Heading1"/>
      </w:pPr>
      <w:r w:rsidRPr="00117CF5">
        <w:t>1</w:t>
      </w:r>
      <w:r w:rsidRPr="00117CF5">
        <w:tab/>
        <w:t>Introduction</w:t>
      </w:r>
    </w:p>
    <w:p w14:paraId="35F14D60" w14:textId="77777777" w:rsidR="00F10085" w:rsidRDefault="008E089C" w:rsidP="00F10085">
      <w:r w:rsidRPr="00117CF5">
        <w:t>Tout au long du cycle d'étude de la CMR-19</w:t>
      </w:r>
      <w:r w:rsidR="006C2DEA" w:rsidRPr="00117CF5">
        <w:t xml:space="preserve">, </w:t>
      </w:r>
      <w:r w:rsidR="00C578D8" w:rsidRPr="00117CF5">
        <w:t>le Groupe de travail 5A (GT 5A) de l'UIT-R</w:t>
      </w:r>
      <w:r w:rsidR="006C2DEA" w:rsidRPr="00117CF5">
        <w:t xml:space="preserve"> </w:t>
      </w:r>
      <w:r w:rsidR="00C578D8" w:rsidRPr="00117CF5">
        <w:t>a élaboré plusieurs Rapports et Recommandations</w:t>
      </w:r>
      <w:r w:rsidR="006C2DEA" w:rsidRPr="00117CF5">
        <w:t xml:space="preserve"> </w:t>
      </w:r>
      <w:r w:rsidR="00C578D8" w:rsidRPr="00117CF5">
        <w:t>U</w:t>
      </w:r>
      <w:r w:rsidR="006C2DEA" w:rsidRPr="00117CF5">
        <w:t xml:space="preserve">IT-R </w:t>
      </w:r>
      <w:r w:rsidR="00C578D8" w:rsidRPr="00117CF5">
        <w:t>au titre de ce point de l'ordre du jour</w:t>
      </w:r>
      <w:r w:rsidR="006C2DEA" w:rsidRPr="00117CF5">
        <w:t xml:space="preserve">, </w:t>
      </w:r>
      <w:r w:rsidR="00C578D8" w:rsidRPr="00117CF5">
        <w:t>y compris les suivants</w:t>
      </w:r>
      <w:r w:rsidR="006C2DEA" w:rsidRPr="00117CF5">
        <w:t>:</w:t>
      </w:r>
    </w:p>
    <w:p w14:paraId="2ED415CC" w14:textId="433BCB29" w:rsidR="00F10085" w:rsidRDefault="00F10085" w:rsidP="00F10085">
      <w:pPr>
        <w:pStyle w:val="enumlev1"/>
      </w:pPr>
      <w:r>
        <w:t>•</w:t>
      </w:r>
      <w:r>
        <w:tab/>
      </w:r>
      <w:r w:rsidR="00C578D8" w:rsidRPr="00117CF5">
        <w:t xml:space="preserve">La </w:t>
      </w:r>
      <w:hyperlink r:id="rId12" w:history="1">
        <w:r w:rsidR="006C2DEA" w:rsidRPr="00117CF5">
          <w:rPr>
            <w:rStyle w:val="Hyperlink"/>
          </w:rPr>
          <w:t>Recomm</w:t>
        </w:r>
        <w:r w:rsidR="00C578D8" w:rsidRPr="00117CF5">
          <w:rPr>
            <w:rStyle w:val="Hyperlink"/>
          </w:rPr>
          <w:t>a</w:t>
        </w:r>
        <w:r w:rsidR="006C2DEA" w:rsidRPr="00117CF5">
          <w:rPr>
            <w:rStyle w:val="Hyperlink"/>
          </w:rPr>
          <w:t xml:space="preserve">ndation </w:t>
        </w:r>
        <w:r w:rsidR="00C578D8" w:rsidRPr="00117CF5">
          <w:rPr>
            <w:rStyle w:val="Hyperlink"/>
          </w:rPr>
          <w:t>U</w:t>
        </w:r>
        <w:r w:rsidR="006C2DEA" w:rsidRPr="00117CF5">
          <w:rPr>
            <w:rStyle w:val="Hyperlink"/>
          </w:rPr>
          <w:t>IT</w:t>
        </w:r>
        <w:r w:rsidR="006C2DEA" w:rsidRPr="00117CF5">
          <w:rPr>
            <w:rStyle w:val="Hyperlink"/>
          </w:rPr>
          <w:noBreakHyphen/>
          <w:t>R M.2121</w:t>
        </w:r>
      </w:hyperlink>
      <w:r w:rsidR="006C2DEA" w:rsidRPr="00117CF5">
        <w:t xml:space="preserve"> – </w:t>
      </w:r>
      <w:r w:rsidR="00C578D8" w:rsidRPr="00117CF5">
        <w:rPr>
          <w:i/>
        </w:rPr>
        <w:t xml:space="preserve">Harmonisation des bandes de fréquences pour les systèmes de transport intelligents dans le service mobile </w:t>
      </w:r>
      <w:r w:rsidR="006C2DEA" w:rsidRPr="00117CF5">
        <w:t>–</w:t>
      </w:r>
      <w:r w:rsidR="0030369F">
        <w:t xml:space="preserve"> </w:t>
      </w:r>
      <w:r w:rsidR="00182BD9" w:rsidRPr="00117CF5">
        <w:t xml:space="preserve">qui vise à </w:t>
      </w:r>
      <w:r w:rsidR="00277EF0" w:rsidRPr="00117CF5">
        <w:t>fourni</w:t>
      </w:r>
      <w:r w:rsidR="00182BD9" w:rsidRPr="00117CF5">
        <w:t>r</w:t>
      </w:r>
      <w:r w:rsidR="00277EF0" w:rsidRPr="00117CF5">
        <w:t xml:space="preserve"> des orientations</w:t>
      </w:r>
      <w:r w:rsidR="00182BD9" w:rsidRPr="00117CF5">
        <w:t xml:space="preserve"> et à encourager les administration</w:t>
      </w:r>
      <w:r w:rsidR="0030369F">
        <w:t>s</w:t>
      </w:r>
      <w:r w:rsidR="00182BD9" w:rsidRPr="00117CF5">
        <w:t xml:space="preserve"> à utiliser les bandes de fréquences harmonisées</w:t>
      </w:r>
      <w:r w:rsidR="00117CF5">
        <w:t>,</w:t>
      </w:r>
      <w:r w:rsidR="00182BD9" w:rsidRPr="00117CF5">
        <w:t xml:space="preserve"> qui figurent dans l'Annexe de la Recommandation</w:t>
      </w:r>
      <w:r w:rsidR="00117CF5">
        <w:t>,</w:t>
      </w:r>
      <w:r w:rsidR="00182BD9" w:rsidRPr="00117CF5">
        <w:t xml:space="preserve"> </w:t>
      </w:r>
      <w:r w:rsidR="00012C31" w:rsidRPr="00117CF5">
        <w:t>p</w:t>
      </w:r>
      <w:r w:rsidR="00117CF5">
        <w:t>ou</w:t>
      </w:r>
      <w:r w:rsidR="00012C31" w:rsidRPr="00117CF5">
        <w:t>r les applications</w:t>
      </w:r>
      <w:r w:rsidR="00277EF0" w:rsidRPr="00117CF5">
        <w:t xml:space="preserve"> ITS pour l'échange d'informations en vue d'améliorer la gestion du trafic et de contribuer à la sécurité au</w:t>
      </w:r>
      <w:r w:rsidR="00012C31" w:rsidRPr="00117CF5">
        <w:t xml:space="preserve"> volant</w:t>
      </w:r>
      <w:r w:rsidR="0030369F">
        <w:t>.</w:t>
      </w:r>
    </w:p>
    <w:p w14:paraId="5E045ED3" w14:textId="0746CC22" w:rsidR="006C2DEA" w:rsidRPr="00117CF5" w:rsidRDefault="00F10085" w:rsidP="00F10085">
      <w:pPr>
        <w:pStyle w:val="enumlev1"/>
      </w:pPr>
      <w:r>
        <w:t>•</w:t>
      </w:r>
      <w:r>
        <w:tab/>
      </w:r>
      <w:r w:rsidR="00C578D8" w:rsidRPr="00117CF5">
        <w:t xml:space="preserve">Le </w:t>
      </w:r>
      <w:hyperlink r:id="rId13" w:history="1">
        <w:r w:rsidR="006C2DEA" w:rsidRPr="00117CF5">
          <w:rPr>
            <w:rStyle w:val="Hyperlink"/>
          </w:rPr>
          <w:t>R</w:t>
        </w:r>
        <w:r w:rsidR="00C578D8" w:rsidRPr="00117CF5">
          <w:rPr>
            <w:rStyle w:val="Hyperlink"/>
          </w:rPr>
          <w:t>ap</w:t>
        </w:r>
        <w:r w:rsidR="006C2DEA" w:rsidRPr="00117CF5">
          <w:rPr>
            <w:rStyle w:val="Hyperlink"/>
          </w:rPr>
          <w:t xml:space="preserve">port </w:t>
        </w:r>
        <w:r w:rsidR="00C578D8" w:rsidRPr="00117CF5">
          <w:rPr>
            <w:rStyle w:val="Hyperlink"/>
          </w:rPr>
          <w:t>U</w:t>
        </w:r>
        <w:r w:rsidR="006C2DEA" w:rsidRPr="00117CF5">
          <w:rPr>
            <w:rStyle w:val="Hyperlink"/>
          </w:rPr>
          <w:t>IT M.2445</w:t>
        </w:r>
      </w:hyperlink>
      <w:r w:rsidR="006C2DEA" w:rsidRPr="00117CF5">
        <w:t xml:space="preserve"> – </w:t>
      </w:r>
      <w:r w:rsidR="00C578D8" w:rsidRPr="00117CF5">
        <w:rPr>
          <w:i/>
        </w:rPr>
        <w:t>Utilisation des systèmes de transport intelligents (ITS)</w:t>
      </w:r>
      <w:r w:rsidR="006C2DEA" w:rsidRPr="00117CF5">
        <w:rPr>
          <w:i/>
        </w:rPr>
        <w:t xml:space="preserve"> – </w:t>
      </w:r>
      <w:r w:rsidR="00117CF5" w:rsidRPr="00117CF5">
        <w:t xml:space="preserve">qui </w:t>
      </w:r>
      <w:r w:rsidR="00012C31" w:rsidRPr="00117CF5">
        <w:t>précise l'utilisation</w:t>
      </w:r>
      <w:r w:rsidR="006C2DEA" w:rsidRPr="00117CF5">
        <w:t xml:space="preserve"> </w:t>
      </w:r>
      <w:r w:rsidR="00012C31" w:rsidRPr="00117CF5">
        <w:t>actuelle et prévue des</w:t>
      </w:r>
      <w:r w:rsidR="006C2DEA" w:rsidRPr="00117CF5">
        <w:t xml:space="preserve"> </w:t>
      </w:r>
      <w:r w:rsidR="00012C31" w:rsidRPr="00117CF5">
        <w:t>technologies</w:t>
      </w:r>
      <w:r w:rsidR="006C2DEA" w:rsidRPr="00117CF5">
        <w:t xml:space="preserve"> ITS, </w:t>
      </w:r>
      <w:r w:rsidR="005F75E1" w:rsidRPr="00117CF5">
        <w:t>les bandes de fréquences</w:t>
      </w:r>
      <w:r w:rsidR="006C2DEA" w:rsidRPr="00117CF5">
        <w:t xml:space="preserve">, </w:t>
      </w:r>
      <w:r w:rsidR="005F75E1" w:rsidRPr="00117CF5">
        <w:t>la situation en ce qui concerne la normalisation</w:t>
      </w:r>
      <w:r w:rsidR="006C2DEA" w:rsidRPr="00117CF5">
        <w:t xml:space="preserve">, </w:t>
      </w:r>
      <w:r w:rsidR="005F75E1" w:rsidRPr="00117CF5">
        <w:t xml:space="preserve">les </w:t>
      </w:r>
      <w:r w:rsidR="006C2DEA" w:rsidRPr="00117CF5">
        <w:t xml:space="preserve">applications </w:t>
      </w:r>
      <w:r w:rsidR="005F75E1" w:rsidRPr="00117CF5">
        <w:t>et</w:t>
      </w:r>
      <w:r w:rsidR="006C2DEA" w:rsidRPr="00117CF5">
        <w:t xml:space="preserve"> </w:t>
      </w:r>
      <w:r w:rsidR="005F75E1" w:rsidRPr="00117CF5">
        <w:t>les déploiements</w:t>
      </w:r>
      <w:r w:rsidR="006C2DEA" w:rsidRPr="00117CF5">
        <w:t xml:space="preserve"> </w:t>
      </w:r>
      <w:r w:rsidR="005F75E1" w:rsidRPr="00117CF5">
        <w:t xml:space="preserve">pour les </w:t>
      </w:r>
      <w:r w:rsidR="004C4DD1" w:rsidRPr="00117CF5">
        <w:t>systèmes</w:t>
      </w:r>
      <w:r w:rsidR="006C2DEA" w:rsidRPr="00117CF5">
        <w:t xml:space="preserve"> ITS</w:t>
      </w:r>
      <w:r w:rsidR="004C4DD1" w:rsidRPr="00117CF5">
        <w:t>,</w:t>
      </w:r>
      <w:r w:rsidR="006C2DEA" w:rsidRPr="00117CF5">
        <w:t xml:space="preserve"> </w:t>
      </w:r>
      <w:r w:rsidR="004C4DD1" w:rsidRPr="00117CF5">
        <w:t>par exemple dans le cadre des communications</w:t>
      </w:r>
      <w:r w:rsidR="006C2DEA" w:rsidRPr="00117CF5">
        <w:t xml:space="preserve"> </w:t>
      </w:r>
      <w:r w:rsidR="004C4DD1" w:rsidRPr="00117CF5">
        <w:t>de véhicule à infrastructure</w:t>
      </w:r>
      <w:r w:rsidR="006C2DEA" w:rsidRPr="00117CF5">
        <w:t xml:space="preserve">, </w:t>
      </w:r>
      <w:r w:rsidR="004C4DD1" w:rsidRPr="00117CF5">
        <w:t>des communications entre véhicules</w:t>
      </w:r>
      <w:r w:rsidR="006C2DEA" w:rsidRPr="00117CF5">
        <w:t xml:space="preserve"> </w:t>
      </w:r>
      <w:r w:rsidR="004C4DD1" w:rsidRPr="00117CF5">
        <w:t>et des communications de véhicule à piéton, pour les applications liées à la sécurité routière et à la gestion efficace de la circulation, ainsi que pour les systèmes de télépéage électroniques et les radars automobiles anticollision</w:t>
      </w:r>
      <w:r w:rsidR="006C2DEA" w:rsidRPr="00117CF5">
        <w:t xml:space="preserve">. </w:t>
      </w:r>
      <w:r w:rsidR="00DC126B" w:rsidRPr="00117CF5">
        <w:t>Il ressort de ce</w:t>
      </w:r>
      <w:r w:rsidR="006C2DEA" w:rsidRPr="00117CF5">
        <w:t xml:space="preserve"> </w:t>
      </w:r>
      <w:r w:rsidR="00DC126B" w:rsidRPr="00117CF5">
        <w:t>Rapport que la bande de fréquences</w:t>
      </w:r>
      <w:r w:rsidR="006C2DEA" w:rsidRPr="00117CF5">
        <w:t xml:space="preserve"> 5</w:t>
      </w:r>
      <w:r w:rsidR="00E25B05">
        <w:t> </w:t>
      </w:r>
      <w:r w:rsidR="006C2DEA" w:rsidRPr="00117CF5">
        <w:t>850</w:t>
      </w:r>
      <w:r w:rsidR="00E25B05">
        <w:noBreakHyphen/>
      </w:r>
      <w:r w:rsidR="006C2DEA" w:rsidRPr="00117CF5">
        <w:t>5 925</w:t>
      </w:r>
      <w:r w:rsidR="00E25B05">
        <w:t> </w:t>
      </w:r>
      <w:r w:rsidR="006C2DEA" w:rsidRPr="00117CF5">
        <w:t xml:space="preserve">MHz, </w:t>
      </w:r>
      <w:r w:rsidR="00DC126B" w:rsidRPr="00117CF5">
        <w:t>ou des parties de cette bande</w:t>
      </w:r>
      <w:r w:rsidR="006C2DEA" w:rsidRPr="00117CF5">
        <w:t xml:space="preserve">, </w:t>
      </w:r>
      <w:r w:rsidR="00DC126B" w:rsidRPr="00117CF5">
        <w:t>ont été largement désignées pour la mise en œuvre des systèmes ITS en évolution par de nombreuses administrations, dans les trois Régions</w:t>
      </w:r>
      <w:r w:rsidR="006C2DEA" w:rsidRPr="00117CF5">
        <w:t>.</w:t>
      </w:r>
    </w:p>
    <w:p w14:paraId="68B6B86A" w14:textId="390E572C" w:rsidR="006C2DEA" w:rsidRPr="00117CF5" w:rsidRDefault="00DC126B" w:rsidP="00A27B9B">
      <w:r w:rsidRPr="00117CF5">
        <w:t xml:space="preserve">Trois méthodes </w:t>
      </w:r>
      <w:r w:rsidR="00F10085">
        <w:t>s</w:t>
      </w:r>
      <w:r w:rsidRPr="00117CF5">
        <w:t>ont présentées dans le</w:t>
      </w:r>
      <w:r w:rsidR="006C2DEA" w:rsidRPr="00117CF5">
        <w:t xml:space="preserve"> </w:t>
      </w:r>
      <w:r w:rsidRPr="00117CF5">
        <w:t>Rapport de la Réunion de préparation à la Conférence (RPC)</w:t>
      </w:r>
      <w:r w:rsidR="006C2DEA" w:rsidRPr="00117CF5">
        <w:t xml:space="preserve"> </w:t>
      </w:r>
      <w:r w:rsidR="00F10085">
        <w:t>en vue de</w:t>
      </w:r>
      <w:r w:rsidRPr="00117CF5">
        <w:t xml:space="preserve"> la</w:t>
      </w:r>
      <w:r w:rsidR="006C2DEA" w:rsidRPr="00117CF5">
        <w:t xml:space="preserve"> C</w:t>
      </w:r>
      <w:r w:rsidRPr="00117CF5">
        <w:t>MR</w:t>
      </w:r>
      <w:r w:rsidR="006C2DEA" w:rsidRPr="00117CF5">
        <w:t xml:space="preserve">-19 </w:t>
      </w:r>
      <w:r w:rsidRPr="00117CF5">
        <w:t>pour traiter ce point de l'ordre du jour</w:t>
      </w:r>
      <w:r w:rsidR="006C2DEA" w:rsidRPr="00117CF5">
        <w:t>:</w:t>
      </w:r>
    </w:p>
    <w:p w14:paraId="44CDACB3" w14:textId="26B4458C" w:rsidR="006C2DEA" w:rsidRPr="00F10085" w:rsidRDefault="00F10085" w:rsidP="00F10085">
      <w:pPr>
        <w:pStyle w:val="enumlev1"/>
      </w:pPr>
      <w:r w:rsidRPr="00F10085">
        <w:lastRenderedPageBreak/>
        <w:t>•</w:t>
      </w:r>
      <w:r w:rsidRPr="00F10085">
        <w:tab/>
      </w:r>
      <w:r w:rsidR="0030369F">
        <w:t>d</w:t>
      </w:r>
      <w:r w:rsidR="00277EF0" w:rsidRPr="00F10085">
        <w:t>ans la Méthode A, il est proposé de n'apporter aucune modification au Règlement des radiocommunications;</w:t>
      </w:r>
    </w:p>
    <w:p w14:paraId="59440C73" w14:textId="70484280" w:rsidR="00F10085" w:rsidRPr="00F10085" w:rsidRDefault="00F10085" w:rsidP="00F10085">
      <w:pPr>
        <w:pStyle w:val="enumlev1"/>
      </w:pPr>
      <w:r w:rsidRPr="00F10085">
        <w:t>•</w:t>
      </w:r>
      <w:r w:rsidRPr="00F10085">
        <w:tab/>
      </w:r>
      <w:r w:rsidR="0030369F" w:rsidRPr="00F10085">
        <w:t>d</w:t>
      </w:r>
      <w:r w:rsidR="00DC126B" w:rsidRPr="00F10085">
        <w:t>ans la Mé</w:t>
      </w:r>
      <w:r w:rsidR="006C2DEA" w:rsidRPr="00F10085">
        <w:t>thod</w:t>
      </w:r>
      <w:r w:rsidR="00DC126B" w:rsidRPr="00F10085">
        <w:t xml:space="preserve">e B, il est proposé de n'apporter </w:t>
      </w:r>
      <w:r w:rsidR="00277EF0" w:rsidRPr="00F10085">
        <w:t xml:space="preserve">aucune modification </w:t>
      </w:r>
      <w:r w:rsidR="00117CF5" w:rsidRPr="00F10085">
        <w:t>a</w:t>
      </w:r>
      <w:r w:rsidR="00277EF0" w:rsidRPr="00F10085">
        <w:t xml:space="preserve">u Tableau d'attribution des bandes de fréquences du Règlement des radiocommunications et </w:t>
      </w:r>
      <w:r w:rsidR="00B10283" w:rsidRPr="00F10085">
        <w:t>d'</w:t>
      </w:r>
      <w:r w:rsidR="00277EF0" w:rsidRPr="00F10085">
        <w:t>ajout</w:t>
      </w:r>
      <w:r w:rsidR="00B10283" w:rsidRPr="00F10085">
        <w:t>er</w:t>
      </w:r>
      <w:r w:rsidR="00277EF0" w:rsidRPr="00F10085">
        <w:t xml:space="preserve"> une nouvelle Résolution de la CMR afin d'encourager les administrations à utiliser les bandes de fréquences </w:t>
      </w:r>
      <w:r w:rsidR="003B78E2" w:rsidRPr="00F10085">
        <w:t xml:space="preserve">indiquées, </w:t>
      </w:r>
      <w:r w:rsidR="00277EF0" w:rsidRPr="00F10085">
        <w:t>harmonisées à l'échelle mondiale ou régionale</w:t>
      </w:r>
      <w:r w:rsidR="003B78E2" w:rsidRPr="00F10085">
        <w:t>,</w:t>
      </w:r>
      <w:r w:rsidR="00277EF0" w:rsidRPr="00F10085">
        <w:t xml:space="preserve"> pour les applications ITS. En ce qui concerne les autres bandes de fréquences harmonisées pour les applications ITS en évolution, il est fait référence à la version la plus récente de la Recommandation UIT-R M.2121;</w:t>
      </w:r>
      <w:r w:rsidR="003B78E2" w:rsidRPr="00F10085">
        <w:t xml:space="preserve"> et</w:t>
      </w:r>
    </w:p>
    <w:p w14:paraId="0C8F2A39" w14:textId="79FA6BF7" w:rsidR="006C2DEA" w:rsidRPr="00117CF5" w:rsidRDefault="00F10085" w:rsidP="00F10085">
      <w:pPr>
        <w:pStyle w:val="enumlev1"/>
      </w:pPr>
      <w:r w:rsidRPr="00F10085">
        <w:t>•</w:t>
      </w:r>
      <w:r w:rsidRPr="00F10085">
        <w:tab/>
      </w:r>
      <w:r w:rsidR="0030369F" w:rsidRPr="00F10085">
        <w:t>d</w:t>
      </w:r>
      <w:r w:rsidR="003B78E2" w:rsidRPr="00F10085">
        <w:t xml:space="preserve">ans la </w:t>
      </w:r>
      <w:r w:rsidR="00277EF0" w:rsidRPr="00F10085">
        <w:t>Méthode C</w:t>
      </w:r>
      <w:r w:rsidR="003B78E2" w:rsidRPr="00F10085">
        <w:t>,</w:t>
      </w:r>
      <w:r w:rsidR="00277EF0" w:rsidRPr="00F10085">
        <w:t xml:space="preserve"> </w:t>
      </w:r>
      <w:r w:rsidR="003B78E2" w:rsidRPr="00F10085">
        <w:t>il est proposé de n'apporter</w:t>
      </w:r>
      <w:bookmarkStart w:id="5" w:name="_GoBack"/>
      <w:bookmarkEnd w:id="5"/>
      <w:r w:rsidR="003B78E2" w:rsidRPr="00F10085">
        <w:t xml:space="preserve"> aucune modification </w:t>
      </w:r>
      <w:r w:rsidR="00117CF5" w:rsidRPr="00F10085">
        <w:t>a</w:t>
      </w:r>
      <w:r w:rsidR="003B78E2" w:rsidRPr="00F10085">
        <w:t>u Tableau d'attribution des bandes de fréquences du Règlement des radiocommunications et d'ajouter une nouvelle Résolution de la CMR</w:t>
      </w:r>
      <w:r w:rsidR="00277EF0" w:rsidRPr="00F10085">
        <w:t xml:space="preserve"> afin d'encourager les administrations à utiliser les bandes de fréquences harmonisées à l'échelle mondiale ou régionale pour les applications ITS en évolution moyennant une référence à la version la plus récente de la Recommandation UIT-R M.2121.</w:t>
      </w:r>
    </w:p>
    <w:p w14:paraId="6B537B3C" w14:textId="633CEA39" w:rsidR="006C2DEA" w:rsidRPr="00117CF5" w:rsidRDefault="006D0349" w:rsidP="00A27B9B">
      <w:r w:rsidRPr="00117CF5">
        <w:t>Au titre</w:t>
      </w:r>
      <w:r w:rsidR="006C2DEA" w:rsidRPr="00117CF5">
        <w:t xml:space="preserve"> </w:t>
      </w:r>
      <w:r w:rsidRPr="00117CF5">
        <w:t xml:space="preserve">de toutes les </w:t>
      </w:r>
      <w:r w:rsidR="0030369F" w:rsidRPr="00117CF5">
        <w:t>m</w:t>
      </w:r>
      <w:r w:rsidRPr="00117CF5">
        <w:t xml:space="preserve">éthodes, la Résolution </w:t>
      </w:r>
      <w:r w:rsidR="006C2DEA" w:rsidRPr="00117CF5">
        <w:rPr>
          <w:b/>
        </w:rPr>
        <w:t>237 (C</w:t>
      </w:r>
      <w:r w:rsidRPr="00117CF5">
        <w:rPr>
          <w:b/>
        </w:rPr>
        <w:t>MR</w:t>
      </w:r>
      <w:r w:rsidR="006C2DEA" w:rsidRPr="00117CF5">
        <w:rPr>
          <w:b/>
        </w:rPr>
        <w:t>-15)</w:t>
      </w:r>
      <w:r w:rsidR="006C2DEA" w:rsidRPr="00117CF5">
        <w:t xml:space="preserve"> </w:t>
      </w:r>
      <w:r w:rsidRPr="00117CF5">
        <w:t>doit être supprimée</w:t>
      </w:r>
      <w:r w:rsidR="006C2DEA" w:rsidRPr="00117CF5">
        <w:t>.</w:t>
      </w:r>
    </w:p>
    <w:p w14:paraId="7CABA547" w14:textId="2F268D73" w:rsidR="006C2DEA" w:rsidRPr="00117CF5" w:rsidRDefault="002A7857" w:rsidP="00A27B9B">
      <w:r w:rsidRPr="00117CF5">
        <w:t>De l'avis de l'Australie,</w:t>
      </w:r>
      <w:r w:rsidR="006C2DEA" w:rsidRPr="00117CF5">
        <w:t xml:space="preserve"> </w:t>
      </w:r>
      <w:r w:rsidRPr="00117CF5">
        <w:t>l'</w:t>
      </w:r>
      <w:r w:rsidR="006C2DEA" w:rsidRPr="00117CF5">
        <w:t>harmonisation</w:t>
      </w:r>
      <w:r w:rsidRPr="00117CF5">
        <w:t xml:space="preserve"> </w:t>
      </w:r>
      <w:r w:rsidR="00F10085">
        <w:t>relative aux</w:t>
      </w:r>
      <w:r w:rsidR="006C2DEA" w:rsidRPr="00117CF5">
        <w:t xml:space="preserve"> </w:t>
      </w:r>
      <w:r w:rsidRPr="00117CF5">
        <w:t>applications de radiocommunication ne devrait pas</w:t>
      </w:r>
      <w:r w:rsidR="006C2DEA" w:rsidRPr="00117CF5">
        <w:t xml:space="preserve"> </w:t>
      </w:r>
      <w:r w:rsidRPr="00117CF5">
        <w:t>constituer une exigence obligatoire imposée au titre du</w:t>
      </w:r>
      <w:r w:rsidR="006C2DEA" w:rsidRPr="00117CF5">
        <w:t xml:space="preserve"> </w:t>
      </w:r>
      <w:r w:rsidRPr="00117CF5">
        <w:t>Règlement des radiocommunications</w:t>
      </w:r>
      <w:r w:rsidR="006C2DEA" w:rsidRPr="00117CF5">
        <w:t xml:space="preserve"> </w:t>
      </w:r>
      <w:r w:rsidRPr="00117CF5">
        <w:t>et il ne d</w:t>
      </w:r>
      <w:r w:rsidR="00F10085">
        <w:t>evrait</w:t>
      </w:r>
      <w:r w:rsidRPr="00117CF5">
        <w:t xml:space="preserve"> pas en être fait mention dans une Résolution de</w:t>
      </w:r>
      <w:r w:rsidR="006C2DEA" w:rsidRPr="00117CF5">
        <w:t xml:space="preserve"> </w:t>
      </w:r>
      <w:r w:rsidRPr="00117CF5">
        <w:t>l'U</w:t>
      </w:r>
      <w:r w:rsidR="006C2DEA" w:rsidRPr="00117CF5">
        <w:t xml:space="preserve">IT-R. </w:t>
      </w:r>
      <w:r w:rsidRPr="00117CF5">
        <w:t>La meilleure façon de parvenir à l'harmonisation du spectre</w:t>
      </w:r>
      <w:r w:rsidR="006C2DEA" w:rsidRPr="00117CF5">
        <w:t xml:space="preserve"> </w:t>
      </w:r>
      <w:r w:rsidRPr="00117CF5">
        <w:t>est d'élaborer des Recommandations</w:t>
      </w:r>
      <w:r w:rsidR="006C2DEA" w:rsidRPr="00117CF5">
        <w:t xml:space="preserve"> </w:t>
      </w:r>
      <w:r w:rsidRPr="00117CF5">
        <w:t>U</w:t>
      </w:r>
      <w:r w:rsidR="006C2DEA" w:rsidRPr="00117CF5">
        <w:t xml:space="preserve">IT-R, </w:t>
      </w:r>
      <w:r w:rsidR="00F10085">
        <w:t>ainsi que</w:t>
      </w:r>
      <w:r w:rsidRPr="00117CF5">
        <w:t xml:space="preserve"> des Rapports UIT-R pertinents nouveaux et/ou révisés</w:t>
      </w:r>
      <w:r w:rsidR="006C2DEA" w:rsidRPr="00117CF5">
        <w:t xml:space="preserve">. </w:t>
      </w:r>
      <w:r w:rsidR="00957B2D" w:rsidRPr="00117CF5">
        <w:t>Cela ménage la souplesse nécessaire</w:t>
      </w:r>
      <w:r w:rsidR="006C2DEA" w:rsidRPr="00117CF5">
        <w:t xml:space="preserve"> </w:t>
      </w:r>
      <w:r w:rsidR="00957B2D" w:rsidRPr="00117CF5">
        <w:t>pour les</w:t>
      </w:r>
      <w:r w:rsidR="006C2DEA" w:rsidRPr="00117CF5">
        <w:t xml:space="preserve"> </w:t>
      </w:r>
      <w:r w:rsidR="00957B2D" w:rsidRPr="00117CF5">
        <w:t>applications ITS en évolution</w:t>
      </w:r>
      <w:r w:rsidR="006C2DEA" w:rsidRPr="00117CF5">
        <w:t>.</w:t>
      </w:r>
    </w:p>
    <w:p w14:paraId="5FF097FE" w14:textId="367D4A50" w:rsidR="006C2DEA" w:rsidRPr="00117CF5" w:rsidRDefault="00957B2D" w:rsidP="00A27B9B">
      <w:r w:rsidRPr="00117CF5">
        <w:t>En outre</w:t>
      </w:r>
      <w:r w:rsidR="006C2DEA" w:rsidRPr="00117CF5">
        <w:t xml:space="preserve">, </w:t>
      </w:r>
      <w:r w:rsidRPr="00117CF5">
        <w:t>la question du choix des technologies</w:t>
      </w:r>
      <w:r w:rsidR="006C2DEA" w:rsidRPr="00117CF5">
        <w:t xml:space="preserve"> </w:t>
      </w:r>
      <w:r w:rsidRPr="00117CF5">
        <w:t xml:space="preserve">ITS est uniquement l'affaire des administrations nationales et va au-delà du champ d'application de la Résolution </w:t>
      </w:r>
      <w:r w:rsidR="006C2DEA" w:rsidRPr="00117CF5">
        <w:rPr>
          <w:b/>
        </w:rPr>
        <w:t>237 (C</w:t>
      </w:r>
      <w:r w:rsidRPr="00117CF5">
        <w:rPr>
          <w:b/>
        </w:rPr>
        <w:t>MR</w:t>
      </w:r>
      <w:r w:rsidR="006C2DEA" w:rsidRPr="00117CF5">
        <w:rPr>
          <w:b/>
        </w:rPr>
        <w:t>-15)</w:t>
      </w:r>
      <w:r w:rsidR="006C2DEA" w:rsidRPr="00117CF5">
        <w:t xml:space="preserve">. </w:t>
      </w:r>
      <w:r w:rsidRPr="00117CF5">
        <w:t>Elle ne devrait pas être traitée dans le cadre d'une</w:t>
      </w:r>
      <w:r w:rsidR="006C2DEA" w:rsidRPr="00117CF5">
        <w:t xml:space="preserve"> </w:t>
      </w:r>
      <w:r w:rsidRPr="00117CF5">
        <w:t>éventuelle Résolution ou Recommandation de l'UIT-R</w:t>
      </w:r>
      <w:r w:rsidR="006C2DEA" w:rsidRPr="00117CF5">
        <w:t>.</w:t>
      </w:r>
    </w:p>
    <w:p w14:paraId="2C03C736" w14:textId="6FAF4484" w:rsidR="006C2DEA" w:rsidRPr="00117CF5" w:rsidRDefault="006C2DEA" w:rsidP="00A27B9B">
      <w:pPr>
        <w:pStyle w:val="Heading1"/>
      </w:pPr>
      <w:r w:rsidRPr="00117CF5">
        <w:t>2</w:t>
      </w:r>
      <w:r w:rsidRPr="00117CF5">
        <w:tab/>
        <w:t>Propos</w:t>
      </w:r>
      <w:r w:rsidR="00957B2D" w:rsidRPr="00117CF5">
        <w:t>ition</w:t>
      </w:r>
      <w:r w:rsidRPr="00117CF5">
        <w:t>s</w:t>
      </w:r>
    </w:p>
    <w:p w14:paraId="27FE3796" w14:textId="38FD13BF" w:rsidR="006C2DEA" w:rsidRPr="00117CF5" w:rsidRDefault="00957B2D" w:rsidP="00A27B9B">
      <w:r w:rsidRPr="00117CF5">
        <w:t>L'Australie</w:t>
      </w:r>
      <w:r w:rsidR="006C2DEA" w:rsidRPr="00117CF5">
        <w:t xml:space="preserve"> propose </w:t>
      </w:r>
      <w:r w:rsidRPr="00117CF5">
        <w:t>de n'apporter aucune modification</w:t>
      </w:r>
      <w:r w:rsidR="006C2DEA" w:rsidRPr="00117CF5">
        <w:t xml:space="preserve"> </w:t>
      </w:r>
      <w:r w:rsidRPr="00117CF5">
        <w:t>réglementaire au titre de ce point de l'ordre du jour</w:t>
      </w:r>
      <w:r w:rsidR="006C2DEA" w:rsidRPr="00117CF5">
        <w:t xml:space="preserve">, </w:t>
      </w:r>
      <w:r w:rsidRPr="00117CF5">
        <w:t>à savoir</w:t>
      </w:r>
      <w:r w:rsidR="006C2DEA" w:rsidRPr="00117CF5">
        <w:t>:</w:t>
      </w:r>
    </w:p>
    <w:p w14:paraId="4A56995E" w14:textId="77777777" w:rsidR="006C2DEA" w:rsidRPr="00117CF5" w:rsidRDefault="006C2DEA" w:rsidP="00A27B9B"/>
    <w:p w14:paraId="26735952" w14:textId="77777777" w:rsidR="00BD3062" w:rsidRPr="00117CF5" w:rsidRDefault="009B5435" w:rsidP="00A27B9B">
      <w:pPr>
        <w:pStyle w:val="Proposal"/>
      </w:pPr>
      <w:r w:rsidRPr="00117CF5">
        <w:rPr>
          <w:u w:val="single"/>
        </w:rPr>
        <w:t>NOC</w:t>
      </w:r>
      <w:r w:rsidRPr="00117CF5">
        <w:tab/>
        <w:t>AUS/47A12/1</w:t>
      </w:r>
    </w:p>
    <w:p w14:paraId="32365530" w14:textId="3BD7022D" w:rsidR="00BD3062" w:rsidRPr="00117CF5" w:rsidRDefault="009B5435" w:rsidP="00A27B9B">
      <w:pPr>
        <w:pStyle w:val="Volumetitle"/>
        <w:rPr>
          <w:lang w:val="fr-FR"/>
        </w:rPr>
      </w:pPr>
      <w:r w:rsidRPr="00117CF5">
        <w:rPr>
          <w:rStyle w:val="Artdef"/>
          <w:b/>
          <w:lang w:val="fr-FR"/>
        </w:rPr>
        <w:t>Articles</w:t>
      </w:r>
    </w:p>
    <w:p w14:paraId="696EE754" w14:textId="4AF292C9" w:rsidR="00BD3062" w:rsidRPr="00117CF5" w:rsidRDefault="009B5435" w:rsidP="00A27B9B">
      <w:pPr>
        <w:pStyle w:val="Reasons"/>
      </w:pPr>
      <w:r w:rsidRPr="00117CF5">
        <w:rPr>
          <w:b/>
        </w:rPr>
        <w:t>Motifs:</w:t>
      </w:r>
      <w:r w:rsidRPr="00117CF5">
        <w:tab/>
      </w:r>
      <w:r w:rsidR="00957B2D" w:rsidRPr="00117CF5">
        <w:t xml:space="preserve">Il n'est ni approprié ni nécessaire d'apporter des modifications aux </w:t>
      </w:r>
      <w:r w:rsidR="00277EF0" w:rsidRPr="00117CF5">
        <w:t xml:space="preserve">ARTICLES </w:t>
      </w:r>
      <w:r w:rsidR="00957B2D" w:rsidRPr="00117CF5">
        <w:t>du</w:t>
      </w:r>
      <w:r w:rsidR="00277EF0" w:rsidRPr="00117CF5">
        <w:t xml:space="preserve"> Volume 1 </w:t>
      </w:r>
      <w:r w:rsidR="00957B2D" w:rsidRPr="00117CF5">
        <w:t>du Règlement des radiocommunications</w:t>
      </w:r>
      <w:r w:rsidR="00277EF0" w:rsidRPr="00117CF5">
        <w:t xml:space="preserve"> </w:t>
      </w:r>
      <w:r w:rsidR="00957B2D" w:rsidRPr="00117CF5">
        <w:t>pour traiter ce point de l'ordre du jour</w:t>
      </w:r>
      <w:r w:rsidR="00277EF0" w:rsidRPr="00117CF5">
        <w:t>.</w:t>
      </w:r>
    </w:p>
    <w:p w14:paraId="5EAD7A00" w14:textId="77777777" w:rsidR="00BD3062" w:rsidRPr="00117CF5" w:rsidRDefault="009B5435" w:rsidP="00A27B9B">
      <w:pPr>
        <w:pStyle w:val="Proposal"/>
      </w:pPr>
      <w:r w:rsidRPr="00117CF5">
        <w:rPr>
          <w:u w:val="single"/>
        </w:rPr>
        <w:t>NOC</w:t>
      </w:r>
      <w:r w:rsidRPr="00117CF5">
        <w:tab/>
        <w:t>AUS/47A12/2</w:t>
      </w:r>
    </w:p>
    <w:p w14:paraId="402E2ED6" w14:textId="4FAC47EE" w:rsidR="00BD3062" w:rsidRPr="00117CF5" w:rsidRDefault="009B5435" w:rsidP="00A27B9B">
      <w:pPr>
        <w:pStyle w:val="Volumetitle"/>
        <w:rPr>
          <w:lang w:val="fr-FR"/>
        </w:rPr>
      </w:pPr>
      <w:r w:rsidRPr="00117CF5">
        <w:rPr>
          <w:rStyle w:val="Artdef"/>
          <w:b/>
          <w:lang w:val="fr-FR"/>
        </w:rPr>
        <w:t>Appendices</w:t>
      </w:r>
    </w:p>
    <w:p w14:paraId="46C7A39B" w14:textId="64A540BE" w:rsidR="00BD3062" w:rsidRPr="00117CF5" w:rsidRDefault="009B5435" w:rsidP="00A27B9B">
      <w:pPr>
        <w:pStyle w:val="Reasons"/>
      </w:pPr>
      <w:r w:rsidRPr="00117CF5">
        <w:rPr>
          <w:b/>
        </w:rPr>
        <w:t>Motifs:</w:t>
      </w:r>
      <w:r w:rsidRPr="00117CF5">
        <w:tab/>
      </w:r>
      <w:r w:rsidR="007A2F4C" w:rsidRPr="00117CF5">
        <w:t xml:space="preserve">Il n'est ni approprié ni nécessaire d'apporter des modifications aux </w:t>
      </w:r>
      <w:r w:rsidR="00F10085">
        <w:t>APPENDICES</w:t>
      </w:r>
      <w:r w:rsidR="007A2F4C" w:rsidRPr="00117CF5">
        <w:t xml:space="preserve"> du Volume 2 du Règlement des radiocommunications pour traiter ce point de l'ordre du jour</w:t>
      </w:r>
      <w:r w:rsidR="00277EF0" w:rsidRPr="00117CF5">
        <w:t>.</w:t>
      </w:r>
    </w:p>
    <w:p w14:paraId="73DC3F4E" w14:textId="77777777" w:rsidR="00BD3062" w:rsidRPr="00117CF5" w:rsidRDefault="009B5435" w:rsidP="00A27B9B">
      <w:pPr>
        <w:pStyle w:val="Proposal"/>
      </w:pPr>
      <w:r w:rsidRPr="00117CF5">
        <w:lastRenderedPageBreak/>
        <w:t>SUP</w:t>
      </w:r>
      <w:r w:rsidRPr="00117CF5">
        <w:tab/>
        <w:t>AUS/47A12/3</w:t>
      </w:r>
    </w:p>
    <w:p w14:paraId="637596E8" w14:textId="77777777" w:rsidR="004A4B52" w:rsidRPr="00117CF5" w:rsidRDefault="009B5435" w:rsidP="00A27B9B">
      <w:pPr>
        <w:pStyle w:val="ResNo"/>
      </w:pPr>
      <w:r w:rsidRPr="00117CF5">
        <w:rPr>
          <w:caps w:val="0"/>
        </w:rPr>
        <w:t xml:space="preserve">RÉSOLUTION </w:t>
      </w:r>
      <w:r w:rsidRPr="00117CF5">
        <w:rPr>
          <w:rStyle w:val="href"/>
          <w:caps w:val="0"/>
        </w:rPr>
        <w:t>237</w:t>
      </w:r>
      <w:r w:rsidRPr="00117CF5">
        <w:rPr>
          <w:caps w:val="0"/>
        </w:rPr>
        <w:t xml:space="preserve"> (CMR-15)</w:t>
      </w:r>
    </w:p>
    <w:p w14:paraId="6368E34E" w14:textId="54B77E30" w:rsidR="004A4B52" w:rsidRPr="00117CF5" w:rsidRDefault="009B5435" w:rsidP="00A27B9B">
      <w:pPr>
        <w:pStyle w:val="Restitle"/>
      </w:pPr>
      <w:bookmarkStart w:id="6" w:name="_Toc450208665"/>
      <w:r w:rsidRPr="00117CF5">
        <w:rPr>
          <w:color w:val="000000"/>
        </w:rPr>
        <w:t>Applications des systèmes de transport intelligents</w:t>
      </w:r>
      <w:bookmarkEnd w:id="6"/>
    </w:p>
    <w:p w14:paraId="49E5066B" w14:textId="6DADBF18" w:rsidR="00BD3062" w:rsidRPr="00117CF5" w:rsidRDefault="009B5435" w:rsidP="00A27B9B">
      <w:pPr>
        <w:pStyle w:val="Reasons"/>
      </w:pPr>
      <w:r w:rsidRPr="00117CF5">
        <w:rPr>
          <w:b/>
        </w:rPr>
        <w:t>Motifs:</w:t>
      </w:r>
      <w:r w:rsidRPr="00117CF5">
        <w:tab/>
      </w:r>
      <w:r w:rsidR="007A2F4C" w:rsidRPr="00117CF5">
        <w:t>Cette Résolution n'aura plus lieu d'être après la CMR</w:t>
      </w:r>
      <w:r w:rsidR="00277EF0" w:rsidRPr="00117CF5">
        <w:t>-19.</w:t>
      </w:r>
    </w:p>
    <w:p w14:paraId="39274262" w14:textId="77777777" w:rsidR="00277EF0" w:rsidRPr="00117CF5" w:rsidRDefault="00277EF0" w:rsidP="00A27B9B"/>
    <w:p w14:paraId="485D2A29" w14:textId="22C24614" w:rsidR="00277EF0" w:rsidRPr="00117CF5" w:rsidRDefault="00277EF0" w:rsidP="00A27B9B">
      <w:pPr>
        <w:jc w:val="center"/>
      </w:pPr>
      <w:r w:rsidRPr="00117CF5">
        <w:t>______________</w:t>
      </w:r>
    </w:p>
    <w:sectPr w:rsidR="00277EF0" w:rsidRPr="00117CF5">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927A" w14:textId="77777777" w:rsidR="0070076C" w:rsidRDefault="0070076C">
      <w:r>
        <w:separator/>
      </w:r>
    </w:p>
  </w:endnote>
  <w:endnote w:type="continuationSeparator" w:id="0">
    <w:p w14:paraId="6C86407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B88C" w14:textId="17B528DB" w:rsidR="00936D25" w:rsidRDefault="00936D25">
    <w:pPr>
      <w:rPr>
        <w:lang w:val="en-US"/>
      </w:rPr>
    </w:pPr>
    <w:r>
      <w:fldChar w:fldCharType="begin"/>
    </w:r>
    <w:r>
      <w:rPr>
        <w:lang w:val="en-US"/>
      </w:rPr>
      <w:instrText xml:space="preserve"> FILENAME \p  \* MERGEFORMAT </w:instrText>
    </w:r>
    <w:r>
      <w:fldChar w:fldCharType="separate"/>
    </w:r>
    <w:r w:rsidR="002773B2">
      <w:rPr>
        <w:noProof/>
        <w:lang w:val="en-US"/>
      </w:rPr>
      <w:t>P:\FRA\ITU-R\CONF-R\CMR19\000\047ADD12F.docx</w:t>
    </w:r>
    <w:r>
      <w:fldChar w:fldCharType="end"/>
    </w:r>
    <w:r>
      <w:rPr>
        <w:lang w:val="en-US"/>
      </w:rPr>
      <w:tab/>
    </w:r>
    <w:r>
      <w:fldChar w:fldCharType="begin"/>
    </w:r>
    <w:r>
      <w:instrText xml:space="preserve"> SAVEDATE \@ DD.MM.YY </w:instrText>
    </w:r>
    <w:r>
      <w:fldChar w:fldCharType="separate"/>
    </w:r>
    <w:r w:rsidR="002773B2">
      <w:rPr>
        <w:noProof/>
      </w:rPr>
      <w:t>22.10.19</w:t>
    </w:r>
    <w:r>
      <w:fldChar w:fldCharType="end"/>
    </w:r>
    <w:r>
      <w:rPr>
        <w:lang w:val="en-US"/>
      </w:rPr>
      <w:tab/>
    </w:r>
    <w:r>
      <w:fldChar w:fldCharType="begin"/>
    </w:r>
    <w:r>
      <w:instrText xml:space="preserve"> PRINTDATE \@ DD.MM.YY </w:instrText>
    </w:r>
    <w:r>
      <w:fldChar w:fldCharType="separate"/>
    </w:r>
    <w:r w:rsidR="002773B2">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6B7E" w14:textId="727B4886" w:rsidR="00936D25" w:rsidRDefault="006E702F" w:rsidP="00277EF0">
    <w:pPr>
      <w:pStyle w:val="Footer"/>
      <w:rPr>
        <w:lang w:val="en-US"/>
      </w:rPr>
    </w:pPr>
    <w:r>
      <w:fldChar w:fldCharType="begin"/>
    </w:r>
    <w:r w:rsidRPr="008E089C">
      <w:rPr>
        <w:lang w:val="en-US"/>
      </w:rPr>
      <w:instrText xml:space="preserve"> FILENAME \p  \* MERGEFORMAT </w:instrText>
    </w:r>
    <w:r>
      <w:fldChar w:fldCharType="separate"/>
    </w:r>
    <w:r w:rsidR="002773B2">
      <w:rPr>
        <w:lang w:val="en-US"/>
      </w:rPr>
      <w:t>P:\FRA\ITU-R\CONF-R\CMR19\000\047ADD12F.docx</w:t>
    </w:r>
    <w:r>
      <w:fldChar w:fldCharType="end"/>
    </w:r>
    <w:r w:rsidR="00277EF0" w:rsidRPr="008E089C">
      <w:rPr>
        <w:lang w:val="en-US"/>
      </w:rPr>
      <w:t xml:space="preserve"> (461943)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C07" w14:textId="799AEFD6" w:rsidR="00936D25" w:rsidRDefault="006E702F" w:rsidP="009B5435">
    <w:pPr>
      <w:pStyle w:val="Footer"/>
      <w:rPr>
        <w:lang w:val="en-US"/>
      </w:rPr>
    </w:pPr>
    <w:r>
      <w:fldChar w:fldCharType="begin"/>
    </w:r>
    <w:r w:rsidRPr="008E089C">
      <w:rPr>
        <w:lang w:val="en-US"/>
      </w:rPr>
      <w:instrText xml:space="preserve"> FILENAME \p  \* MERGEFORMAT </w:instrText>
    </w:r>
    <w:r>
      <w:fldChar w:fldCharType="separate"/>
    </w:r>
    <w:r w:rsidR="002773B2">
      <w:rPr>
        <w:lang w:val="en-US"/>
      </w:rPr>
      <w:t>P:\FRA\ITU-R\CONF-R\CMR19\000\047ADD12F.docx</w:t>
    </w:r>
    <w:r>
      <w:fldChar w:fldCharType="end"/>
    </w:r>
    <w:r w:rsidR="009B5435" w:rsidRPr="008E089C">
      <w:rPr>
        <w:lang w:val="en-US"/>
      </w:rPr>
      <w:t xml:space="preserve"> (461943)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12323" w14:textId="77777777" w:rsidR="0070076C" w:rsidRDefault="0070076C">
      <w:r>
        <w:rPr>
          <w:b/>
        </w:rPr>
        <w:t>_______________</w:t>
      </w:r>
    </w:p>
  </w:footnote>
  <w:footnote w:type="continuationSeparator" w:id="0">
    <w:p w14:paraId="177E90A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F8EA" w14:textId="4B06DC15" w:rsidR="004F1F8E" w:rsidRDefault="004F1F8E" w:rsidP="004F1F8E">
    <w:pPr>
      <w:pStyle w:val="Header"/>
    </w:pPr>
    <w:r>
      <w:fldChar w:fldCharType="begin"/>
    </w:r>
    <w:r>
      <w:instrText xml:space="preserve"> PAGE </w:instrText>
    </w:r>
    <w:r>
      <w:fldChar w:fldCharType="separate"/>
    </w:r>
    <w:r w:rsidR="00117CF5">
      <w:rPr>
        <w:noProof/>
      </w:rPr>
      <w:t>4</w:t>
    </w:r>
    <w:r>
      <w:fldChar w:fldCharType="end"/>
    </w:r>
  </w:p>
  <w:p w14:paraId="01B8E062" w14:textId="77777777" w:rsidR="004F1F8E" w:rsidRDefault="004F1F8E" w:rsidP="00FD7AA3">
    <w:pPr>
      <w:pStyle w:val="Header"/>
    </w:pPr>
    <w:r>
      <w:t>CMR1</w:t>
    </w:r>
    <w:r w:rsidR="00FD7AA3">
      <w:t>9</w:t>
    </w:r>
    <w:r>
      <w:t>/</w:t>
    </w:r>
    <w:r w:rsidR="006A4B45">
      <w:t>47(Add.12)-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58967E4"/>
    <w:multiLevelType w:val="hybridMultilevel"/>
    <w:tmpl w:val="A20C4246"/>
    <w:lvl w:ilvl="0" w:tplc="0C090001">
      <w:start w:val="1"/>
      <w:numFmt w:val="bullet"/>
      <w:lvlText w:val=""/>
      <w:lvlJc w:val="left"/>
      <w:pPr>
        <w:ind w:left="360" w:hanging="360"/>
      </w:pPr>
      <w:rPr>
        <w:rFonts w:ascii="Symbol" w:hAnsi="Symbol" w:hint="default"/>
      </w:rPr>
    </w:lvl>
    <w:lvl w:ilvl="1" w:tplc="609A7E38">
      <w:numFmt w:val="bullet"/>
      <w:lvlText w:val="−"/>
      <w:lvlJc w:val="left"/>
      <w:pPr>
        <w:ind w:left="1860" w:hanging="114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4DC1CC2"/>
    <w:multiLevelType w:val="hybridMultilevel"/>
    <w:tmpl w:val="0A9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C31"/>
    <w:rsid w:val="00016648"/>
    <w:rsid w:val="0003522F"/>
    <w:rsid w:val="00063A1F"/>
    <w:rsid w:val="00080E2C"/>
    <w:rsid w:val="00081366"/>
    <w:rsid w:val="000863B3"/>
    <w:rsid w:val="000A4755"/>
    <w:rsid w:val="000A55AE"/>
    <w:rsid w:val="000B2E0C"/>
    <w:rsid w:val="000B3D0C"/>
    <w:rsid w:val="001167B9"/>
    <w:rsid w:val="00117CF5"/>
    <w:rsid w:val="001267A0"/>
    <w:rsid w:val="0015203F"/>
    <w:rsid w:val="00160C64"/>
    <w:rsid w:val="0018169B"/>
    <w:rsid w:val="00182BD9"/>
    <w:rsid w:val="0019352B"/>
    <w:rsid w:val="001960D0"/>
    <w:rsid w:val="001A11F6"/>
    <w:rsid w:val="001F17E8"/>
    <w:rsid w:val="00204306"/>
    <w:rsid w:val="00232FD2"/>
    <w:rsid w:val="0026554E"/>
    <w:rsid w:val="002773B2"/>
    <w:rsid w:val="00277EF0"/>
    <w:rsid w:val="002A4622"/>
    <w:rsid w:val="002A6F8F"/>
    <w:rsid w:val="002A7857"/>
    <w:rsid w:val="002B17E5"/>
    <w:rsid w:val="002C0EBF"/>
    <w:rsid w:val="002C28A4"/>
    <w:rsid w:val="002D7E0A"/>
    <w:rsid w:val="0030369F"/>
    <w:rsid w:val="00315AFE"/>
    <w:rsid w:val="003606A6"/>
    <w:rsid w:val="0036650C"/>
    <w:rsid w:val="00393ACD"/>
    <w:rsid w:val="003A583E"/>
    <w:rsid w:val="003B78E2"/>
    <w:rsid w:val="003E112B"/>
    <w:rsid w:val="003E1D1C"/>
    <w:rsid w:val="003E7B05"/>
    <w:rsid w:val="003F3719"/>
    <w:rsid w:val="003F6F2D"/>
    <w:rsid w:val="00466211"/>
    <w:rsid w:val="00483196"/>
    <w:rsid w:val="004834A9"/>
    <w:rsid w:val="004C4DD1"/>
    <w:rsid w:val="004D01FC"/>
    <w:rsid w:val="004E28C3"/>
    <w:rsid w:val="004F1F8E"/>
    <w:rsid w:val="00512A32"/>
    <w:rsid w:val="005343DA"/>
    <w:rsid w:val="00560874"/>
    <w:rsid w:val="00586CF2"/>
    <w:rsid w:val="005A7C75"/>
    <w:rsid w:val="005C3768"/>
    <w:rsid w:val="005C6C3F"/>
    <w:rsid w:val="005F75E1"/>
    <w:rsid w:val="00613635"/>
    <w:rsid w:val="0062093D"/>
    <w:rsid w:val="00637ECF"/>
    <w:rsid w:val="00647B59"/>
    <w:rsid w:val="00690C7B"/>
    <w:rsid w:val="006A4B45"/>
    <w:rsid w:val="006C2DEA"/>
    <w:rsid w:val="006D0349"/>
    <w:rsid w:val="006D4724"/>
    <w:rsid w:val="006E702F"/>
    <w:rsid w:val="006F5FA2"/>
    <w:rsid w:val="0070076C"/>
    <w:rsid w:val="00701BAE"/>
    <w:rsid w:val="00721F04"/>
    <w:rsid w:val="00730E95"/>
    <w:rsid w:val="007426B9"/>
    <w:rsid w:val="00764342"/>
    <w:rsid w:val="00774362"/>
    <w:rsid w:val="00786598"/>
    <w:rsid w:val="00790C74"/>
    <w:rsid w:val="007A04E8"/>
    <w:rsid w:val="007A2F4C"/>
    <w:rsid w:val="007B2C34"/>
    <w:rsid w:val="00830086"/>
    <w:rsid w:val="00851625"/>
    <w:rsid w:val="00863C0A"/>
    <w:rsid w:val="008A3120"/>
    <w:rsid w:val="008A4B97"/>
    <w:rsid w:val="008C5B8E"/>
    <w:rsid w:val="008C5DD5"/>
    <w:rsid w:val="008D41BE"/>
    <w:rsid w:val="008D58D3"/>
    <w:rsid w:val="008E089C"/>
    <w:rsid w:val="008E3BC9"/>
    <w:rsid w:val="00923064"/>
    <w:rsid w:val="00930FFD"/>
    <w:rsid w:val="00936D25"/>
    <w:rsid w:val="00941EA5"/>
    <w:rsid w:val="00957B2D"/>
    <w:rsid w:val="00964700"/>
    <w:rsid w:val="00966C16"/>
    <w:rsid w:val="0098732F"/>
    <w:rsid w:val="009A045F"/>
    <w:rsid w:val="009A6A2B"/>
    <w:rsid w:val="009B4E4B"/>
    <w:rsid w:val="009B5435"/>
    <w:rsid w:val="009C5680"/>
    <w:rsid w:val="009C7E7C"/>
    <w:rsid w:val="00A00473"/>
    <w:rsid w:val="00A03C9B"/>
    <w:rsid w:val="00A27B9B"/>
    <w:rsid w:val="00A37105"/>
    <w:rsid w:val="00A606C3"/>
    <w:rsid w:val="00A83B09"/>
    <w:rsid w:val="00A84541"/>
    <w:rsid w:val="00AD3341"/>
    <w:rsid w:val="00AE36A0"/>
    <w:rsid w:val="00B00294"/>
    <w:rsid w:val="00B10283"/>
    <w:rsid w:val="00B3749C"/>
    <w:rsid w:val="00B4444D"/>
    <w:rsid w:val="00B45AAC"/>
    <w:rsid w:val="00B64FD0"/>
    <w:rsid w:val="00BA5BD0"/>
    <w:rsid w:val="00BB1D82"/>
    <w:rsid w:val="00BD3062"/>
    <w:rsid w:val="00BD51C5"/>
    <w:rsid w:val="00BF26E7"/>
    <w:rsid w:val="00C53FCA"/>
    <w:rsid w:val="00C578D8"/>
    <w:rsid w:val="00C76BAF"/>
    <w:rsid w:val="00C814B9"/>
    <w:rsid w:val="00CD516F"/>
    <w:rsid w:val="00D119A7"/>
    <w:rsid w:val="00D25FBA"/>
    <w:rsid w:val="00D32B28"/>
    <w:rsid w:val="00D42954"/>
    <w:rsid w:val="00D66EAC"/>
    <w:rsid w:val="00D730DF"/>
    <w:rsid w:val="00D772F0"/>
    <w:rsid w:val="00D77BDC"/>
    <w:rsid w:val="00DC126B"/>
    <w:rsid w:val="00DC402B"/>
    <w:rsid w:val="00DE0932"/>
    <w:rsid w:val="00E03A27"/>
    <w:rsid w:val="00E049F1"/>
    <w:rsid w:val="00E25B05"/>
    <w:rsid w:val="00E37A25"/>
    <w:rsid w:val="00E537FF"/>
    <w:rsid w:val="00E6539B"/>
    <w:rsid w:val="00E70A31"/>
    <w:rsid w:val="00E723A7"/>
    <w:rsid w:val="00EA3F38"/>
    <w:rsid w:val="00EA5AB6"/>
    <w:rsid w:val="00EC7615"/>
    <w:rsid w:val="00ED16AA"/>
    <w:rsid w:val="00ED6B8D"/>
    <w:rsid w:val="00EE3D7B"/>
    <w:rsid w:val="00EF662E"/>
    <w:rsid w:val="00F10064"/>
    <w:rsid w:val="00F10085"/>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D8C3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unhideWhenUsed/>
    <w:rsid w:val="006C2DEA"/>
    <w:rPr>
      <w:color w:val="0000FF" w:themeColor="hyperlink"/>
      <w:u w:val="single"/>
    </w:rPr>
  </w:style>
  <w:style w:type="character" w:customStyle="1" w:styleId="enumlev1Char">
    <w:name w:val="enumlev1 Char"/>
    <w:basedOn w:val="DefaultParagraphFont"/>
    <w:link w:val="enumlev1"/>
    <w:qFormat/>
    <w:rsid w:val="006C2DEA"/>
    <w:rPr>
      <w:rFonts w:ascii="Times New Roman" w:hAnsi="Times New Roman"/>
      <w:sz w:val="24"/>
      <w:lang w:val="fr-FR" w:eastAsia="en-US"/>
    </w:rPr>
  </w:style>
  <w:style w:type="character" w:styleId="FollowedHyperlink">
    <w:name w:val="FollowedHyperlink"/>
    <w:basedOn w:val="DefaultParagraphFont"/>
    <w:semiHidden/>
    <w:unhideWhenUsed/>
    <w:rsid w:val="00C578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M.2445-2018/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rec/itu-r/rec/m/R-REC-M.2121-0-201901-I!!PDF-F.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66D06-3B34-4A31-98A0-359D3C48A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CBDEA0A-C0C2-40F7-95C3-3FFEDD22BB0C}">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996b2e75-67fd-4955-a3b0-5ab9934cb50b"/>
    <ds:schemaRef ds:uri="32a1a8c5-2265-4ebc-b7a0-2071e2c5c9bb"/>
    <ds:schemaRef ds:uri="http://purl.org/dc/dcmitype/"/>
    <ds:schemaRef ds:uri="http://purl.org/dc/elements/1.1/"/>
  </ds:schemaRefs>
</ds:datastoreItem>
</file>

<file path=customXml/itemProps4.xml><?xml version="1.0" encoding="utf-8"?>
<ds:datastoreItem xmlns:ds="http://schemas.openxmlformats.org/officeDocument/2006/customXml" ds:itemID="{9946717A-61C3-4DB1-A32D-EEF9E01D7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774</Words>
  <Characters>4395</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R16-WRC19-C-0047!A12!MSW-F</vt:lpstr>
    </vt:vector>
  </TitlesOfParts>
  <Manager>Secrétariat général - Pool</Manager>
  <Company>Union internationale des télécommunications (UIT)</Company>
  <LinksUpToDate>false</LinksUpToDate>
  <CharactersWithSpaces>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R16-WRC19-C-0047!A12!MSW-F</dc:title>
  <dc:subject>Conférence mondiale des radiocommunications - 2019</dc:subject>
  <dc:creator>Documents Proposals Manager (DPM)</dc:creator>
  <cp:keywords>DPM_v2019.10.14.1_prod</cp:keywords>
  <dc:description/>
  <cp:lastModifiedBy>French</cp:lastModifiedBy>
  <cp:revision>8</cp:revision>
  <cp:lastPrinted>2019-10-22T06:18:00Z</cp:lastPrinted>
  <dcterms:created xsi:type="dcterms:W3CDTF">2019-10-21T07:32:00Z</dcterms:created>
  <dcterms:modified xsi:type="dcterms:W3CDTF">2019-10-22T06:18:00Z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