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08DC14F2" w14:textId="77777777" w:rsidTr="00F55E63">
        <w:trPr>
          <w:cantSplit/>
          <w:trHeight w:val="20"/>
        </w:trPr>
        <w:tc>
          <w:tcPr>
            <w:tcW w:w="6619" w:type="dxa"/>
          </w:tcPr>
          <w:p w14:paraId="6BC70781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4D77D2BA" w14:textId="77777777" w:rsidR="00280E04" w:rsidRDefault="00A375BD" w:rsidP="00D44350">
            <w:pPr>
              <w:rPr>
                <w:rtl/>
                <w:lang w:bidi="ar-EG"/>
              </w:rPr>
            </w:pPr>
            <w:r>
              <w:rPr>
                <w:noProof/>
                <w:lang w:val="en-GB" w:eastAsia="zh-CN"/>
              </w:rPr>
              <w:drawing>
                <wp:inline distT="0" distB="0" distL="0" distR="0" wp14:anchorId="01947098" wp14:editId="36B01A96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246FA42D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7E1C468D" w14:textId="77777777" w:rsidR="00280E04" w:rsidRPr="00960962" w:rsidRDefault="00280E04" w:rsidP="00365346">
            <w:pPr>
              <w:spacing w:line="240" w:lineRule="exact"/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1DCB89BC" w14:textId="77777777" w:rsidR="00280E04" w:rsidRPr="00A9645C" w:rsidRDefault="00280E04" w:rsidP="00365346">
            <w:pPr>
              <w:spacing w:line="240" w:lineRule="exact"/>
              <w:rPr>
                <w:lang w:bidi="ar-EG"/>
              </w:rPr>
            </w:pPr>
          </w:p>
        </w:tc>
      </w:tr>
      <w:tr w:rsidR="00280E04" w14:paraId="41E5A1D8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69FA12A2" w14:textId="77777777" w:rsidR="00280E04" w:rsidRPr="00BD6EF3" w:rsidRDefault="00280E04" w:rsidP="00365346">
            <w:pPr>
              <w:pStyle w:val="Adress"/>
              <w:framePr w:hSpace="0" w:wrap="auto" w:xAlign="left" w:yAlign="inline"/>
              <w:spacing w:before="0" w:after="2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39A9CB36" w14:textId="77777777" w:rsidR="00280E04" w:rsidRPr="00BD6EF3" w:rsidRDefault="00280E04" w:rsidP="00365346">
            <w:pPr>
              <w:pStyle w:val="Adress"/>
              <w:framePr w:hSpace="0" w:wrap="auto" w:xAlign="left" w:yAlign="inline"/>
              <w:spacing w:before="0" w:after="20"/>
            </w:pPr>
          </w:p>
        </w:tc>
      </w:tr>
      <w:tr w:rsidR="00CB3E20" w:rsidRPr="00F545E4" w14:paraId="7AD2FE58" w14:textId="77777777" w:rsidTr="00F55E63">
        <w:trPr>
          <w:cantSplit/>
        </w:trPr>
        <w:tc>
          <w:tcPr>
            <w:tcW w:w="6619" w:type="dxa"/>
          </w:tcPr>
          <w:p w14:paraId="217EC365" w14:textId="77777777" w:rsidR="00CB3E20" w:rsidRPr="00F545E4" w:rsidRDefault="00CB3E20" w:rsidP="00365346">
            <w:pPr>
              <w:pStyle w:val="Committee"/>
              <w:framePr w:hSpace="0" w:wrap="auto" w:hAnchor="text" w:yAlign="inline"/>
              <w:bidi/>
              <w:spacing w:before="0" w:after="2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171AD110" w14:textId="335E5904" w:rsidR="00CB3E20" w:rsidRPr="00F545E4" w:rsidRDefault="00CB3E20" w:rsidP="00365346">
            <w:pPr>
              <w:pStyle w:val="Adress"/>
              <w:framePr w:hSpace="0" w:wrap="auto" w:xAlign="left" w:yAlign="inline"/>
              <w:spacing w:before="0" w:after="20"/>
              <w:rPr>
                <w:rtl/>
              </w:rPr>
            </w:pPr>
            <w:r w:rsidRPr="004A28F2">
              <w:rPr>
                <w:rFonts w:hint="cs"/>
                <w:rtl/>
              </w:rPr>
              <w:t xml:space="preserve">الإضافة </w:t>
            </w:r>
            <w:r>
              <w:t>12</w:t>
            </w:r>
            <w:r w:rsidRPr="004A28F2">
              <w:br/>
            </w:r>
            <w:r w:rsidRPr="004A28F2">
              <w:rPr>
                <w:rFonts w:eastAsia="SimSun" w:hint="cs"/>
                <w:rtl/>
              </w:rPr>
              <w:t xml:space="preserve">للوثيقة </w:t>
            </w:r>
            <w:r>
              <w:rPr>
                <w:rFonts w:eastAsia="SimSun"/>
              </w:rPr>
              <w:t>47</w:t>
            </w:r>
            <w:r w:rsidRPr="004A28F2">
              <w:rPr>
                <w:rFonts w:eastAsia="SimSun"/>
              </w:rPr>
              <w:t>-A</w:t>
            </w:r>
          </w:p>
        </w:tc>
      </w:tr>
      <w:tr w:rsidR="00CB3E20" w:rsidRPr="00F545E4" w14:paraId="629AF58D" w14:textId="77777777" w:rsidTr="00F55E63">
        <w:trPr>
          <w:cantSplit/>
        </w:trPr>
        <w:tc>
          <w:tcPr>
            <w:tcW w:w="6619" w:type="dxa"/>
          </w:tcPr>
          <w:p w14:paraId="0B746444" w14:textId="77777777" w:rsidR="00CB3E20" w:rsidRPr="00F545E4" w:rsidRDefault="00CB3E20" w:rsidP="00365346">
            <w:pPr>
              <w:pStyle w:val="Adress"/>
              <w:framePr w:hSpace="0" w:wrap="auto" w:xAlign="left" w:yAlign="inline"/>
              <w:spacing w:before="0" w:after="2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0B374692" w14:textId="4D85E894" w:rsidR="00CB3E20" w:rsidRPr="00F545E4" w:rsidRDefault="00CB3E20" w:rsidP="00365346">
            <w:pPr>
              <w:pStyle w:val="Adress"/>
              <w:framePr w:hSpace="0" w:wrap="auto" w:xAlign="left" w:yAlign="inline"/>
              <w:spacing w:before="0" w:after="20"/>
              <w:rPr>
                <w:rtl/>
              </w:rPr>
            </w:pPr>
            <w:r>
              <w:rPr>
                <w:rFonts w:eastAsia="SimSun"/>
              </w:rPr>
              <w:t>8</w:t>
            </w:r>
            <w:r w:rsidRPr="004A28F2">
              <w:rPr>
                <w:rFonts w:eastAsia="SimSun"/>
                <w:rtl/>
              </w:rPr>
              <w:t xml:space="preserve"> </w:t>
            </w:r>
            <w:r>
              <w:rPr>
                <w:rFonts w:eastAsia="SimSun" w:hint="cs"/>
                <w:rtl/>
              </w:rPr>
              <w:t>أكتوبر</w:t>
            </w:r>
            <w:r w:rsidRPr="004A28F2">
              <w:rPr>
                <w:rFonts w:eastAsia="SimSun"/>
                <w:rtl/>
              </w:rPr>
              <w:t xml:space="preserve"> </w:t>
            </w:r>
            <w:r w:rsidRPr="004A28F2">
              <w:rPr>
                <w:rFonts w:eastAsia="SimSun"/>
              </w:rPr>
              <w:t>2019</w:t>
            </w:r>
          </w:p>
        </w:tc>
      </w:tr>
      <w:tr w:rsidR="00CB3E20" w:rsidRPr="00F545E4" w14:paraId="65653519" w14:textId="77777777" w:rsidTr="00F55E63">
        <w:trPr>
          <w:cantSplit/>
        </w:trPr>
        <w:tc>
          <w:tcPr>
            <w:tcW w:w="6619" w:type="dxa"/>
          </w:tcPr>
          <w:p w14:paraId="6DCB09FF" w14:textId="77777777" w:rsidR="00CB3E20" w:rsidRPr="00F545E4" w:rsidRDefault="00CB3E20" w:rsidP="00365346">
            <w:pPr>
              <w:pStyle w:val="Adress"/>
              <w:framePr w:hSpace="0" w:wrap="auto" w:xAlign="left" w:yAlign="inline"/>
              <w:spacing w:before="0" w:after="2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214B6B6F" w14:textId="16BF4723" w:rsidR="00CB3E20" w:rsidRPr="00F545E4" w:rsidRDefault="00CB3E20" w:rsidP="00365346">
            <w:pPr>
              <w:pStyle w:val="Adress"/>
              <w:framePr w:hSpace="0" w:wrap="auto" w:xAlign="left" w:yAlign="inline"/>
              <w:spacing w:before="0" w:after="20"/>
              <w:rPr>
                <w:rFonts w:eastAsia="SimSun" w:hint="eastAsia"/>
              </w:rPr>
            </w:pPr>
            <w:r w:rsidRPr="00F55E63">
              <w:rPr>
                <w:rtl/>
              </w:rPr>
              <w:t>الأصل: بالإنكليزية</w:t>
            </w:r>
          </w:p>
        </w:tc>
      </w:tr>
      <w:tr w:rsidR="00764079" w14:paraId="49530265" w14:textId="77777777" w:rsidTr="00F55E63">
        <w:trPr>
          <w:cantSplit/>
        </w:trPr>
        <w:tc>
          <w:tcPr>
            <w:tcW w:w="9672" w:type="dxa"/>
            <w:gridSpan w:val="2"/>
          </w:tcPr>
          <w:p w14:paraId="76B2EDA0" w14:textId="77777777" w:rsidR="00764079" w:rsidRDefault="00764079" w:rsidP="00365346">
            <w:pPr>
              <w:pStyle w:val="Adress"/>
              <w:framePr w:hSpace="0" w:wrap="auto" w:xAlign="left" w:yAlign="inline"/>
              <w:spacing w:before="0" w:after="20"/>
              <w:rPr>
                <w:rFonts w:eastAsia="SimSun" w:hint="eastAsia"/>
              </w:rPr>
            </w:pPr>
          </w:p>
        </w:tc>
      </w:tr>
      <w:tr w:rsidR="00764079" w:rsidRPr="00835139" w14:paraId="72D92268" w14:textId="77777777" w:rsidTr="00F55E63">
        <w:trPr>
          <w:cantSplit/>
        </w:trPr>
        <w:tc>
          <w:tcPr>
            <w:tcW w:w="9672" w:type="dxa"/>
            <w:gridSpan w:val="2"/>
          </w:tcPr>
          <w:p w14:paraId="108FAC7E" w14:textId="77777777" w:rsidR="00764079" w:rsidRPr="00835139" w:rsidRDefault="00F55E63" w:rsidP="00F55E63">
            <w:pPr>
              <w:pStyle w:val="Source"/>
              <w:rPr>
                <w:rtl/>
              </w:rPr>
            </w:pPr>
            <w:r w:rsidRPr="00835139">
              <w:rPr>
                <w:rtl/>
              </w:rPr>
              <w:t>أستراليا</w:t>
            </w:r>
          </w:p>
        </w:tc>
      </w:tr>
      <w:tr w:rsidR="00764079" w:rsidRPr="00835139" w14:paraId="07BC112A" w14:textId="77777777" w:rsidTr="00F55E63">
        <w:trPr>
          <w:cantSplit/>
        </w:trPr>
        <w:tc>
          <w:tcPr>
            <w:tcW w:w="9672" w:type="dxa"/>
            <w:gridSpan w:val="2"/>
          </w:tcPr>
          <w:p w14:paraId="0F09D84F" w14:textId="31F99857" w:rsidR="00764079" w:rsidRPr="00835139" w:rsidRDefault="00CB3E20" w:rsidP="00F55E63">
            <w:pPr>
              <w:pStyle w:val="Title1"/>
              <w:spacing w:before="240"/>
              <w:rPr>
                <w:rtl/>
              </w:rPr>
            </w:pPr>
            <w:r w:rsidRPr="00835139">
              <w:rPr>
                <w:rFonts w:hint="cs"/>
                <w:rtl/>
              </w:rPr>
              <w:t>مقترحات بشأن أعمال المؤتمر</w:t>
            </w:r>
          </w:p>
        </w:tc>
      </w:tr>
      <w:tr w:rsidR="00764079" w:rsidRPr="00835139" w14:paraId="5DA33556" w14:textId="77777777" w:rsidTr="00F55E63">
        <w:trPr>
          <w:cantSplit/>
        </w:trPr>
        <w:tc>
          <w:tcPr>
            <w:tcW w:w="9672" w:type="dxa"/>
            <w:gridSpan w:val="2"/>
          </w:tcPr>
          <w:p w14:paraId="54EB3027" w14:textId="77777777" w:rsidR="00764079" w:rsidRPr="00835139" w:rsidRDefault="00764079" w:rsidP="00F55E63">
            <w:pPr>
              <w:pStyle w:val="Title2"/>
              <w:rPr>
                <w:rtl/>
              </w:rPr>
            </w:pPr>
          </w:p>
        </w:tc>
      </w:tr>
      <w:tr w:rsidR="00764079" w:rsidRPr="00835139" w14:paraId="577A723C" w14:textId="77777777" w:rsidTr="00F55E63">
        <w:trPr>
          <w:cantSplit/>
        </w:trPr>
        <w:tc>
          <w:tcPr>
            <w:tcW w:w="9672" w:type="dxa"/>
            <w:gridSpan w:val="2"/>
          </w:tcPr>
          <w:p w14:paraId="59421708" w14:textId="281904F8" w:rsidR="00764079" w:rsidRPr="00835139" w:rsidRDefault="00DB4CC9" w:rsidP="00F55E63">
            <w:pPr>
              <w:pStyle w:val="Agendaitem"/>
              <w:rPr>
                <w:lang w:val="en-US"/>
              </w:rPr>
            </w:pPr>
            <w:r w:rsidRPr="00835139">
              <w:rPr>
                <w:rtl/>
                <w:lang w:val="en-US"/>
              </w:rPr>
              <w:t>بند جدول الأعمال</w:t>
            </w:r>
            <w:r w:rsidR="001610C1" w:rsidRPr="00835139">
              <w:rPr>
                <w:rFonts w:hint="cs"/>
                <w:rtl/>
                <w:lang w:val="en-US"/>
              </w:rPr>
              <w:t xml:space="preserve"> </w:t>
            </w:r>
            <w:r w:rsidR="001610C1" w:rsidRPr="00835139">
              <w:rPr>
                <w:lang w:val="en-US"/>
              </w:rPr>
              <w:t>12.1</w:t>
            </w:r>
          </w:p>
        </w:tc>
      </w:tr>
    </w:tbl>
    <w:p w14:paraId="0F7D49F5" w14:textId="77777777" w:rsidR="001D597A" w:rsidRPr="00835139" w:rsidRDefault="00B86C55" w:rsidP="00983F03">
      <w:pPr>
        <w:pStyle w:val="Normalaftertitle"/>
        <w:rPr>
          <w:rFonts w:eastAsia="SimSun"/>
          <w:szCs w:val="22"/>
          <w:rtl/>
          <w:lang w:bidi="ar-SY"/>
        </w:rPr>
      </w:pPr>
      <w:r w:rsidRPr="00835139">
        <w:rPr>
          <w:rFonts w:eastAsia="SimSun"/>
          <w:lang w:eastAsia="zh-CN" w:bidi="ar-SY"/>
        </w:rPr>
        <w:t>12.1</w:t>
      </w:r>
      <w:r w:rsidRPr="00835139">
        <w:rPr>
          <w:rFonts w:eastAsia="SimSun"/>
          <w:lang w:eastAsia="zh-CN" w:bidi="ar-SY"/>
        </w:rPr>
        <w:tab/>
      </w:r>
      <w:r w:rsidRPr="00835139">
        <w:rPr>
          <w:rFonts w:eastAsia="SimSun" w:hint="cs"/>
          <w:rtl/>
          <w:lang w:eastAsia="zh-CN"/>
        </w:rPr>
        <w:t>النظر إلى أقصى حد ممكن في </w:t>
      </w:r>
      <w:r w:rsidRPr="00835139">
        <w:rPr>
          <w:rFonts w:eastAsia="SimSun"/>
          <w:rtl/>
          <w:lang w:eastAsia="zh-CN"/>
        </w:rPr>
        <w:t xml:space="preserve">نطاقات التردد المنسّقة </w:t>
      </w:r>
      <w:r w:rsidRPr="00835139">
        <w:rPr>
          <w:rFonts w:eastAsia="SimSun" w:hint="cs"/>
          <w:rtl/>
          <w:lang w:eastAsia="zh-CN"/>
        </w:rPr>
        <w:t xml:space="preserve">الممكنة العالمية </w:t>
      </w:r>
      <w:r w:rsidRPr="00835139">
        <w:rPr>
          <w:rFonts w:eastAsia="SimSun"/>
          <w:rtl/>
          <w:lang w:eastAsia="zh-CN"/>
        </w:rPr>
        <w:t xml:space="preserve">أو </w:t>
      </w:r>
      <w:r w:rsidRPr="00835139">
        <w:rPr>
          <w:rFonts w:eastAsia="SimSun" w:hint="cs"/>
          <w:rtl/>
          <w:lang w:eastAsia="zh-CN"/>
        </w:rPr>
        <w:t>الإقليمية لتنفيذ أنظمة النقل الذكية</w:t>
      </w:r>
      <w:r w:rsidRPr="00835139">
        <w:rPr>
          <w:rFonts w:eastAsia="SimSun" w:hint="eastAsia"/>
          <w:rtl/>
          <w:lang w:eastAsia="zh-CN"/>
        </w:rPr>
        <w:t> </w:t>
      </w:r>
      <w:r w:rsidRPr="00835139">
        <w:rPr>
          <w:rFonts w:eastAsia="SimSun"/>
          <w:lang w:eastAsia="zh-CN" w:bidi="ar-SY"/>
        </w:rPr>
        <w:t>(ITS)</w:t>
      </w:r>
      <w:r w:rsidRPr="00835139">
        <w:rPr>
          <w:rFonts w:eastAsia="SimSun" w:hint="cs"/>
          <w:rtl/>
          <w:lang w:eastAsia="zh-CN"/>
        </w:rPr>
        <w:t xml:space="preserve"> الآخذة في التطور في إطار التوزيعات الحالية للخدمة المتنقلة، وفقاً للقرار</w:t>
      </w:r>
      <w:r w:rsidRPr="00835139">
        <w:rPr>
          <w:rFonts w:eastAsia="SimSun" w:hint="eastAsia"/>
          <w:rtl/>
          <w:lang w:eastAsia="zh-CN"/>
        </w:rPr>
        <w:t> </w:t>
      </w:r>
      <w:r w:rsidRPr="00835139">
        <w:rPr>
          <w:rFonts w:eastAsia="SimSun"/>
          <w:b/>
          <w:bCs/>
          <w:lang w:eastAsia="zh-CN" w:bidi="ar-SY"/>
        </w:rPr>
        <w:t>237 (WRC</w:t>
      </w:r>
      <w:r w:rsidRPr="00835139">
        <w:rPr>
          <w:rFonts w:eastAsia="SimSun"/>
          <w:b/>
          <w:bCs/>
          <w:lang w:eastAsia="zh-CN" w:bidi="ar-SY"/>
        </w:rPr>
        <w:noBreakHyphen/>
        <w:t>15)</w:t>
      </w:r>
      <w:r w:rsidRPr="00835139">
        <w:rPr>
          <w:rFonts w:eastAsia="SimSun" w:hint="cs"/>
          <w:rtl/>
          <w:lang w:eastAsia="zh-CN"/>
        </w:rPr>
        <w:t>؛</w:t>
      </w:r>
    </w:p>
    <w:p w14:paraId="548AED88" w14:textId="6153BAA8" w:rsidR="002F3E46" w:rsidRPr="00835139" w:rsidRDefault="001610C1" w:rsidP="001610C1">
      <w:pPr>
        <w:pStyle w:val="Heading1"/>
        <w:rPr>
          <w:rtl/>
        </w:rPr>
      </w:pPr>
      <w:r w:rsidRPr="00835139">
        <w:t>1</w:t>
      </w:r>
      <w:r w:rsidRPr="00835139">
        <w:tab/>
      </w:r>
      <w:r w:rsidR="000A7E8C" w:rsidRPr="00835139">
        <w:rPr>
          <w:rFonts w:hint="cs"/>
          <w:rtl/>
        </w:rPr>
        <w:t>مقدمة</w:t>
      </w:r>
    </w:p>
    <w:p w14:paraId="54BBEFE2" w14:textId="2BC11C54" w:rsidR="001610C1" w:rsidRPr="00835139" w:rsidRDefault="000A7E8C" w:rsidP="00365346">
      <w:pPr>
        <w:keepNext/>
        <w:rPr>
          <w:rtl/>
          <w:lang w:bidi="ar-EG"/>
        </w:rPr>
      </w:pPr>
      <w:r w:rsidRPr="00835139">
        <w:rPr>
          <w:rtl/>
          <w:lang w:bidi="ar-EG"/>
        </w:rPr>
        <w:t xml:space="preserve">قامت فرقة العمل </w:t>
      </w:r>
      <w:r w:rsidRPr="00835139">
        <w:rPr>
          <w:lang w:bidi="ar-EG"/>
        </w:rPr>
        <w:t>5A</w:t>
      </w:r>
      <w:r w:rsidRPr="00835139">
        <w:rPr>
          <w:rtl/>
          <w:lang w:bidi="ar-EG"/>
        </w:rPr>
        <w:t xml:space="preserve"> طوال فترة الدراسة للمؤتمر</w:t>
      </w:r>
      <w:r w:rsidRPr="00835139">
        <w:rPr>
          <w:rFonts w:hint="cs"/>
          <w:rtl/>
        </w:rPr>
        <w:t xml:space="preserve"> العالمي للاتصالات الراديوية لعام </w:t>
      </w:r>
      <w:r w:rsidRPr="00835139">
        <w:t>2019</w:t>
      </w:r>
      <w:r w:rsidRPr="00835139">
        <w:rPr>
          <w:rtl/>
          <w:lang w:bidi="ar-EG"/>
        </w:rPr>
        <w:t xml:space="preserve"> </w:t>
      </w:r>
      <w:r w:rsidR="007008C2">
        <w:rPr>
          <w:lang w:bidi="ar-EG"/>
        </w:rPr>
        <w:t>(</w:t>
      </w:r>
      <w:r w:rsidRPr="00835139">
        <w:rPr>
          <w:lang w:bidi="ar-EG"/>
        </w:rPr>
        <w:t>WRC-19</w:t>
      </w:r>
      <w:r w:rsidR="007008C2">
        <w:rPr>
          <w:lang w:bidi="ar-EG"/>
        </w:rPr>
        <w:t>)</w:t>
      </w:r>
      <w:r w:rsidRPr="00835139">
        <w:rPr>
          <w:rtl/>
          <w:lang w:bidi="ar-EG"/>
        </w:rPr>
        <w:t xml:space="preserve"> </w:t>
      </w:r>
      <w:r w:rsidRPr="00835139">
        <w:rPr>
          <w:rFonts w:hint="cs"/>
          <w:rtl/>
          <w:lang w:bidi="ar-EG"/>
        </w:rPr>
        <w:t>بإعداد</w:t>
      </w:r>
      <w:r w:rsidRPr="00835139">
        <w:rPr>
          <w:rtl/>
          <w:lang w:bidi="ar-EG"/>
        </w:rPr>
        <w:t xml:space="preserve"> </w:t>
      </w:r>
      <w:r w:rsidRPr="00835139">
        <w:rPr>
          <w:rFonts w:hint="cs"/>
          <w:rtl/>
          <w:lang w:bidi="ar-EG"/>
        </w:rPr>
        <w:t>العديد من</w:t>
      </w:r>
      <w:r w:rsidRPr="00835139">
        <w:rPr>
          <w:rtl/>
          <w:lang w:bidi="ar-EG"/>
        </w:rPr>
        <w:t xml:space="preserve"> تقارير وتوصيات قطاع الاتصالات الراديوية لدعم هذا البند من جدول الأعمال، بما في ذلك:</w:t>
      </w:r>
    </w:p>
    <w:p w14:paraId="228D0AB4" w14:textId="48385A67" w:rsidR="001610C1" w:rsidRPr="00835139" w:rsidRDefault="001610C1" w:rsidP="00695652">
      <w:pPr>
        <w:pStyle w:val="enumlev1"/>
        <w:rPr>
          <w:rtl/>
          <w:lang w:bidi="ar-EG"/>
        </w:rPr>
      </w:pPr>
      <w:r w:rsidRPr="00835139">
        <w:rPr>
          <w:rFonts w:ascii="Traditional Arabic" w:hAnsi="Traditional Arabic"/>
          <w:sz w:val="30"/>
          <w:lang w:bidi="ar-EG"/>
        </w:rPr>
        <w:t>•</w:t>
      </w:r>
      <w:r w:rsidRPr="00835139">
        <w:rPr>
          <w:rtl/>
          <w:lang w:bidi="ar-EG"/>
        </w:rPr>
        <w:tab/>
      </w:r>
      <w:hyperlink r:id="rId13" w:history="1">
        <w:r w:rsidR="001E0BEF" w:rsidRPr="00835139">
          <w:rPr>
            <w:rStyle w:val="Hyperlink"/>
            <w:rFonts w:hint="cs"/>
            <w:rtl/>
            <w:lang w:bidi="ar-EG"/>
          </w:rPr>
          <w:t xml:space="preserve">التوصية </w:t>
        </w:r>
        <w:r w:rsidR="001E0BEF" w:rsidRPr="00835139">
          <w:rPr>
            <w:rStyle w:val="Hyperlink"/>
            <w:lang w:bidi="ar-EG"/>
          </w:rPr>
          <w:t>ITU</w:t>
        </w:r>
        <w:r w:rsidR="001E0BEF" w:rsidRPr="00835139">
          <w:rPr>
            <w:rStyle w:val="Hyperlink"/>
            <w:lang w:bidi="ar-EG"/>
          </w:rPr>
          <w:noBreakHyphen/>
          <w:t>R M.2121</w:t>
        </w:r>
      </w:hyperlink>
      <w:r w:rsidR="001E0BEF" w:rsidRPr="00835139">
        <w:rPr>
          <w:rFonts w:hint="cs"/>
          <w:rtl/>
          <w:lang w:bidi="ar-EG"/>
        </w:rPr>
        <w:t xml:space="preserve"> - </w:t>
      </w:r>
      <w:r w:rsidR="006C7B2D" w:rsidRPr="00835139">
        <w:rPr>
          <w:i/>
          <w:iCs/>
          <w:rtl/>
          <w:lang w:bidi="ar-EG"/>
        </w:rPr>
        <w:t xml:space="preserve">تنسيق </w:t>
      </w:r>
      <w:r w:rsidR="00695652">
        <w:rPr>
          <w:rFonts w:hint="cs"/>
          <w:i/>
          <w:iCs/>
          <w:rtl/>
          <w:lang w:bidi="ar-EG"/>
        </w:rPr>
        <w:t>نطاقات التردد</w:t>
      </w:r>
      <w:r w:rsidR="006C7B2D" w:rsidRPr="00835139">
        <w:rPr>
          <w:i/>
          <w:iCs/>
          <w:rtl/>
          <w:lang w:bidi="ar-EG"/>
        </w:rPr>
        <w:t xml:space="preserve"> من أجل أنظمة النقل الذكية في الخدمة المتنقلة</w:t>
      </w:r>
      <w:r w:rsidR="006C7B2D" w:rsidRPr="00835139">
        <w:rPr>
          <w:rFonts w:hint="cs"/>
          <w:rtl/>
          <w:lang w:bidi="ar-EG"/>
        </w:rPr>
        <w:t xml:space="preserve"> - </w:t>
      </w:r>
      <w:r w:rsidR="00B231AC" w:rsidRPr="00835139">
        <w:rPr>
          <w:rFonts w:hint="cs"/>
          <w:rtl/>
        </w:rPr>
        <w:t xml:space="preserve">تقدم هذه التوصية إرشادات </w:t>
      </w:r>
      <w:r w:rsidR="00E95CC1" w:rsidRPr="00835139">
        <w:rPr>
          <w:rFonts w:hint="cs"/>
          <w:rtl/>
        </w:rPr>
        <w:t>ل</w:t>
      </w:r>
      <w:r w:rsidR="008D2983" w:rsidRPr="00835139">
        <w:rPr>
          <w:rFonts w:hint="cs"/>
          <w:rtl/>
        </w:rPr>
        <w:t xml:space="preserve">لإدارات </w:t>
      </w:r>
      <w:r w:rsidR="00E95CC1" w:rsidRPr="00835139">
        <w:rPr>
          <w:rFonts w:hint="cs"/>
          <w:rtl/>
        </w:rPr>
        <w:t xml:space="preserve">وتشجعها </w:t>
      </w:r>
      <w:r w:rsidR="008D2983" w:rsidRPr="00835139">
        <w:rPr>
          <w:rFonts w:hint="cs"/>
          <w:rtl/>
        </w:rPr>
        <w:t>على</w:t>
      </w:r>
      <w:r w:rsidR="00B231AC" w:rsidRPr="00835139">
        <w:rPr>
          <w:rFonts w:hint="cs"/>
          <w:rtl/>
        </w:rPr>
        <w:t xml:space="preserve"> </w:t>
      </w:r>
      <w:r w:rsidR="008D2983" w:rsidRPr="00835139">
        <w:rPr>
          <w:rtl/>
        </w:rPr>
        <w:t xml:space="preserve">استخدام نطاقات التردد المنسَّقة </w:t>
      </w:r>
      <w:r w:rsidR="008D2983" w:rsidRPr="00835139">
        <w:rPr>
          <w:rFonts w:hint="cs"/>
          <w:rtl/>
        </w:rPr>
        <w:t xml:space="preserve">الواردة في ملحق هذه التوصية </w:t>
      </w:r>
      <w:r w:rsidR="00B231AC" w:rsidRPr="00835139">
        <w:rPr>
          <w:rFonts w:hint="cs"/>
          <w:rtl/>
        </w:rPr>
        <w:t>لتشغيل أنظمة النقل الذكية</w:t>
      </w:r>
      <w:r w:rsidR="00FD6F13" w:rsidRPr="00835139">
        <w:rPr>
          <w:rFonts w:hint="eastAsia"/>
          <w:rtl/>
        </w:rPr>
        <w:t> </w:t>
      </w:r>
      <w:r w:rsidR="00B231AC" w:rsidRPr="00835139">
        <w:rPr>
          <w:rFonts w:hint="cs"/>
          <w:rtl/>
        </w:rPr>
        <w:t xml:space="preserve"> المتعلقة بتبادل المعلومات من أجل تحسين إدارة </w:t>
      </w:r>
      <w:r w:rsidR="00695652">
        <w:rPr>
          <w:rFonts w:hint="cs"/>
          <w:rtl/>
        </w:rPr>
        <w:t>الحركة</w:t>
      </w:r>
      <w:r w:rsidR="00B231AC" w:rsidRPr="00835139">
        <w:rPr>
          <w:rFonts w:hint="cs"/>
          <w:rtl/>
        </w:rPr>
        <w:t xml:space="preserve"> والمساعدة على سلامة القيادة</w:t>
      </w:r>
      <w:r w:rsidR="008D2983" w:rsidRPr="00835139">
        <w:rPr>
          <w:rFonts w:hint="cs"/>
          <w:rtl/>
        </w:rPr>
        <w:t>؛</w:t>
      </w:r>
    </w:p>
    <w:p w14:paraId="5C5ABD60" w14:textId="4296E5C2" w:rsidR="00FD6F13" w:rsidRPr="00835139" w:rsidRDefault="00FD6F13" w:rsidP="00695652">
      <w:pPr>
        <w:pStyle w:val="enumlev1"/>
        <w:rPr>
          <w:rtl/>
          <w:lang w:bidi="ar-EG"/>
        </w:rPr>
      </w:pPr>
      <w:r w:rsidRPr="00835139">
        <w:rPr>
          <w:rFonts w:ascii="Traditional Arabic" w:hAnsi="Traditional Arabic"/>
          <w:sz w:val="30"/>
          <w:lang w:bidi="ar-EG"/>
        </w:rPr>
        <w:t>•</w:t>
      </w:r>
      <w:r w:rsidRPr="00835139">
        <w:rPr>
          <w:rtl/>
          <w:lang w:bidi="ar-EG"/>
        </w:rPr>
        <w:tab/>
      </w:r>
      <w:r w:rsidR="006A4E7C" w:rsidRPr="00835139">
        <w:rPr>
          <w:rFonts w:hint="cs"/>
          <w:rtl/>
          <w:lang w:bidi="ar-EG"/>
        </w:rPr>
        <w:t>و</w:t>
      </w:r>
      <w:r w:rsidR="00522715" w:rsidRPr="00835139">
        <w:rPr>
          <w:rStyle w:val="Hyperlink"/>
          <w:rFonts w:hint="cs"/>
          <w:rtl/>
          <w:lang w:bidi="ar-EG"/>
        </w:rPr>
        <w:t>ا</w:t>
      </w:r>
      <w:r w:rsidR="00522715" w:rsidRPr="00835139">
        <w:rPr>
          <w:rStyle w:val="Hyperlink"/>
          <w:rtl/>
          <w:lang w:bidi="ar-EG"/>
        </w:rPr>
        <w:t xml:space="preserve">لتقرير </w:t>
      </w:r>
      <w:hyperlink r:id="rId14" w:history="1">
        <w:r w:rsidR="006054DF" w:rsidRPr="00835139">
          <w:rPr>
            <w:rStyle w:val="Hyperlink"/>
            <w:lang w:bidi="ar-EG"/>
          </w:rPr>
          <w:t>ITU</w:t>
        </w:r>
        <w:r w:rsidR="00196805">
          <w:rPr>
            <w:rStyle w:val="Hyperlink"/>
            <w:lang w:bidi="ar-EG"/>
          </w:rPr>
          <w:noBreakHyphen/>
          <w:t>R</w:t>
        </w:r>
        <w:r w:rsidR="006054DF" w:rsidRPr="00835139">
          <w:rPr>
            <w:rStyle w:val="Hyperlink"/>
            <w:lang w:bidi="ar-EG"/>
          </w:rPr>
          <w:t xml:space="preserve"> M</w:t>
        </w:r>
        <w:r w:rsidR="006054DF" w:rsidRPr="00835139">
          <w:rPr>
            <w:rStyle w:val="Hyperlink"/>
            <w:lang w:bidi="ar-EG"/>
          </w:rPr>
          <w:t>.</w:t>
        </w:r>
        <w:r w:rsidR="006054DF" w:rsidRPr="00835139">
          <w:rPr>
            <w:rStyle w:val="Hyperlink"/>
            <w:lang w:bidi="ar-EG"/>
          </w:rPr>
          <w:t>2445</w:t>
        </w:r>
      </w:hyperlink>
      <w:r w:rsidR="00C664A3">
        <w:rPr>
          <w:rStyle w:val="Hyperlink"/>
          <w:rFonts w:hint="cs"/>
          <w:rtl/>
        </w:rPr>
        <w:t xml:space="preserve"> </w:t>
      </w:r>
      <w:r w:rsidR="00522715" w:rsidRPr="00835139">
        <w:rPr>
          <w:rFonts w:hint="cs"/>
          <w:rtl/>
          <w:lang w:bidi="ar-EG"/>
        </w:rPr>
        <w:t>-</w:t>
      </w:r>
      <w:r w:rsidR="00C664A3">
        <w:rPr>
          <w:lang w:bidi="ar-EG"/>
        </w:rPr>
        <w:t xml:space="preserve"> </w:t>
      </w:r>
      <w:r w:rsidR="00522715" w:rsidRPr="00835139">
        <w:rPr>
          <w:i/>
          <w:iCs/>
          <w:rtl/>
          <w:lang w:bidi="ar-EG"/>
        </w:rPr>
        <w:t>استعمال أنظمة النقل الذكية</w:t>
      </w:r>
      <w:r w:rsidR="00522715" w:rsidRPr="00835139">
        <w:rPr>
          <w:rFonts w:hint="cs"/>
          <w:rtl/>
          <w:lang w:bidi="ar-EG"/>
        </w:rPr>
        <w:t>-</w:t>
      </w:r>
      <w:r w:rsidR="00962E07" w:rsidRPr="00835139">
        <w:rPr>
          <w:rFonts w:hint="cs"/>
          <w:rtl/>
          <w:lang w:bidi="ar-EG"/>
        </w:rPr>
        <w:t xml:space="preserve"> </w:t>
      </w:r>
      <w:r w:rsidR="006054DF" w:rsidRPr="00835139">
        <w:rPr>
          <w:rFonts w:hint="cs"/>
          <w:rtl/>
          <w:lang w:bidi="ar-EG"/>
        </w:rPr>
        <w:t>يحدد</w:t>
      </w:r>
      <w:r w:rsidR="006054DF" w:rsidRPr="00835139">
        <w:rPr>
          <w:rtl/>
          <w:lang w:bidi="ar-EG"/>
        </w:rPr>
        <w:t xml:space="preserve"> هذا التقرير ا</w:t>
      </w:r>
      <w:r w:rsidR="006054DF" w:rsidRPr="00835139">
        <w:rPr>
          <w:rFonts w:hint="cs"/>
          <w:rtl/>
          <w:lang w:bidi="ar-EG"/>
        </w:rPr>
        <w:t>لا</w:t>
      </w:r>
      <w:r w:rsidR="006054DF" w:rsidRPr="00835139">
        <w:rPr>
          <w:rtl/>
          <w:lang w:bidi="ar-EG"/>
        </w:rPr>
        <w:t xml:space="preserve">ستخدام </w:t>
      </w:r>
      <w:r w:rsidR="006054DF" w:rsidRPr="00835139">
        <w:rPr>
          <w:rFonts w:hint="cs"/>
          <w:rtl/>
          <w:lang w:bidi="ar-EG"/>
        </w:rPr>
        <w:t xml:space="preserve">الحالي والمخطط له </w:t>
      </w:r>
      <w:r w:rsidR="00661020" w:rsidRPr="00835139">
        <w:rPr>
          <w:rFonts w:hint="cs"/>
          <w:rtl/>
          <w:lang w:bidi="ar-EG"/>
        </w:rPr>
        <w:t>لتكنولوجيات أنظمة النقل الذكية</w:t>
      </w:r>
      <w:r w:rsidR="00661020" w:rsidRPr="00835139">
        <w:rPr>
          <w:rFonts w:hint="cs"/>
          <w:rtl/>
        </w:rPr>
        <w:t>، ونطاقات التردد، ووضع التقييس، وال</w:t>
      </w:r>
      <w:r w:rsidR="006054DF" w:rsidRPr="00835139">
        <w:rPr>
          <w:rtl/>
          <w:lang w:bidi="ar-EG"/>
        </w:rPr>
        <w:t>تطبيقات</w:t>
      </w:r>
      <w:r w:rsidR="00661020" w:rsidRPr="00835139">
        <w:rPr>
          <w:rFonts w:hint="cs"/>
          <w:rtl/>
          <w:lang w:bidi="ar-EG"/>
        </w:rPr>
        <w:t xml:space="preserve"> وكيفية نشرها،</w:t>
      </w:r>
      <w:r w:rsidR="006054DF" w:rsidRPr="00835139">
        <w:rPr>
          <w:rtl/>
          <w:lang w:bidi="ar-EG"/>
        </w:rPr>
        <w:t xml:space="preserve"> </w:t>
      </w:r>
      <w:r w:rsidR="00695652">
        <w:rPr>
          <w:rFonts w:hint="cs"/>
          <w:rtl/>
          <w:lang w:bidi="ar-EG"/>
        </w:rPr>
        <w:t>من أجل</w:t>
      </w:r>
      <w:r w:rsidR="00661020" w:rsidRPr="00835139">
        <w:rPr>
          <w:rFonts w:hint="cs"/>
          <w:rtl/>
          <w:lang w:bidi="ar-EG"/>
        </w:rPr>
        <w:t xml:space="preserve"> </w:t>
      </w:r>
      <w:r w:rsidR="006054DF" w:rsidRPr="00835139">
        <w:rPr>
          <w:rtl/>
          <w:lang w:bidi="ar-EG"/>
        </w:rPr>
        <w:t>أنظمة النقل الذكية من قبيل الاتصالات من مركبة إلى بنية تحتية ومن مركبة إلى مركبة ومن مركبة إلى مشاة من أجل التطبيقا</w:t>
      </w:r>
      <w:r w:rsidR="00695652">
        <w:rPr>
          <w:rtl/>
          <w:lang w:bidi="ar-EG"/>
        </w:rPr>
        <w:t xml:space="preserve">ت المتعلقة بسلامة الحركة </w:t>
      </w:r>
      <w:r w:rsidR="00695652">
        <w:rPr>
          <w:rFonts w:hint="cs"/>
          <w:rtl/>
          <w:lang w:bidi="ar-EG"/>
        </w:rPr>
        <w:t>وكفاءتها</w:t>
      </w:r>
      <w:r w:rsidR="006054DF" w:rsidRPr="00835139">
        <w:rPr>
          <w:rtl/>
          <w:lang w:bidi="ar-EG"/>
        </w:rPr>
        <w:t xml:space="preserve"> وكذلك أنظمة </w:t>
      </w:r>
      <w:r w:rsidR="00695652">
        <w:rPr>
          <w:rFonts w:hint="cs"/>
          <w:rtl/>
          <w:lang w:bidi="ar-EG"/>
        </w:rPr>
        <w:t>تحصيل</w:t>
      </w:r>
      <w:r w:rsidR="006054DF" w:rsidRPr="00835139">
        <w:rPr>
          <w:rtl/>
          <w:lang w:bidi="ar-EG"/>
        </w:rPr>
        <w:t xml:space="preserve"> رسوم الطرق </w:t>
      </w:r>
      <w:r w:rsidR="00695652">
        <w:rPr>
          <w:rFonts w:hint="cs"/>
          <w:rtl/>
          <w:lang w:bidi="ar-EG"/>
        </w:rPr>
        <w:t>إلكترونياً</w:t>
      </w:r>
      <w:r w:rsidR="006054DF" w:rsidRPr="00835139">
        <w:rPr>
          <w:rtl/>
          <w:lang w:bidi="ar-EG"/>
        </w:rPr>
        <w:t xml:space="preserve"> ورادارات المركبات من أجل تجنب الاصطدام.</w:t>
      </w:r>
      <w:r w:rsidR="00661020" w:rsidRPr="00835139">
        <w:rPr>
          <w:rFonts w:hint="cs"/>
          <w:rtl/>
          <w:lang w:bidi="ar-EG"/>
        </w:rPr>
        <w:t xml:space="preserve"> و</w:t>
      </w:r>
      <w:r w:rsidR="00661020" w:rsidRPr="00835139">
        <w:rPr>
          <w:rtl/>
          <w:lang w:bidi="ar-EG"/>
        </w:rPr>
        <w:t xml:space="preserve">يشير هذا التقرير إلى أن العديد من الإدارات في جميع الأقاليم الثلاثة </w:t>
      </w:r>
      <w:r w:rsidR="00661020" w:rsidRPr="00835139">
        <w:rPr>
          <w:rFonts w:hint="cs"/>
          <w:rtl/>
          <w:lang w:bidi="ar-EG"/>
        </w:rPr>
        <w:t xml:space="preserve">تخصص بشكل </w:t>
      </w:r>
      <w:r w:rsidR="00661020" w:rsidRPr="00835139">
        <w:rPr>
          <w:rtl/>
          <w:lang w:bidi="ar-EG"/>
        </w:rPr>
        <w:t>واسع نطاق التردد</w:t>
      </w:r>
      <w:r w:rsidR="00C664A3">
        <w:rPr>
          <w:rFonts w:hint="cs"/>
          <w:rtl/>
          <w:lang w:bidi="ar-EG"/>
        </w:rPr>
        <w:t> </w:t>
      </w:r>
      <w:r w:rsidR="00661020" w:rsidRPr="00835139">
        <w:rPr>
          <w:lang w:bidi="ar-EG"/>
        </w:rPr>
        <w:t>MHz</w:t>
      </w:r>
      <w:r w:rsidR="00C664A3">
        <w:rPr>
          <w:lang w:bidi="ar-EG"/>
        </w:rPr>
        <w:t> </w:t>
      </w:r>
      <w:r w:rsidR="00661020" w:rsidRPr="00835139">
        <w:rPr>
          <w:lang w:bidi="ar-EG"/>
        </w:rPr>
        <w:t>5</w:t>
      </w:r>
      <w:r w:rsidR="00C664A3">
        <w:rPr>
          <w:lang w:bidi="ar-EG"/>
        </w:rPr>
        <w:t> </w:t>
      </w:r>
      <w:r w:rsidR="00661020" w:rsidRPr="00835139">
        <w:rPr>
          <w:lang w:bidi="ar-EG"/>
        </w:rPr>
        <w:t>925</w:t>
      </w:r>
      <w:r w:rsidR="00C664A3">
        <w:rPr>
          <w:lang w:bidi="ar-EG"/>
        </w:rPr>
        <w:noBreakHyphen/>
      </w:r>
      <w:r w:rsidR="00661020" w:rsidRPr="00835139">
        <w:rPr>
          <w:lang w:bidi="ar-EG"/>
        </w:rPr>
        <w:t>5</w:t>
      </w:r>
      <w:r w:rsidR="00C664A3">
        <w:rPr>
          <w:lang w:bidi="ar-EG"/>
        </w:rPr>
        <w:t> </w:t>
      </w:r>
      <w:r w:rsidR="00661020" w:rsidRPr="00835139">
        <w:rPr>
          <w:lang w:bidi="ar-EG"/>
        </w:rPr>
        <w:t>850</w:t>
      </w:r>
      <w:r w:rsidR="00661020" w:rsidRPr="00835139">
        <w:rPr>
          <w:rtl/>
          <w:lang w:bidi="ar-EG"/>
        </w:rPr>
        <w:t xml:space="preserve"> أو أجزاء منه لتنفيذ أنظمة النقل الذكية </w:t>
      </w:r>
      <w:r w:rsidR="00661020" w:rsidRPr="00835139">
        <w:rPr>
          <w:rFonts w:hint="cs"/>
          <w:rtl/>
          <w:lang w:bidi="ar-EG"/>
        </w:rPr>
        <w:t>الآخذة في التطور</w:t>
      </w:r>
      <w:r w:rsidR="00661020" w:rsidRPr="00835139">
        <w:rPr>
          <w:rtl/>
          <w:lang w:bidi="ar-EG"/>
        </w:rPr>
        <w:t>.</w:t>
      </w:r>
    </w:p>
    <w:p w14:paraId="010D5FF8" w14:textId="5FC2FBD5" w:rsidR="001610C1" w:rsidRPr="00835139" w:rsidRDefault="007C05ED" w:rsidP="00365346">
      <w:pPr>
        <w:keepNext/>
        <w:rPr>
          <w:rtl/>
          <w:lang w:bidi="ar-EG"/>
        </w:rPr>
      </w:pPr>
      <w:r w:rsidRPr="00835139">
        <w:rPr>
          <w:rtl/>
          <w:lang w:bidi="ar-EG"/>
        </w:rPr>
        <w:t xml:space="preserve">يقدم تقرير الاجتماع التحضيري للمؤتمر إلى </w:t>
      </w:r>
      <w:r w:rsidR="0072304A" w:rsidRPr="00835139">
        <w:rPr>
          <w:rFonts w:hint="cs"/>
          <w:rtl/>
          <w:lang w:bidi="ar-EG"/>
        </w:rPr>
        <w:t>ا</w:t>
      </w:r>
      <w:r w:rsidR="0072304A" w:rsidRPr="00835139">
        <w:rPr>
          <w:rtl/>
          <w:lang w:bidi="ar-EG"/>
        </w:rPr>
        <w:t>لمؤتمر</w:t>
      </w:r>
      <w:r w:rsidR="0072304A" w:rsidRPr="00835139">
        <w:rPr>
          <w:rFonts w:hint="cs"/>
          <w:rtl/>
        </w:rPr>
        <w:t xml:space="preserve"> العالمي للاتصالات الراديوية لعام </w:t>
      </w:r>
      <w:r w:rsidR="0072304A" w:rsidRPr="00835139">
        <w:t>2019</w:t>
      </w:r>
      <w:r w:rsidR="0072304A" w:rsidRPr="00835139">
        <w:rPr>
          <w:rtl/>
          <w:lang w:bidi="ar-EG"/>
        </w:rPr>
        <w:t xml:space="preserve"> </w:t>
      </w:r>
      <w:r w:rsidR="00C664A3">
        <w:rPr>
          <w:lang w:bidi="ar-EG"/>
        </w:rPr>
        <w:t>(</w:t>
      </w:r>
      <w:r w:rsidR="0072304A" w:rsidRPr="00835139">
        <w:rPr>
          <w:lang w:bidi="ar-EG"/>
        </w:rPr>
        <w:t>WRC-19</w:t>
      </w:r>
      <w:r w:rsidR="00C664A3">
        <w:rPr>
          <w:lang w:bidi="ar-EG"/>
        </w:rPr>
        <w:t>)</w:t>
      </w:r>
      <w:r w:rsidR="0072304A" w:rsidRPr="00835139">
        <w:rPr>
          <w:rtl/>
          <w:lang w:bidi="ar-EG"/>
        </w:rPr>
        <w:t xml:space="preserve"> </w:t>
      </w:r>
      <w:r w:rsidRPr="00835139">
        <w:rPr>
          <w:rtl/>
          <w:lang w:bidi="ar-EG"/>
        </w:rPr>
        <w:t>ثلاث</w:t>
      </w:r>
      <w:r w:rsidR="00695652">
        <w:rPr>
          <w:rFonts w:hint="cs"/>
          <w:rtl/>
          <w:lang w:bidi="ar-EG"/>
        </w:rPr>
        <w:t>ة</w:t>
      </w:r>
      <w:r w:rsidRPr="00835139">
        <w:rPr>
          <w:rtl/>
          <w:lang w:bidi="ar-EG"/>
        </w:rPr>
        <w:t xml:space="preserve"> </w:t>
      </w:r>
      <w:r w:rsidR="0072304A" w:rsidRPr="00835139">
        <w:rPr>
          <w:rFonts w:hint="cs"/>
          <w:rtl/>
          <w:lang w:bidi="ar-EG"/>
        </w:rPr>
        <w:t>أساليب</w:t>
      </w:r>
      <w:r w:rsidRPr="00835139">
        <w:rPr>
          <w:rtl/>
          <w:lang w:bidi="ar-EG"/>
        </w:rPr>
        <w:t xml:space="preserve"> لتلبية هذا البند من جدول الأعمال:</w:t>
      </w:r>
    </w:p>
    <w:p w14:paraId="2626CC5A" w14:textId="7A7427B2" w:rsidR="001E0BEF" w:rsidRPr="00835139" w:rsidRDefault="001E0BEF" w:rsidP="00C10F96">
      <w:pPr>
        <w:pStyle w:val="enumlev1"/>
        <w:rPr>
          <w:rtl/>
          <w:lang w:bidi="ar"/>
        </w:rPr>
      </w:pPr>
      <w:r w:rsidRPr="00835139">
        <w:rPr>
          <w:rFonts w:ascii="Traditional Arabic" w:hAnsi="Traditional Arabic"/>
          <w:sz w:val="30"/>
          <w:lang w:bidi="ar-EG"/>
        </w:rPr>
        <w:t>•</w:t>
      </w:r>
      <w:r w:rsidRPr="00835139">
        <w:rPr>
          <w:rtl/>
          <w:lang w:bidi="ar-EG"/>
        </w:rPr>
        <w:tab/>
      </w:r>
      <w:r w:rsidR="00DB1E05" w:rsidRPr="00835139">
        <w:rPr>
          <w:rFonts w:hint="cs"/>
          <w:i/>
          <w:rtl/>
        </w:rPr>
        <w:t xml:space="preserve">الأسلوب </w:t>
      </w:r>
      <w:r w:rsidR="00DB1E05" w:rsidRPr="00835139">
        <w:rPr>
          <w:iCs/>
          <w:lang w:bidi="ar"/>
        </w:rPr>
        <w:t>A</w:t>
      </w:r>
      <w:r w:rsidR="00DB1E05" w:rsidRPr="00835139">
        <w:rPr>
          <w:rFonts w:hint="cs"/>
          <w:i/>
          <w:rtl/>
        </w:rPr>
        <w:t>: عدم إدخال أي تغييرات على لوائح الراديو</w:t>
      </w:r>
      <w:r w:rsidR="00C10F96" w:rsidRPr="00835139">
        <w:rPr>
          <w:rFonts w:hint="cs"/>
          <w:rtl/>
          <w:lang w:bidi="ar"/>
        </w:rPr>
        <w:t>؛</w:t>
      </w:r>
    </w:p>
    <w:p w14:paraId="7B9965D6" w14:textId="74A101CC" w:rsidR="00C10F96" w:rsidRPr="00835139" w:rsidRDefault="00C10F96" w:rsidP="00C664A3">
      <w:pPr>
        <w:pStyle w:val="enumlev1"/>
        <w:spacing w:line="180" w:lineRule="auto"/>
        <w:rPr>
          <w:rtl/>
          <w:lang w:bidi="ar"/>
        </w:rPr>
      </w:pPr>
      <w:r w:rsidRPr="00835139">
        <w:rPr>
          <w:rFonts w:ascii="Traditional Arabic" w:hAnsi="Traditional Arabic"/>
          <w:sz w:val="30"/>
          <w:lang w:bidi="ar-EG"/>
        </w:rPr>
        <w:lastRenderedPageBreak/>
        <w:t>•</w:t>
      </w:r>
      <w:r w:rsidRPr="00835139">
        <w:rPr>
          <w:rtl/>
          <w:lang w:bidi="ar-EG"/>
        </w:rPr>
        <w:tab/>
      </w:r>
      <w:r w:rsidRPr="00835139">
        <w:rPr>
          <w:rFonts w:hint="cs"/>
          <w:i/>
          <w:rtl/>
        </w:rPr>
        <w:t xml:space="preserve">الأسلوب </w:t>
      </w:r>
      <w:r w:rsidRPr="00835139">
        <w:rPr>
          <w:iCs/>
          <w:lang w:bidi="ar"/>
        </w:rPr>
        <w:t>B</w:t>
      </w:r>
      <w:r w:rsidRPr="00835139">
        <w:rPr>
          <w:rFonts w:hint="cs"/>
          <w:i/>
          <w:rtl/>
        </w:rPr>
        <w:t xml:space="preserve">: عدم إدخال أي تغييرات على جدول توزيع نطاقات التردد في لوائح الراديو وإضافة قرار جديد للمؤتمر العالمي للاتصالات الراديوية لتشجيع الإدارات على استخدام نطاقات التردد المنسقة عالمياً وإقليمياً من أجل </w:t>
      </w:r>
      <w:bookmarkStart w:id="0" w:name="_Hlk22304966"/>
      <w:r w:rsidRPr="00835139">
        <w:rPr>
          <w:rFonts w:hint="eastAsia"/>
          <w:i/>
          <w:rtl/>
        </w:rPr>
        <w:t>تطبيقات</w:t>
      </w:r>
      <w:r w:rsidRPr="00835139">
        <w:rPr>
          <w:i/>
          <w:rtl/>
        </w:rPr>
        <w:t xml:space="preserve"> </w:t>
      </w:r>
      <w:r w:rsidRPr="00835139">
        <w:rPr>
          <w:rFonts w:hint="eastAsia"/>
          <w:i/>
          <w:rtl/>
        </w:rPr>
        <w:t>أنظمة</w:t>
      </w:r>
      <w:r w:rsidRPr="00835139">
        <w:rPr>
          <w:i/>
          <w:rtl/>
        </w:rPr>
        <w:t xml:space="preserve"> </w:t>
      </w:r>
      <w:r w:rsidRPr="00835139">
        <w:rPr>
          <w:rFonts w:hint="eastAsia"/>
          <w:i/>
          <w:rtl/>
        </w:rPr>
        <w:t>النقل</w:t>
      </w:r>
      <w:r w:rsidRPr="00835139">
        <w:rPr>
          <w:i/>
          <w:rtl/>
        </w:rPr>
        <w:t xml:space="preserve"> </w:t>
      </w:r>
      <w:r w:rsidRPr="00835139">
        <w:rPr>
          <w:rFonts w:hint="eastAsia"/>
          <w:i/>
          <w:rtl/>
        </w:rPr>
        <w:t>الذكية</w:t>
      </w:r>
      <w:bookmarkEnd w:id="0"/>
      <w:r w:rsidR="00DF36CA" w:rsidRPr="00835139">
        <w:rPr>
          <w:rFonts w:hint="cs"/>
          <w:i/>
          <w:rtl/>
        </w:rPr>
        <w:t>.</w:t>
      </w:r>
      <w:r w:rsidRPr="00835139">
        <w:rPr>
          <w:rFonts w:hint="cs"/>
          <w:rtl/>
          <w:lang w:bidi="ar-EG"/>
        </w:rPr>
        <w:t xml:space="preserve"> </w:t>
      </w:r>
      <w:r w:rsidRPr="00835139">
        <w:rPr>
          <w:rFonts w:hint="cs"/>
          <w:rtl/>
        </w:rPr>
        <w:t>وي</w:t>
      </w:r>
      <w:r w:rsidR="00C664A3">
        <w:rPr>
          <w:rFonts w:hint="cs"/>
          <w:rtl/>
        </w:rPr>
        <w:t>ُ</w:t>
      </w:r>
      <w:r w:rsidRPr="00835139">
        <w:rPr>
          <w:rFonts w:hint="cs"/>
          <w:rtl/>
        </w:rPr>
        <w:t xml:space="preserve">حال بشأن نطاق التردد </w:t>
      </w:r>
      <w:r w:rsidR="00835139" w:rsidRPr="00835139">
        <w:rPr>
          <w:rFonts w:hint="cs"/>
          <w:rtl/>
        </w:rPr>
        <w:t>الآخر</w:t>
      </w:r>
      <w:r w:rsidRPr="00835139">
        <w:rPr>
          <w:rFonts w:hint="cs"/>
          <w:rtl/>
        </w:rPr>
        <w:t xml:space="preserve"> المنسق (</w:t>
      </w:r>
      <w:r w:rsidR="00835139" w:rsidRPr="00835139">
        <w:rPr>
          <w:rtl/>
        </w:rPr>
        <w:t xml:space="preserve">نطاقات </w:t>
      </w:r>
      <w:r w:rsidR="00835139" w:rsidRPr="00835139">
        <w:rPr>
          <w:rFonts w:hint="cs"/>
          <w:rtl/>
        </w:rPr>
        <w:t xml:space="preserve">التردد الأخرى </w:t>
      </w:r>
      <w:r w:rsidRPr="00835139">
        <w:rPr>
          <w:rFonts w:hint="cs"/>
          <w:rtl/>
        </w:rPr>
        <w:t>المنسقة) من أجل تطبيقات أنظمة النقل الذكية الآخذة في التطور إلى أحدث نسخة من التوصية </w:t>
      </w:r>
      <w:r w:rsidRPr="00835139">
        <w:rPr>
          <w:lang w:bidi="ar-EG"/>
        </w:rPr>
        <w:t>ITU</w:t>
      </w:r>
      <w:r w:rsidRPr="00835139">
        <w:rPr>
          <w:lang w:bidi="ar-EG"/>
        </w:rPr>
        <w:noBreakHyphen/>
        <w:t>R M.2121</w:t>
      </w:r>
      <w:r w:rsidRPr="00835139">
        <w:rPr>
          <w:rFonts w:hint="cs"/>
          <w:rtl/>
          <w:lang w:bidi="ar"/>
        </w:rPr>
        <w:t>؛</w:t>
      </w:r>
    </w:p>
    <w:p w14:paraId="46E4CB99" w14:textId="48D309E4" w:rsidR="00C10F96" w:rsidRPr="00835139" w:rsidRDefault="00C10F96" w:rsidP="00C664A3">
      <w:pPr>
        <w:pStyle w:val="enumlev1"/>
        <w:spacing w:line="180" w:lineRule="auto"/>
        <w:rPr>
          <w:rtl/>
          <w:lang w:bidi="ar"/>
        </w:rPr>
      </w:pPr>
      <w:r w:rsidRPr="00835139">
        <w:rPr>
          <w:rFonts w:ascii="Traditional Arabic" w:hAnsi="Traditional Arabic"/>
          <w:sz w:val="30"/>
          <w:lang w:bidi="ar-EG"/>
        </w:rPr>
        <w:t>•</w:t>
      </w:r>
      <w:r w:rsidRPr="00835139">
        <w:rPr>
          <w:rtl/>
          <w:lang w:bidi="ar-EG"/>
        </w:rPr>
        <w:tab/>
      </w:r>
      <w:r w:rsidR="0092167A" w:rsidRPr="001F2440">
        <w:rPr>
          <w:rFonts w:hint="cs"/>
          <w:rtl/>
        </w:rPr>
        <w:t xml:space="preserve">الأسلوب </w:t>
      </w:r>
      <w:r w:rsidR="0092167A" w:rsidRPr="001F2440">
        <w:t>C</w:t>
      </w:r>
      <w:r w:rsidR="0092167A" w:rsidRPr="001F2440">
        <w:rPr>
          <w:rFonts w:hint="cs"/>
          <w:rtl/>
        </w:rPr>
        <w:t xml:space="preserve">: عدم إدخال أي تغييرات على جدول توزيع نطاقات التردد في لوائح الراديو وإضافة قرار جديد للمؤتمر العالمي للاتصالات الراديوية لتشجيع الإدارات على استخدام نطاقات التردد المنسقة عالمياً وإقليمياً من أجل </w:t>
      </w:r>
      <w:r w:rsidR="0092167A" w:rsidRPr="001F2440">
        <w:rPr>
          <w:rFonts w:hint="eastAsia"/>
          <w:rtl/>
        </w:rPr>
        <w:t>تطبيقات</w:t>
      </w:r>
      <w:r w:rsidR="0092167A" w:rsidRPr="001F2440">
        <w:rPr>
          <w:rtl/>
        </w:rPr>
        <w:t xml:space="preserve"> </w:t>
      </w:r>
      <w:r w:rsidR="0092167A" w:rsidRPr="001F2440">
        <w:rPr>
          <w:rFonts w:hint="eastAsia"/>
          <w:rtl/>
        </w:rPr>
        <w:t>أنظمة</w:t>
      </w:r>
      <w:r w:rsidR="0092167A" w:rsidRPr="001F2440">
        <w:rPr>
          <w:rtl/>
        </w:rPr>
        <w:t xml:space="preserve"> </w:t>
      </w:r>
      <w:r w:rsidR="0092167A" w:rsidRPr="001F2440">
        <w:rPr>
          <w:rFonts w:hint="eastAsia"/>
          <w:rtl/>
        </w:rPr>
        <w:t>النقل</w:t>
      </w:r>
      <w:r w:rsidR="0092167A" w:rsidRPr="001F2440">
        <w:rPr>
          <w:rtl/>
        </w:rPr>
        <w:t xml:space="preserve"> </w:t>
      </w:r>
      <w:r w:rsidR="0092167A" w:rsidRPr="001F2440">
        <w:rPr>
          <w:rFonts w:hint="eastAsia"/>
          <w:rtl/>
        </w:rPr>
        <w:t>الذكية</w:t>
      </w:r>
      <w:r w:rsidR="0092167A" w:rsidRPr="001F2440">
        <w:rPr>
          <w:rFonts w:hint="cs"/>
          <w:rtl/>
        </w:rPr>
        <w:t xml:space="preserve"> الآخذة في التطور من خلال الإحالة إلى أحدث نسخة من التوصية </w:t>
      </w:r>
      <w:r w:rsidR="0092167A" w:rsidRPr="001F2440">
        <w:t>ITU-R</w:t>
      </w:r>
      <w:r w:rsidR="001F2440">
        <w:t> </w:t>
      </w:r>
      <w:r w:rsidR="0092167A" w:rsidRPr="001F2440">
        <w:t>M.2121</w:t>
      </w:r>
      <w:r w:rsidR="0092167A" w:rsidRPr="001F2440">
        <w:rPr>
          <w:rFonts w:hint="cs"/>
          <w:rtl/>
        </w:rPr>
        <w:t>.</w:t>
      </w:r>
    </w:p>
    <w:p w14:paraId="1B504761" w14:textId="5643F138" w:rsidR="00AA2D34" w:rsidRPr="00835139" w:rsidRDefault="00695652" w:rsidP="00C664A3">
      <w:pPr>
        <w:spacing w:line="180" w:lineRule="auto"/>
        <w:rPr>
          <w:rtl/>
          <w:lang w:bidi="ar"/>
        </w:rPr>
      </w:pPr>
      <w:r>
        <w:rPr>
          <w:rFonts w:hint="cs"/>
          <w:rtl/>
          <w:lang w:bidi="ar"/>
        </w:rPr>
        <w:t>و</w:t>
      </w:r>
      <w:r w:rsidR="00AA2D34" w:rsidRPr="00835139">
        <w:rPr>
          <w:rtl/>
          <w:lang w:bidi="ar"/>
        </w:rPr>
        <w:t xml:space="preserve">بموجب جميع </w:t>
      </w:r>
      <w:r w:rsidR="00AA2D34" w:rsidRPr="00835139">
        <w:rPr>
          <w:rFonts w:hint="cs"/>
          <w:rtl/>
          <w:lang w:bidi="ar"/>
        </w:rPr>
        <w:t>الأساليب</w:t>
      </w:r>
      <w:r w:rsidR="00AA2D34" w:rsidRPr="00835139">
        <w:rPr>
          <w:rtl/>
          <w:lang w:bidi="ar"/>
        </w:rPr>
        <w:t xml:space="preserve">، يتعين </w:t>
      </w:r>
      <w:r w:rsidR="00AA2D34" w:rsidRPr="00835139">
        <w:rPr>
          <w:rFonts w:hint="cs"/>
          <w:rtl/>
          <w:lang w:bidi="ar"/>
        </w:rPr>
        <w:t>حذف</w:t>
      </w:r>
      <w:r w:rsidR="00AA2D34" w:rsidRPr="00835139">
        <w:rPr>
          <w:rtl/>
          <w:lang w:bidi="ar"/>
        </w:rPr>
        <w:t xml:space="preserve"> القرار </w:t>
      </w:r>
      <w:r w:rsidR="00AA2D34" w:rsidRPr="00835139">
        <w:rPr>
          <w:rFonts w:cs="Times New Roman"/>
          <w:b/>
          <w:szCs w:val="22"/>
          <w:lang w:val="en-GB"/>
        </w:rPr>
        <w:t>237 (WRC-15)</w:t>
      </w:r>
      <w:r w:rsidR="00AA2D34" w:rsidRPr="00835139">
        <w:rPr>
          <w:rtl/>
          <w:lang w:bidi="ar"/>
        </w:rPr>
        <w:t>.</w:t>
      </w:r>
    </w:p>
    <w:p w14:paraId="3327B273" w14:textId="06E1AD81" w:rsidR="00AA2D34" w:rsidRPr="00835139" w:rsidRDefault="00835139" w:rsidP="00695652">
      <w:pPr>
        <w:spacing w:line="180" w:lineRule="auto"/>
        <w:rPr>
          <w:rtl/>
          <w:lang w:bidi="ar"/>
        </w:rPr>
      </w:pPr>
      <w:r w:rsidRPr="00835139">
        <w:rPr>
          <w:rFonts w:hint="cs"/>
          <w:rtl/>
          <w:lang w:bidi="ar"/>
        </w:rPr>
        <w:t>و</w:t>
      </w:r>
      <w:r w:rsidR="00AA2D34" w:rsidRPr="00835139">
        <w:rPr>
          <w:rtl/>
          <w:lang w:bidi="ar"/>
        </w:rPr>
        <w:t>ترى أستراليا أن تنسيق تطبيقات الاتصالات</w:t>
      </w:r>
      <w:r w:rsidR="00695652">
        <w:rPr>
          <w:rtl/>
          <w:lang w:bidi="ar"/>
        </w:rPr>
        <w:t xml:space="preserve"> الراديوية ينبغي أ</w:t>
      </w:r>
      <w:r w:rsidR="00695652">
        <w:rPr>
          <w:rFonts w:hint="cs"/>
          <w:rtl/>
          <w:lang w:bidi="ar"/>
        </w:rPr>
        <w:t>لا</w:t>
      </w:r>
      <w:r w:rsidR="00C664A3">
        <w:rPr>
          <w:rtl/>
          <w:lang w:bidi="ar"/>
        </w:rPr>
        <w:t xml:space="preserve"> يكون شرط</w:t>
      </w:r>
      <w:r w:rsidR="00AA2D34" w:rsidRPr="00835139">
        <w:rPr>
          <w:rtl/>
          <w:lang w:bidi="ar"/>
        </w:rPr>
        <w:t>ا</w:t>
      </w:r>
      <w:r w:rsidR="00C664A3">
        <w:rPr>
          <w:rFonts w:hint="cs"/>
          <w:rtl/>
          <w:lang w:bidi="ar"/>
        </w:rPr>
        <w:t>ً</w:t>
      </w:r>
      <w:r w:rsidR="00C664A3">
        <w:rPr>
          <w:rtl/>
          <w:lang w:bidi="ar"/>
        </w:rPr>
        <w:t xml:space="preserve"> إلزامي</w:t>
      </w:r>
      <w:r w:rsidR="00AA2D34" w:rsidRPr="00835139">
        <w:rPr>
          <w:rtl/>
          <w:lang w:bidi="ar"/>
        </w:rPr>
        <w:t>ا</w:t>
      </w:r>
      <w:r w:rsidR="00C664A3">
        <w:rPr>
          <w:rFonts w:hint="cs"/>
          <w:rtl/>
          <w:lang w:bidi="ar"/>
        </w:rPr>
        <w:t>ً</w:t>
      </w:r>
      <w:r w:rsidR="00695652">
        <w:rPr>
          <w:rtl/>
          <w:lang w:bidi="ar"/>
        </w:rPr>
        <w:t xml:space="preserve"> من خلال لوائح الراديو، و</w:t>
      </w:r>
      <w:r w:rsidR="00AA2D34" w:rsidRPr="00835139">
        <w:rPr>
          <w:rtl/>
          <w:lang w:bidi="ar"/>
        </w:rPr>
        <w:t xml:space="preserve">ينبغي </w:t>
      </w:r>
      <w:r w:rsidR="00695652">
        <w:rPr>
          <w:rFonts w:hint="cs"/>
          <w:rtl/>
          <w:lang w:bidi="ar"/>
        </w:rPr>
        <w:t>ألا</w:t>
      </w:r>
      <w:r w:rsidR="00071699" w:rsidRPr="00835139">
        <w:rPr>
          <w:rFonts w:hint="cs"/>
          <w:rtl/>
          <w:lang w:bidi="ar"/>
        </w:rPr>
        <w:t xml:space="preserve"> يُدرج في</w:t>
      </w:r>
      <w:r w:rsidR="00695652">
        <w:rPr>
          <w:rFonts w:hint="cs"/>
          <w:rtl/>
          <w:lang w:bidi="ar"/>
        </w:rPr>
        <w:t> </w:t>
      </w:r>
      <w:r w:rsidR="00AA2D34" w:rsidRPr="00835139">
        <w:rPr>
          <w:rtl/>
          <w:lang w:bidi="ar"/>
        </w:rPr>
        <w:t xml:space="preserve">قرار </w:t>
      </w:r>
      <w:r w:rsidR="00695652">
        <w:rPr>
          <w:rFonts w:hint="cs"/>
          <w:rtl/>
          <w:lang w:bidi="ar"/>
        </w:rPr>
        <w:t>ل</w:t>
      </w:r>
      <w:r w:rsidR="00AA2D34" w:rsidRPr="00835139">
        <w:rPr>
          <w:rtl/>
          <w:lang w:bidi="ar"/>
        </w:rPr>
        <w:t xml:space="preserve">قطاع الاتصالات الراديوية. </w:t>
      </w:r>
      <w:r w:rsidR="000310A8" w:rsidRPr="00835139">
        <w:rPr>
          <w:rFonts w:hint="cs"/>
          <w:rtl/>
          <w:lang w:bidi="ar"/>
        </w:rPr>
        <w:t>و</w:t>
      </w:r>
      <w:r w:rsidR="00AA2D34" w:rsidRPr="00835139">
        <w:rPr>
          <w:rtl/>
          <w:lang w:bidi="ar"/>
        </w:rPr>
        <w:t xml:space="preserve">يمكن تحقيق تنسيق الطيف على أفضل وجه من خلال </w:t>
      </w:r>
      <w:r w:rsidR="000310A8" w:rsidRPr="00835139">
        <w:rPr>
          <w:rFonts w:hint="cs"/>
          <w:rtl/>
          <w:lang w:bidi="ar"/>
        </w:rPr>
        <w:t>إعداد</w:t>
      </w:r>
      <w:r w:rsidR="00AA2D34" w:rsidRPr="00835139">
        <w:rPr>
          <w:rtl/>
          <w:lang w:bidi="ar"/>
        </w:rPr>
        <w:t xml:space="preserve"> توصيات </w:t>
      </w:r>
      <w:r w:rsidR="00695652">
        <w:rPr>
          <w:rFonts w:hint="cs"/>
          <w:rtl/>
          <w:lang w:bidi="ar"/>
        </w:rPr>
        <w:t>ل</w:t>
      </w:r>
      <w:r w:rsidR="00AA2D34" w:rsidRPr="00835139">
        <w:rPr>
          <w:rtl/>
          <w:lang w:bidi="ar"/>
        </w:rPr>
        <w:t>قطاع الاتصالات الراديوية</w:t>
      </w:r>
      <w:r w:rsidR="004B634D" w:rsidRPr="00835139">
        <w:rPr>
          <w:rFonts w:hint="cs"/>
          <w:rtl/>
          <w:lang w:bidi="ar"/>
        </w:rPr>
        <w:t xml:space="preserve"> مدعومة</w:t>
      </w:r>
      <w:r w:rsidR="00AA2D34" w:rsidRPr="00835139">
        <w:rPr>
          <w:rtl/>
          <w:lang w:bidi="ar"/>
        </w:rPr>
        <w:t xml:space="preserve"> </w:t>
      </w:r>
      <w:r w:rsidR="004B634D" w:rsidRPr="00835139">
        <w:rPr>
          <w:rFonts w:hint="cs"/>
          <w:rtl/>
          <w:lang w:bidi="ar"/>
        </w:rPr>
        <w:t>ب</w:t>
      </w:r>
      <w:r w:rsidR="00AA2D34" w:rsidRPr="00835139">
        <w:rPr>
          <w:rtl/>
          <w:lang w:bidi="ar"/>
        </w:rPr>
        <w:t>تقارير قطاع الاتصالات الراديوية الجديدة و/أو المراجعة ذات الصلة</w:t>
      </w:r>
      <w:r w:rsidR="002B060C" w:rsidRPr="00835139">
        <w:rPr>
          <w:rFonts w:hint="cs"/>
          <w:rtl/>
          <w:lang w:bidi="ar"/>
        </w:rPr>
        <w:t xml:space="preserve"> بالموضوع</w:t>
      </w:r>
      <w:r w:rsidR="00AA2D34" w:rsidRPr="00835139">
        <w:rPr>
          <w:rtl/>
          <w:lang w:bidi="ar"/>
        </w:rPr>
        <w:t xml:space="preserve">. </w:t>
      </w:r>
      <w:r w:rsidR="00251C77" w:rsidRPr="00835139">
        <w:rPr>
          <w:rFonts w:hint="cs"/>
          <w:rtl/>
          <w:lang w:bidi="ar"/>
        </w:rPr>
        <w:t>ويتيح</w:t>
      </w:r>
      <w:r w:rsidR="00AA2D34" w:rsidRPr="00835139">
        <w:rPr>
          <w:rtl/>
          <w:lang w:bidi="ar"/>
        </w:rPr>
        <w:t xml:space="preserve"> هذا</w:t>
      </w:r>
      <w:r w:rsidR="00251C77" w:rsidRPr="00835139">
        <w:rPr>
          <w:rFonts w:hint="cs"/>
          <w:rtl/>
          <w:lang w:bidi="ar"/>
        </w:rPr>
        <w:t xml:space="preserve"> الأمر</w:t>
      </w:r>
      <w:r w:rsidR="00AA2D34" w:rsidRPr="00835139">
        <w:rPr>
          <w:rtl/>
          <w:lang w:bidi="ar"/>
        </w:rPr>
        <w:t xml:space="preserve"> المرونة اللازمة لتطبيقات </w:t>
      </w:r>
      <w:r w:rsidR="00251C77" w:rsidRPr="00835139">
        <w:rPr>
          <w:rFonts w:hint="eastAsia"/>
          <w:i/>
          <w:rtl/>
        </w:rPr>
        <w:t>أنظمة</w:t>
      </w:r>
      <w:r w:rsidR="00251C77" w:rsidRPr="00835139">
        <w:rPr>
          <w:i/>
          <w:rtl/>
        </w:rPr>
        <w:t xml:space="preserve"> </w:t>
      </w:r>
      <w:r w:rsidR="00251C77" w:rsidRPr="00835139">
        <w:rPr>
          <w:rFonts w:hint="eastAsia"/>
          <w:i/>
          <w:rtl/>
        </w:rPr>
        <w:t>النقل</w:t>
      </w:r>
      <w:r w:rsidR="00251C77" w:rsidRPr="00835139">
        <w:rPr>
          <w:i/>
          <w:rtl/>
        </w:rPr>
        <w:t xml:space="preserve"> </w:t>
      </w:r>
      <w:r w:rsidR="00251C77" w:rsidRPr="00835139">
        <w:rPr>
          <w:rFonts w:hint="eastAsia"/>
          <w:i/>
          <w:rtl/>
        </w:rPr>
        <w:t>الذكية</w:t>
      </w:r>
      <w:r w:rsidR="00AA2D34" w:rsidRPr="00835139">
        <w:rPr>
          <w:rtl/>
          <w:lang w:bidi="ar"/>
        </w:rPr>
        <w:t xml:space="preserve"> </w:t>
      </w:r>
      <w:r w:rsidR="00251C77" w:rsidRPr="00835139">
        <w:rPr>
          <w:rFonts w:hint="cs"/>
          <w:rtl/>
          <w:lang w:bidi="ar"/>
        </w:rPr>
        <w:t>الآخذة في التطور</w:t>
      </w:r>
      <w:r w:rsidR="00AA2D34" w:rsidRPr="00835139">
        <w:rPr>
          <w:rtl/>
          <w:lang w:bidi="ar"/>
        </w:rPr>
        <w:t>.</w:t>
      </w:r>
    </w:p>
    <w:p w14:paraId="7434058E" w14:textId="735EF911" w:rsidR="00DF36CA" w:rsidRPr="00835139" w:rsidRDefault="002B060C" w:rsidP="00C664A3">
      <w:pPr>
        <w:spacing w:line="180" w:lineRule="auto"/>
        <w:rPr>
          <w:rtl/>
          <w:lang w:bidi="ar"/>
        </w:rPr>
      </w:pPr>
      <w:r w:rsidRPr="00835139">
        <w:rPr>
          <w:rFonts w:hint="cs"/>
          <w:rtl/>
          <w:lang w:bidi="ar"/>
        </w:rPr>
        <w:t>و</w:t>
      </w:r>
      <w:r w:rsidR="00AA2D34" w:rsidRPr="00835139">
        <w:rPr>
          <w:rtl/>
          <w:lang w:bidi="ar"/>
        </w:rPr>
        <w:t xml:space="preserve">بالإضافة إلى ذلك، </w:t>
      </w:r>
      <w:r w:rsidRPr="00835139">
        <w:rPr>
          <w:rFonts w:hint="cs"/>
          <w:rtl/>
          <w:lang w:bidi="ar"/>
        </w:rPr>
        <w:t xml:space="preserve">يُعتبر </w:t>
      </w:r>
      <w:r w:rsidR="00AA2D34" w:rsidRPr="00835139">
        <w:rPr>
          <w:rtl/>
          <w:lang w:bidi="ar"/>
        </w:rPr>
        <w:t xml:space="preserve">اختيار تكنولوجيا </w:t>
      </w:r>
      <w:r w:rsidRPr="00835139">
        <w:rPr>
          <w:rtl/>
          <w:lang w:bidi="ar"/>
        </w:rPr>
        <w:t xml:space="preserve">أنظمة النقل الذكية </w:t>
      </w:r>
      <w:r w:rsidR="00AA2D34" w:rsidRPr="00835139">
        <w:rPr>
          <w:rtl/>
          <w:lang w:bidi="ar"/>
        </w:rPr>
        <w:t>المفضلة أمر</w:t>
      </w:r>
      <w:r w:rsidRPr="00835139">
        <w:rPr>
          <w:rFonts w:hint="cs"/>
          <w:rtl/>
          <w:lang w:bidi="ar"/>
        </w:rPr>
        <w:t>اً</w:t>
      </w:r>
      <w:r w:rsidR="00AA2D34" w:rsidRPr="00835139">
        <w:rPr>
          <w:rtl/>
          <w:lang w:bidi="ar"/>
        </w:rPr>
        <w:t xml:space="preserve"> يخص الإدارات الوطنية فقط، وهو خارج نطاق القرار</w:t>
      </w:r>
      <w:r w:rsidR="00C664A3">
        <w:rPr>
          <w:rFonts w:hint="cs"/>
          <w:rtl/>
          <w:lang w:bidi="ar"/>
        </w:rPr>
        <w:t> </w:t>
      </w:r>
      <w:r w:rsidRPr="00835139">
        <w:rPr>
          <w:rFonts w:cs="Times New Roman"/>
          <w:b/>
          <w:szCs w:val="22"/>
          <w:lang w:val="en-GB"/>
        </w:rPr>
        <w:t>237 (WRC-15)</w:t>
      </w:r>
      <w:r w:rsidRPr="00835139">
        <w:rPr>
          <w:rFonts w:cs="Times New Roman" w:hint="cs"/>
          <w:b/>
          <w:sz w:val="24"/>
          <w:szCs w:val="20"/>
          <w:rtl/>
          <w:lang w:val="en-GB"/>
        </w:rPr>
        <w:t xml:space="preserve">. </w:t>
      </w:r>
      <w:r w:rsidR="00B809CA" w:rsidRPr="00835139">
        <w:rPr>
          <w:rFonts w:hint="cs"/>
          <w:rtl/>
          <w:lang w:bidi="ar"/>
        </w:rPr>
        <w:t>و</w:t>
      </w:r>
      <w:r w:rsidR="00AA2D34" w:rsidRPr="00835139">
        <w:rPr>
          <w:rtl/>
          <w:lang w:bidi="ar"/>
        </w:rPr>
        <w:t>لا ينبغي تناوله في أي</w:t>
      </w:r>
      <w:r w:rsidR="00C664A3">
        <w:rPr>
          <w:rFonts w:hint="cs"/>
          <w:rtl/>
          <w:lang w:bidi="ar"/>
        </w:rPr>
        <w:t>ّ</w:t>
      </w:r>
      <w:r w:rsidR="00942E6B" w:rsidRPr="00835139">
        <w:rPr>
          <w:rFonts w:hint="cs"/>
          <w:rtl/>
          <w:lang w:bidi="ar"/>
        </w:rPr>
        <w:t xml:space="preserve"> من</w:t>
      </w:r>
      <w:r w:rsidR="00AA2D34" w:rsidRPr="00835139">
        <w:rPr>
          <w:rtl/>
          <w:lang w:bidi="ar"/>
        </w:rPr>
        <w:t xml:space="preserve"> </w:t>
      </w:r>
      <w:r w:rsidR="0080459C" w:rsidRPr="00835139">
        <w:rPr>
          <w:rFonts w:hint="cs"/>
          <w:rtl/>
          <w:lang w:bidi="ar"/>
        </w:rPr>
        <w:t>ال</w:t>
      </w:r>
      <w:r w:rsidR="00AA2D34" w:rsidRPr="00835139">
        <w:rPr>
          <w:rtl/>
          <w:lang w:bidi="ar"/>
        </w:rPr>
        <w:t>قرار</w:t>
      </w:r>
      <w:r w:rsidR="00942E6B" w:rsidRPr="00835139">
        <w:rPr>
          <w:rFonts w:hint="cs"/>
          <w:rtl/>
          <w:lang w:bidi="ar"/>
        </w:rPr>
        <w:t>ات</w:t>
      </w:r>
      <w:r w:rsidR="00AA2D34" w:rsidRPr="00835139">
        <w:rPr>
          <w:rtl/>
          <w:lang w:bidi="ar"/>
        </w:rPr>
        <w:t xml:space="preserve"> أو </w:t>
      </w:r>
      <w:r w:rsidR="0080459C" w:rsidRPr="00835139">
        <w:rPr>
          <w:rFonts w:hint="cs"/>
          <w:rtl/>
          <w:lang w:bidi="ar"/>
        </w:rPr>
        <w:t>ال</w:t>
      </w:r>
      <w:r w:rsidR="00AA2D34" w:rsidRPr="00835139">
        <w:rPr>
          <w:rtl/>
          <w:lang w:bidi="ar"/>
        </w:rPr>
        <w:t>توصي</w:t>
      </w:r>
      <w:r w:rsidR="00942E6B" w:rsidRPr="00835139">
        <w:rPr>
          <w:rFonts w:hint="cs"/>
          <w:rtl/>
          <w:lang w:bidi="ar"/>
        </w:rPr>
        <w:t>ات</w:t>
      </w:r>
      <w:r w:rsidR="0080459C" w:rsidRPr="00835139">
        <w:rPr>
          <w:rtl/>
        </w:rPr>
        <w:t xml:space="preserve"> </w:t>
      </w:r>
      <w:r w:rsidR="0080459C" w:rsidRPr="00835139">
        <w:rPr>
          <w:rtl/>
          <w:lang w:bidi="ar"/>
        </w:rPr>
        <w:t>المحتملة</w:t>
      </w:r>
      <w:r w:rsidR="00AA2D34" w:rsidRPr="00835139">
        <w:rPr>
          <w:rtl/>
          <w:lang w:bidi="ar"/>
        </w:rPr>
        <w:t xml:space="preserve"> </w:t>
      </w:r>
      <w:r w:rsidR="0080459C" w:rsidRPr="00835139">
        <w:rPr>
          <w:rFonts w:hint="cs"/>
          <w:rtl/>
          <w:lang w:bidi="ar"/>
        </w:rPr>
        <w:t>ل</w:t>
      </w:r>
      <w:r w:rsidR="00AA2D34" w:rsidRPr="00835139">
        <w:rPr>
          <w:rtl/>
          <w:lang w:bidi="ar"/>
        </w:rPr>
        <w:t>قطاع الاتصالات الراديوية.</w:t>
      </w:r>
    </w:p>
    <w:p w14:paraId="702792FC" w14:textId="69C38B1E" w:rsidR="00DF36CA" w:rsidRPr="00835139" w:rsidRDefault="00DF36CA" w:rsidP="00C664A3">
      <w:pPr>
        <w:pStyle w:val="Heading1"/>
        <w:spacing w:line="180" w:lineRule="auto"/>
        <w:rPr>
          <w:rtl/>
        </w:rPr>
      </w:pPr>
      <w:r w:rsidRPr="00835139">
        <w:t>2</w:t>
      </w:r>
      <w:r w:rsidRPr="00835139">
        <w:tab/>
      </w:r>
      <w:r w:rsidR="00196805">
        <w:rPr>
          <w:rFonts w:hint="cs"/>
          <w:rtl/>
        </w:rPr>
        <w:t>ال</w:t>
      </w:r>
      <w:r w:rsidR="00BC55A3" w:rsidRPr="00835139">
        <w:rPr>
          <w:rFonts w:hint="cs"/>
          <w:rtl/>
        </w:rPr>
        <w:t>مقترحات</w:t>
      </w:r>
    </w:p>
    <w:p w14:paraId="3C0320E6" w14:textId="48A5E7AE" w:rsidR="001610C1" w:rsidRPr="00835139" w:rsidRDefault="00A61507" w:rsidP="00C664A3">
      <w:pPr>
        <w:spacing w:line="180" w:lineRule="auto"/>
        <w:rPr>
          <w:rtl/>
          <w:lang w:bidi="ar-EG"/>
        </w:rPr>
      </w:pPr>
      <w:r w:rsidRPr="00835139">
        <w:rPr>
          <w:rtl/>
          <w:lang w:bidi="ar-EG"/>
        </w:rPr>
        <w:t>تقترح أستراليا</w:t>
      </w:r>
      <w:r w:rsidR="002F5531">
        <w:rPr>
          <w:rFonts w:hint="cs"/>
          <w:rtl/>
          <w:lang w:bidi="ar-EG"/>
        </w:rPr>
        <w:t xml:space="preserve"> عدم</w:t>
      </w:r>
      <w:r w:rsidRPr="00835139">
        <w:rPr>
          <w:rFonts w:hint="cs"/>
          <w:rtl/>
          <w:lang w:bidi="ar-EG"/>
        </w:rPr>
        <w:t xml:space="preserve"> إدخال أي</w:t>
      </w:r>
      <w:r w:rsidRPr="00835139">
        <w:rPr>
          <w:rtl/>
          <w:lang w:bidi="ar-EG"/>
        </w:rPr>
        <w:t xml:space="preserve"> تغيير</w:t>
      </w:r>
      <w:r w:rsidRPr="00835139">
        <w:rPr>
          <w:rFonts w:hint="cs"/>
          <w:rtl/>
          <w:lang w:bidi="ar-EG"/>
        </w:rPr>
        <w:t>ات</w:t>
      </w:r>
      <w:r w:rsidRPr="00835139">
        <w:rPr>
          <w:rtl/>
          <w:lang w:bidi="ar-EG"/>
        </w:rPr>
        <w:t xml:space="preserve"> تنظيمي</w:t>
      </w:r>
      <w:r w:rsidRPr="00835139">
        <w:rPr>
          <w:rFonts w:hint="cs"/>
          <w:rtl/>
          <w:lang w:bidi="ar-EG"/>
        </w:rPr>
        <w:t>ة</w:t>
      </w:r>
      <w:r w:rsidRPr="00835139">
        <w:rPr>
          <w:rtl/>
          <w:lang w:bidi="ar-EG"/>
        </w:rPr>
        <w:t xml:space="preserve"> </w:t>
      </w:r>
      <w:r w:rsidR="002F5531">
        <w:rPr>
          <w:rFonts w:hint="cs"/>
          <w:rtl/>
          <w:lang w:bidi="ar-EG"/>
        </w:rPr>
        <w:t>بشأن</w:t>
      </w:r>
      <w:r w:rsidRPr="00835139">
        <w:rPr>
          <w:rFonts w:hint="cs"/>
          <w:rtl/>
          <w:lang w:bidi="ar-EG"/>
        </w:rPr>
        <w:t xml:space="preserve"> </w:t>
      </w:r>
      <w:r w:rsidRPr="00835139">
        <w:rPr>
          <w:rtl/>
          <w:lang w:bidi="ar-EG"/>
        </w:rPr>
        <w:t>هذا البند من جدول الأعمال،</w:t>
      </w:r>
      <w:r w:rsidR="00053A8C" w:rsidRPr="00835139">
        <w:rPr>
          <w:rFonts w:hint="cs"/>
          <w:rtl/>
          <w:lang w:bidi="ar-EG"/>
        </w:rPr>
        <w:t xml:space="preserve"> كما هو مبين</w:t>
      </w:r>
      <w:r w:rsidRPr="00835139">
        <w:rPr>
          <w:rtl/>
          <w:lang w:bidi="ar-EG"/>
        </w:rPr>
        <w:t xml:space="preserve"> على النحو التالي:</w:t>
      </w:r>
    </w:p>
    <w:p w14:paraId="00C60EDE" w14:textId="77777777" w:rsidR="00FB7A50" w:rsidRPr="00835139" w:rsidRDefault="00B86C55" w:rsidP="00C664A3">
      <w:pPr>
        <w:pStyle w:val="Proposal"/>
        <w:spacing w:line="180" w:lineRule="auto"/>
      </w:pPr>
      <w:r w:rsidRPr="00835139">
        <w:rPr>
          <w:u w:val="single"/>
        </w:rPr>
        <w:t>NOC</w:t>
      </w:r>
      <w:r w:rsidRPr="00835139">
        <w:tab/>
        <w:t>AUS/47A12/1</w:t>
      </w:r>
    </w:p>
    <w:p w14:paraId="493514F1" w14:textId="64596F4E" w:rsidR="00FB7A50" w:rsidRPr="007008C2" w:rsidRDefault="00D405BE" w:rsidP="001F2440">
      <w:pPr>
        <w:pStyle w:val="Volumetitle"/>
        <w:keepNext w:val="0"/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 w:after="0" w:line="180" w:lineRule="auto"/>
        <w:textAlignment w:val="baseline"/>
        <w:rPr>
          <w:rFonts w:ascii="Traditional Arabic" w:hAnsi="Traditional Arabic"/>
          <w:sz w:val="40"/>
          <w:rtl/>
          <w:lang w:val="en-GB" w:bidi="ar-SA"/>
        </w:rPr>
      </w:pPr>
      <w:r w:rsidRPr="007008C2">
        <w:rPr>
          <w:rFonts w:ascii="Traditional Arabic" w:hAnsi="Traditional Arabic"/>
          <w:sz w:val="40"/>
          <w:rtl/>
          <w:lang w:val="en-GB" w:bidi="ar-SA"/>
        </w:rPr>
        <w:t>المواد</w:t>
      </w:r>
    </w:p>
    <w:p w14:paraId="14714788" w14:textId="1B511E64" w:rsidR="00FB7A50" w:rsidRPr="007008C2" w:rsidRDefault="00B86C55" w:rsidP="00C664A3">
      <w:pPr>
        <w:pStyle w:val="Reasons"/>
        <w:spacing w:line="180" w:lineRule="auto"/>
        <w:rPr>
          <w:b w:val="0"/>
          <w:bCs w:val="0"/>
        </w:rPr>
      </w:pPr>
      <w:r w:rsidRPr="00835139">
        <w:rPr>
          <w:rtl/>
        </w:rPr>
        <w:t>الأسباب:</w:t>
      </w:r>
      <w:r w:rsidRPr="00835139">
        <w:tab/>
      </w:r>
      <w:r w:rsidR="0067383C" w:rsidRPr="007008C2">
        <w:rPr>
          <w:rFonts w:hint="cs"/>
          <w:b w:val="0"/>
          <w:bCs w:val="0"/>
          <w:rtl/>
        </w:rPr>
        <w:t>عدم إدخال</w:t>
      </w:r>
      <w:r w:rsidR="0067383C" w:rsidRPr="007008C2">
        <w:rPr>
          <w:b w:val="0"/>
          <w:bCs w:val="0"/>
          <w:rtl/>
        </w:rPr>
        <w:t xml:space="preserve"> أي تغيير</w:t>
      </w:r>
      <w:r w:rsidR="0067383C" w:rsidRPr="007008C2">
        <w:rPr>
          <w:rFonts w:hint="cs"/>
          <w:b w:val="0"/>
          <w:bCs w:val="0"/>
          <w:rtl/>
        </w:rPr>
        <w:t>ات</w:t>
      </w:r>
      <w:r w:rsidR="0067383C" w:rsidRPr="007008C2">
        <w:rPr>
          <w:b w:val="0"/>
          <w:bCs w:val="0"/>
          <w:rtl/>
        </w:rPr>
        <w:t xml:space="preserve"> على </w:t>
      </w:r>
      <w:r w:rsidR="0067383C" w:rsidRPr="001F2440">
        <w:rPr>
          <w:rtl/>
        </w:rPr>
        <w:t>المواد</w:t>
      </w:r>
      <w:r w:rsidR="0067383C" w:rsidRPr="007008C2">
        <w:rPr>
          <w:b w:val="0"/>
          <w:bCs w:val="0"/>
          <w:rtl/>
        </w:rPr>
        <w:t xml:space="preserve"> الواردة في المجلد</w:t>
      </w:r>
      <w:r w:rsidR="0067383C" w:rsidRPr="007008C2">
        <w:rPr>
          <w:rFonts w:hint="cs"/>
          <w:b w:val="0"/>
          <w:bCs w:val="0"/>
          <w:rtl/>
        </w:rPr>
        <w:t xml:space="preserve"> </w:t>
      </w:r>
      <w:r w:rsidR="0067383C" w:rsidRPr="007008C2">
        <w:rPr>
          <w:rFonts w:ascii="Times New Roman"/>
          <w:b w:val="0"/>
        </w:rPr>
        <w:t>1</w:t>
      </w:r>
      <w:r w:rsidR="0067383C" w:rsidRPr="007008C2">
        <w:rPr>
          <w:rFonts w:hint="cs"/>
          <w:b w:val="0"/>
          <w:bCs w:val="0"/>
          <w:rtl/>
        </w:rPr>
        <w:t xml:space="preserve"> </w:t>
      </w:r>
      <w:r w:rsidR="0067383C" w:rsidRPr="007008C2">
        <w:rPr>
          <w:b w:val="0"/>
          <w:bCs w:val="0"/>
          <w:rtl/>
        </w:rPr>
        <w:t xml:space="preserve">من لوائح الراديو </w:t>
      </w:r>
      <w:r w:rsidR="003E27B7" w:rsidRPr="007008C2">
        <w:rPr>
          <w:rFonts w:hint="cs"/>
          <w:b w:val="0"/>
          <w:bCs w:val="0"/>
          <w:rtl/>
        </w:rPr>
        <w:t xml:space="preserve">هو أمر </w:t>
      </w:r>
      <w:r w:rsidR="0067383C" w:rsidRPr="007008C2">
        <w:rPr>
          <w:b w:val="0"/>
          <w:bCs w:val="0"/>
          <w:rtl/>
        </w:rPr>
        <w:t xml:space="preserve">مناسب أو ضروري </w:t>
      </w:r>
      <w:r w:rsidR="003E27B7" w:rsidRPr="007008C2">
        <w:rPr>
          <w:rFonts w:hint="cs"/>
          <w:b w:val="0"/>
          <w:bCs w:val="0"/>
          <w:rtl/>
        </w:rPr>
        <w:t>لاستيفاء</w:t>
      </w:r>
      <w:r w:rsidR="0067383C" w:rsidRPr="007008C2">
        <w:rPr>
          <w:b w:val="0"/>
          <w:bCs w:val="0"/>
          <w:rtl/>
        </w:rPr>
        <w:t xml:space="preserve"> هذا البند من جدول الأعمال</w:t>
      </w:r>
      <w:r w:rsidR="005C0E53" w:rsidRPr="007008C2">
        <w:rPr>
          <w:rFonts w:hint="cs"/>
          <w:b w:val="0"/>
          <w:bCs w:val="0"/>
          <w:rtl/>
        </w:rPr>
        <w:t>.</w:t>
      </w:r>
    </w:p>
    <w:p w14:paraId="58D1F383" w14:textId="77777777" w:rsidR="00FB7A50" w:rsidRPr="00835139" w:rsidRDefault="00B86C55" w:rsidP="00C664A3">
      <w:pPr>
        <w:pStyle w:val="Proposal"/>
        <w:spacing w:line="180" w:lineRule="auto"/>
      </w:pPr>
      <w:r w:rsidRPr="00835139">
        <w:rPr>
          <w:u w:val="single"/>
        </w:rPr>
        <w:t>NOC</w:t>
      </w:r>
      <w:r w:rsidRPr="00835139">
        <w:tab/>
        <w:t>AUS/47A12/2</w:t>
      </w:r>
    </w:p>
    <w:p w14:paraId="7F88BC3A" w14:textId="27B10470" w:rsidR="005C0E53" w:rsidRPr="007008C2" w:rsidRDefault="00E928DD" w:rsidP="001F2440">
      <w:pPr>
        <w:pStyle w:val="Volumetitle"/>
        <w:keepNext w:val="0"/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 w:after="0" w:line="180" w:lineRule="auto"/>
        <w:textAlignment w:val="baseline"/>
        <w:rPr>
          <w:rtl/>
        </w:rPr>
      </w:pPr>
      <w:r w:rsidRPr="007008C2">
        <w:rPr>
          <w:rFonts w:ascii="Traditional Arabic" w:hAnsi="Traditional Arabic" w:hint="cs"/>
          <w:sz w:val="40"/>
          <w:rtl/>
          <w:lang w:val="en-GB" w:bidi="ar-SA"/>
        </w:rPr>
        <w:t>التذييلات</w:t>
      </w:r>
    </w:p>
    <w:p w14:paraId="54958EAC" w14:textId="2637AE54" w:rsidR="00FB7A50" w:rsidRPr="00835139" w:rsidRDefault="00B86C55" w:rsidP="00C664A3">
      <w:pPr>
        <w:pStyle w:val="Reasons"/>
        <w:spacing w:line="180" w:lineRule="auto"/>
        <w:rPr>
          <w:b w:val="0"/>
          <w:bCs w:val="0"/>
        </w:rPr>
      </w:pPr>
      <w:r w:rsidRPr="00835139">
        <w:rPr>
          <w:rtl/>
        </w:rPr>
        <w:t>الأسباب:</w:t>
      </w:r>
      <w:r w:rsidRPr="00835139">
        <w:tab/>
      </w:r>
      <w:r w:rsidR="00B85F61" w:rsidRPr="00835139">
        <w:rPr>
          <w:rFonts w:hint="cs"/>
          <w:b w:val="0"/>
          <w:bCs w:val="0"/>
          <w:rtl/>
        </w:rPr>
        <w:t>عدم إدخال</w:t>
      </w:r>
      <w:r w:rsidR="00B85F61" w:rsidRPr="00835139">
        <w:rPr>
          <w:b w:val="0"/>
          <w:bCs w:val="0"/>
          <w:rtl/>
        </w:rPr>
        <w:t xml:space="preserve"> أي تغيير</w:t>
      </w:r>
      <w:r w:rsidR="00B85F61" w:rsidRPr="00835139">
        <w:rPr>
          <w:rFonts w:hint="cs"/>
          <w:b w:val="0"/>
          <w:bCs w:val="0"/>
          <w:rtl/>
        </w:rPr>
        <w:t>ات</w:t>
      </w:r>
      <w:r w:rsidR="00B85F61" w:rsidRPr="00835139">
        <w:rPr>
          <w:b w:val="0"/>
          <w:bCs w:val="0"/>
          <w:rtl/>
        </w:rPr>
        <w:t xml:space="preserve"> على </w:t>
      </w:r>
      <w:r w:rsidR="00E928DD" w:rsidRPr="001F2440">
        <w:rPr>
          <w:rFonts w:hint="cs"/>
          <w:rtl/>
        </w:rPr>
        <w:t>التذييلات</w:t>
      </w:r>
      <w:r w:rsidR="00B85F61" w:rsidRPr="00835139">
        <w:rPr>
          <w:b w:val="0"/>
          <w:bCs w:val="0"/>
          <w:rtl/>
        </w:rPr>
        <w:t xml:space="preserve"> الواردة في المجلد</w:t>
      </w:r>
      <w:r w:rsidR="00B85F61" w:rsidRPr="00835139">
        <w:rPr>
          <w:rFonts w:hint="cs"/>
          <w:b w:val="0"/>
          <w:bCs w:val="0"/>
          <w:rtl/>
        </w:rPr>
        <w:t xml:space="preserve"> </w:t>
      </w:r>
      <w:r w:rsidR="00B72179" w:rsidRPr="00835139">
        <w:rPr>
          <w:rFonts w:ascii="Times New Roman" w:hAnsi="Times New Roman"/>
          <w:b w:val="0"/>
          <w:bCs w:val="0"/>
        </w:rPr>
        <w:t>2</w:t>
      </w:r>
      <w:r w:rsidR="00E928DD" w:rsidRPr="00835139">
        <w:rPr>
          <w:rFonts w:hint="cs"/>
          <w:b w:val="0"/>
          <w:bCs w:val="0"/>
          <w:rtl/>
        </w:rPr>
        <w:t xml:space="preserve"> </w:t>
      </w:r>
      <w:r w:rsidR="00B85F61" w:rsidRPr="00835139">
        <w:rPr>
          <w:b w:val="0"/>
          <w:bCs w:val="0"/>
          <w:rtl/>
        </w:rPr>
        <w:t xml:space="preserve">من لوائح الراديو </w:t>
      </w:r>
      <w:r w:rsidR="00B85F61" w:rsidRPr="00835139">
        <w:rPr>
          <w:rFonts w:hint="cs"/>
          <w:b w:val="0"/>
          <w:bCs w:val="0"/>
          <w:rtl/>
        </w:rPr>
        <w:t xml:space="preserve">هو أمر </w:t>
      </w:r>
      <w:r w:rsidR="00B85F61" w:rsidRPr="00835139">
        <w:rPr>
          <w:b w:val="0"/>
          <w:bCs w:val="0"/>
          <w:rtl/>
        </w:rPr>
        <w:t xml:space="preserve">مناسب أو ضروري </w:t>
      </w:r>
      <w:r w:rsidR="00B85F61" w:rsidRPr="00835139">
        <w:rPr>
          <w:rFonts w:hint="cs"/>
          <w:b w:val="0"/>
          <w:bCs w:val="0"/>
          <w:rtl/>
        </w:rPr>
        <w:t>لاستيفاء</w:t>
      </w:r>
      <w:r w:rsidR="00B85F61" w:rsidRPr="00835139">
        <w:rPr>
          <w:b w:val="0"/>
          <w:bCs w:val="0"/>
          <w:rtl/>
        </w:rPr>
        <w:t xml:space="preserve"> هذا البند من جدول الأعمال</w:t>
      </w:r>
      <w:r w:rsidR="005C0E53" w:rsidRPr="00835139">
        <w:rPr>
          <w:rFonts w:hint="cs"/>
          <w:b w:val="0"/>
          <w:bCs w:val="0"/>
          <w:rtl/>
        </w:rPr>
        <w:t>.</w:t>
      </w:r>
    </w:p>
    <w:p w14:paraId="088F4025" w14:textId="77777777" w:rsidR="00FB7A50" w:rsidRPr="00835139" w:rsidRDefault="00B86C55" w:rsidP="00C664A3">
      <w:pPr>
        <w:pStyle w:val="Proposal"/>
        <w:spacing w:line="180" w:lineRule="auto"/>
      </w:pPr>
      <w:r w:rsidRPr="00835139">
        <w:t>SUP</w:t>
      </w:r>
      <w:r w:rsidRPr="00835139">
        <w:tab/>
        <w:t>AUS/47A12/3</w:t>
      </w:r>
    </w:p>
    <w:p w14:paraId="7A9C6EE1" w14:textId="77777777" w:rsidR="00FC1116" w:rsidRPr="00835139" w:rsidRDefault="00B86C55" w:rsidP="00C664A3">
      <w:pPr>
        <w:pStyle w:val="ResNo"/>
        <w:spacing w:line="180" w:lineRule="auto"/>
        <w:rPr>
          <w:rtl/>
        </w:rPr>
      </w:pPr>
      <w:r w:rsidRPr="00835139">
        <w:rPr>
          <w:rFonts w:hint="cs"/>
          <w:rtl/>
        </w:rPr>
        <w:t>ال</w:t>
      </w:r>
      <w:r w:rsidRPr="00835139">
        <w:rPr>
          <w:rtl/>
        </w:rPr>
        <w:t>قرار</w:t>
      </w:r>
      <w:r w:rsidRPr="00835139">
        <w:rPr>
          <w:rFonts w:hint="cs"/>
          <w:rtl/>
        </w:rPr>
        <w:t xml:space="preserve"> </w:t>
      </w:r>
      <w:r w:rsidRPr="00835139">
        <w:rPr>
          <w:rStyle w:val="href"/>
        </w:rPr>
        <w:t>237</w:t>
      </w:r>
      <w:r w:rsidRPr="00835139">
        <w:t xml:space="preserve"> (WRC</w:t>
      </w:r>
      <w:r w:rsidRPr="00835139">
        <w:noBreakHyphen/>
        <w:t>15)</w:t>
      </w:r>
    </w:p>
    <w:p w14:paraId="5E56AAB8" w14:textId="77777777" w:rsidR="00FC1116" w:rsidRPr="00835139" w:rsidRDefault="00B86C55" w:rsidP="001F2440">
      <w:pPr>
        <w:pStyle w:val="Restitle"/>
        <w:spacing w:before="240" w:after="120" w:line="180" w:lineRule="auto"/>
        <w:rPr>
          <w:rtl/>
        </w:rPr>
      </w:pPr>
      <w:r w:rsidRPr="00835139">
        <w:rPr>
          <w:rFonts w:hint="cs"/>
          <w:rtl/>
        </w:rPr>
        <w:t>تطبيقات أنظمة</w:t>
      </w:r>
      <w:r w:rsidRPr="00835139">
        <w:rPr>
          <w:rFonts w:hint="eastAsia"/>
          <w:rtl/>
        </w:rPr>
        <w:t> </w:t>
      </w:r>
      <w:r w:rsidRPr="00835139">
        <w:rPr>
          <w:rFonts w:hint="cs"/>
          <w:rtl/>
        </w:rPr>
        <w:t>النقل</w:t>
      </w:r>
      <w:r w:rsidRPr="00835139">
        <w:rPr>
          <w:rFonts w:hint="eastAsia"/>
          <w:rtl/>
        </w:rPr>
        <w:t> </w:t>
      </w:r>
      <w:r w:rsidRPr="00835139">
        <w:rPr>
          <w:rFonts w:hint="cs"/>
          <w:rtl/>
        </w:rPr>
        <w:t>الذكية</w:t>
      </w:r>
    </w:p>
    <w:p w14:paraId="5C4942CC" w14:textId="1BA7D392" w:rsidR="00FB7A50" w:rsidRPr="00835139" w:rsidRDefault="00B86C55" w:rsidP="00695652">
      <w:pPr>
        <w:pStyle w:val="Reasons"/>
        <w:spacing w:line="180" w:lineRule="auto"/>
        <w:rPr>
          <w:b w:val="0"/>
          <w:bCs w:val="0"/>
          <w:rtl/>
        </w:rPr>
      </w:pPr>
      <w:r w:rsidRPr="00835139">
        <w:rPr>
          <w:rtl/>
        </w:rPr>
        <w:t>الأسباب:</w:t>
      </w:r>
      <w:r w:rsidRPr="00835139">
        <w:tab/>
      </w:r>
      <w:r w:rsidR="00B72179" w:rsidRPr="00835139">
        <w:rPr>
          <w:b w:val="0"/>
          <w:bCs w:val="0"/>
          <w:rtl/>
        </w:rPr>
        <w:t xml:space="preserve">لن </w:t>
      </w:r>
      <w:r w:rsidR="00695652">
        <w:rPr>
          <w:rFonts w:hint="cs"/>
          <w:b w:val="0"/>
          <w:bCs w:val="0"/>
          <w:rtl/>
        </w:rPr>
        <w:t>يكون مطلوباً</w:t>
      </w:r>
      <w:r w:rsidR="00B72179" w:rsidRPr="00835139">
        <w:rPr>
          <w:b w:val="0"/>
          <w:bCs w:val="0"/>
          <w:rtl/>
        </w:rPr>
        <w:t xml:space="preserve"> بعد المؤتمر</w:t>
      </w:r>
      <w:r w:rsidR="00173851" w:rsidRPr="00835139">
        <w:rPr>
          <w:rFonts w:hint="cs"/>
          <w:b w:val="0"/>
          <w:bCs w:val="0"/>
          <w:rtl/>
        </w:rPr>
        <w:t xml:space="preserve"> العالمي للاتصالات الراديوية</w:t>
      </w:r>
      <w:r w:rsidR="00B72179" w:rsidRPr="00835139">
        <w:rPr>
          <w:b w:val="0"/>
          <w:bCs w:val="0"/>
          <w:rtl/>
        </w:rPr>
        <w:t xml:space="preserve"> </w:t>
      </w:r>
      <w:r w:rsidR="00C664A3">
        <w:rPr>
          <w:b w:val="0"/>
          <w:bCs w:val="0"/>
        </w:rPr>
        <w:t>(</w:t>
      </w:r>
      <w:r w:rsidR="00B72179" w:rsidRPr="00835139">
        <w:rPr>
          <w:rFonts w:ascii="Times New Roman" w:hAnsi="Times New Roman"/>
          <w:b w:val="0"/>
          <w:bCs w:val="0"/>
          <w:lang w:bidi="ar-EG"/>
        </w:rPr>
        <w:t>WRC-19</w:t>
      </w:r>
      <w:r w:rsidR="00C664A3">
        <w:rPr>
          <w:rFonts w:ascii="Times New Roman" w:hAnsi="Times New Roman"/>
          <w:b w:val="0"/>
          <w:bCs w:val="0"/>
          <w:lang w:bidi="ar-EG"/>
        </w:rPr>
        <w:t>)</w:t>
      </w:r>
      <w:r w:rsidR="00B72179" w:rsidRPr="00835139">
        <w:rPr>
          <w:rFonts w:ascii="Times New Roman" w:hAnsi="Times New Roman" w:hint="cs"/>
          <w:b w:val="0"/>
          <w:bCs w:val="0"/>
          <w:rtl/>
          <w:lang w:bidi="ar-EG"/>
        </w:rPr>
        <w:t>.</w:t>
      </w:r>
    </w:p>
    <w:p w14:paraId="298B9771" w14:textId="166A3BF7" w:rsidR="005C0E53" w:rsidRPr="005C0E53" w:rsidRDefault="002627B9" w:rsidP="005C0E53">
      <w:pPr>
        <w:spacing w:before="600"/>
        <w:jc w:val="center"/>
      </w:pPr>
      <w:r>
        <w:rPr>
          <w:rFonts w:hint="cs"/>
          <w:rtl/>
        </w:rPr>
        <w:t>___________</w:t>
      </w:r>
      <w:bookmarkStart w:id="1" w:name="_GoBack"/>
      <w:bookmarkEnd w:id="1"/>
    </w:p>
    <w:sectPr w:rsidR="005C0E53" w:rsidRPr="005C0E53">
      <w:headerReference w:type="even" r:id="rId15"/>
      <w:headerReference w:type="default" r:id="rId16"/>
      <w:footerReference w:type="default" r:id="rId17"/>
      <w:footerReference w:type="first" r:id="rId18"/>
      <w:type w:val="nextColumn"/>
      <w:pgSz w:w="11907" w:h="16834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FA777" w14:textId="77777777" w:rsidR="00EA5D25" w:rsidRDefault="00EA5D25" w:rsidP="002919E1">
      <w:r>
        <w:separator/>
      </w:r>
    </w:p>
    <w:p w14:paraId="37687C9D" w14:textId="77777777" w:rsidR="00EA5D25" w:rsidRDefault="00EA5D25" w:rsidP="002919E1"/>
    <w:p w14:paraId="3E815A98" w14:textId="77777777" w:rsidR="00EA5D25" w:rsidRDefault="00EA5D25" w:rsidP="002919E1"/>
    <w:p w14:paraId="037D3E9B" w14:textId="77777777" w:rsidR="00EA5D25" w:rsidRDefault="00EA5D25"/>
  </w:endnote>
  <w:endnote w:type="continuationSeparator" w:id="0">
    <w:p w14:paraId="43A6EA80" w14:textId="77777777" w:rsidR="00EA5D25" w:rsidRDefault="00EA5D25" w:rsidP="002919E1">
      <w:r>
        <w:continuationSeparator/>
      </w:r>
    </w:p>
    <w:p w14:paraId="757F0B89" w14:textId="77777777" w:rsidR="00EA5D25" w:rsidRDefault="00EA5D25" w:rsidP="002919E1"/>
    <w:p w14:paraId="25EA7B36" w14:textId="77777777" w:rsidR="00EA5D25" w:rsidRDefault="00EA5D25" w:rsidP="002919E1"/>
    <w:p w14:paraId="2F858496" w14:textId="77777777" w:rsidR="00EA5D25" w:rsidRDefault="00EA5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67937" w14:textId="3348ACC5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196805">
      <w:rPr>
        <w:noProof/>
      </w:rPr>
      <w:t>P:\ARA\ITU-R\CONF-R\CMR19\000\047ADD12A.docx</w:t>
    </w:r>
    <w:r>
      <w:fldChar w:fldCharType="end"/>
    </w:r>
    <w:r w:rsidRPr="00A809E8">
      <w:t xml:space="preserve">   (</w:t>
    </w:r>
    <w:r w:rsidR="00DF36CA">
      <w:t>461943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F393D" w14:textId="5F8C7D90" w:rsidR="00281F5F" w:rsidRPr="008927F5" w:rsidRDefault="00DF36CA" w:rsidP="00DF36CA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196805">
      <w:rPr>
        <w:noProof/>
      </w:rPr>
      <w:t>P:\ARA\ITU-R\CONF-R\CMR19\000\047ADD12A.docx</w:t>
    </w:r>
    <w:r>
      <w:fldChar w:fldCharType="end"/>
    </w:r>
    <w:r w:rsidRPr="00A809E8">
      <w:t xml:space="preserve">   (</w:t>
    </w:r>
    <w:r>
      <w:t>461943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F8BC25" w14:textId="77777777" w:rsidR="00EA5D25" w:rsidRDefault="00EA5D25" w:rsidP="002919E1">
      <w:r>
        <w:t>___________________</w:t>
      </w:r>
    </w:p>
  </w:footnote>
  <w:footnote w:type="continuationSeparator" w:id="0">
    <w:p w14:paraId="4E4F91B2" w14:textId="77777777" w:rsidR="00EA5D25" w:rsidRDefault="00EA5D25" w:rsidP="002919E1">
      <w:r>
        <w:continuationSeparator/>
      </w:r>
    </w:p>
    <w:p w14:paraId="5D9530F4" w14:textId="77777777" w:rsidR="00EA5D25" w:rsidRDefault="00EA5D25" w:rsidP="002919E1"/>
    <w:p w14:paraId="3F83F1EF" w14:textId="77777777" w:rsidR="00EA5D25" w:rsidRDefault="00EA5D25" w:rsidP="002919E1"/>
    <w:p w14:paraId="43E529E0" w14:textId="77777777" w:rsidR="00EA5D25" w:rsidRDefault="00EA5D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F0A6A" w14:textId="77777777" w:rsidR="00281F5F" w:rsidRDefault="00281F5F" w:rsidP="002919E1"/>
  <w:p w14:paraId="1AAF3A75" w14:textId="77777777" w:rsidR="00281F5F" w:rsidRDefault="00281F5F" w:rsidP="002919E1"/>
  <w:p w14:paraId="4F626BF3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08A37" w14:textId="77777777" w:rsidR="00281F5F" w:rsidRPr="008927F5" w:rsidRDefault="008927F5" w:rsidP="00365346">
    <w:pPr>
      <w:bidi w:val="0"/>
      <w:spacing w:before="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F5531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47(Add.12)-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68E89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19612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3452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CC1F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11021"/>
    <w:rsid w:val="000114EC"/>
    <w:rsid w:val="00011F8C"/>
    <w:rsid w:val="00022B74"/>
    <w:rsid w:val="0002327C"/>
    <w:rsid w:val="000310A8"/>
    <w:rsid w:val="00034B65"/>
    <w:rsid w:val="00036CDB"/>
    <w:rsid w:val="00040C94"/>
    <w:rsid w:val="000425FC"/>
    <w:rsid w:val="00044D43"/>
    <w:rsid w:val="00046844"/>
    <w:rsid w:val="00051907"/>
    <w:rsid w:val="00053A8C"/>
    <w:rsid w:val="00071699"/>
    <w:rsid w:val="00075A3F"/>
    <w:rsid w:val="000A1B16"/>
    <w:rsid w:val="000A7E8C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36B82"/>
    <w:rsid w:val="001464F2"/>
    <w:rsid w:val="001610C1"/>
    <w:rsid w:val="00167364"/>
    <w:rsid w:val="00173851"/>
    <w:rsid w:val="001903B2"/>
    <w:rsid w:val="00196805"/>
    <w:rsid w:val="001B0F78"/>
    <w:rsid w:val="001B5953"/>
    <w:rsid w:val="001D746E"/>
    <w:rsid w:val="001E0BEF"/>
    <w:rsid w:val="001E190C"/>
    <w:rsid w:val="001E51EE"/>
    <w:rsid w:val="001E54F6"/>
    <w:rsid w:val="001E5A8C"/>
    <w:rsid w:val="001F2440"/>
    <w:rsid w:val="00201A0A"/>
    <w:rsid w:val="002075D4"/>
    <w:rsid w:val="00211B2A"/>
    <w:rsid w:val="00223C6C"/>
    <w:rsid w:val="002333A0"/>
    <w:rsid w:val="00251C77"/>
    <w:rsid w:val="002543CF"/>
    <w:rsid w:val="0026062E"/>
    <w:rsid w:val="00260F50"/>
    <w:rsid w:val="00261EF7"/>
    <w:rsid w:val="002627B9"/>
    <w:rsid w:val="0027069F"/>
    <w:rsid w:val="00280E04"/>
    <w:rsid w:val="00281F5F"/>
    <w:rsid w:val="002843E4"/>
    <w:rsid w:val="002919E1"/>
    <w:rsid w:val="00295917"/>
    <w:rsid w:val="00296071"/>
    <w:rsid w:val="002A3220"/>
    <w:rsid w:val="002A4572"/>
    <w:rsid w:val="002A7E2E"/>
    <w:rsid w:val="002B060C"/>
    <w:rsid w:val="002B12C5"/>
    <w:rsid w:val="002B1597"/>
    <w:rsid w:val="002B16D8"/>
    <w:rsid w:val="002D5F64"/>
    <w:rsid w:val="002D6BB4"/>
    <w:rsid w:val="002D6FBF"/>
    <w:rsid w:val="002E48BF"/>
    <w:rsid w:val="002E61C2"/>
    <w:rsid w:val="002F3E46"/>
    <w:rsid w:val="002F5531"/>
    <w:rsid w:val="00311E3F"/>
    <w:rsid w:val="00314B1E"/>
    <w:rsid w:val="0033737F"/>
    <w:rsid w:val="00353652"/>
    <w:rsid w:val="003569E1"/>
    <w:rsid w:val="00365346"/>
    <w:rsid w:val="003815E2"/>
    <w:rsid w:val="00381FAD"/>
    <w:rsid w:val="00382A66"/>
    <w:rsid w:val="003923B1"/>
    <w:rsid w:val="00392493"/>
    <w:rsid w:val="003965FE"/>
    <w:rsid w:val="003B27AD"/>
    <w:rsid w:val="003B4F23"/>
    <w:rsid w:val="003C12F6"/>
    <w:rsid w:val="003C3A13"/>
    <w:rsid w:val="003E02EF"/>
    <w:rsid w:val="003E1D90"/>
    <w:rsid w:val="003E27B7"/>
    <w:rsid w:val="00400CD4"/>
    <w:rsid w:val="004147B9"/>
    <w:rsid w:val="00422C04"/>
    <w:rsid w:val="00423A40"/>
    <w:rsid w:val="00426144"/>
    <w:rsid w:val="004636E2"/>
    <w:rsid w:val="00470CBD"/>
    <w:rsid w:val="0047407D"/>
    <w:rsid w:val="004909DD"/>
    <w:rsid w:val="004A05E6"/>
    <w:rsid w:val="004A6230"/>
    <w:rsid w:val="004A6C66"/>
    <w:rsid w:val="004A7AA0"/>
    <w:rsid w:val="004B634D"/>
    <w:rsid w:val="004C11BC"/>
    <w:rsid w:val="004C5C04"/>
    <w:rsid w:val="004D0448"/>
    <w:rsid w:val="004D4AE6"/>
    <w:rsid w:val="00505FCA"/>
    <w:rsid w:val="00510C2D"/>
    <w:rsid w:val="005166A4"/>
    <w:rsid w:val="005169F4"/>
    <w:rsid w:val="005210D1"/>
    <w:rsid w:val="00522715"/>
    <w:rsid w:val="00523146"/>
    <w:rsid w:val="00523275"/>
    <w:rsid w:val="00531DC7"/>
    <w:rsid w:val="005350B0"/>
    <w:rsid w:val="005431B5"/>
    <w:rsid w:val="00546A99"/>
    <w:rsid w:val="00553411"/>
    <w:rsid w:val="00554AE7"/>
    <w:rsid w:val="00564746"/>
    <w:rsid w:val="0056512C"/>
    <w:rsid w:val="00571EAE"/>
    <w:rsid w:val="00576D0A"/>
    <w:rsid w:val="00576FCC"/>
    <w:rsid w:val="00584333"/>
    <w:rsid w:val="005953EC"/>
    <w:rsid w:val="005B00A1"/>
    <w:rsid w:val="005C0E53"/>
    <w:rsid w:val="005C29C8"/>
    <w:rsid w:val="005C5D25"/>
    <w:rsid w:val="005D2606"/>
    <w:rsid w:val="005D6D48"/>
    <w:rsid w:val="005D72A4"/>
    <w:rsid w:val="005F05CC"/>
    <w:rsid w:val="005F65DE"/>
    <w:rsid w:val="006054DF"/>
    <w:rsid w:val="00613492"/>
    <w:rsid w:val="00630905"/>
    <w:rsid w:val="006315B5"/>
    <w:rsid w:val="0065562F"/>
    <w:rsid w:val="006569F9"/>
    <w:rsid w:val="00661020"/>
    <w:rsid w:val="00666697"/>
    <w:rsid w:val="0067383C"/>
    <w:rsid w:val="006779A4"/>
    <w:rsid w:val="00680A66"/>
    <w:rsid w:val="00681391"/>
    <w:rsid w:val="00694690"/>
    <w:rsid w:val="0069526C"/>
    <w:rsid w:val="00695652"/>
    <w:rsid w:val="006A12AC"/>
    <w:rsid w:val="006A1C2C"/>
    <w:rsid w:val="006A2162"/>
    <w:rsid w:val="006A4E7C"/>
    <w:rsid w:val="006B4B90"/>
    <w:rsid w:val="006B658C"/>
    <w:rsid w:val="006C00B7"/>
    <w:rsid w:val="006C7B2D"/>
    <w:rsid w:val="006D2674"/>
    <w:rsid w:val="006E38D0"/>
    <w:rsid w:val="006E465B"/>
    <w:rsid w:val="006F70BF"/>
    <w:rsid w:val="007008C2"/>
    <w:rsid w:val="00715285"/>
    <w:rsid w:val="00716B1D"/>
    <w:rsid w:val="0072304A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1FCA"/>
    <w:rsid w:val="007C05ED"/>
    <w:rsid w:val="007C2C12"/>
    <w:rsid w:val="007C3CFA"/>
    <w:rsid w:val="007C7603"/>
    <w:rsid w:val="007E0E8B"/>
    <w:rsid w:val="007E6847"/>
    <w:rsid w:val="007E6B0A"/>
    <w:rsid w:val="007F08CA"/>
    <w:rsid w:val="007F7FC3"/>
    <w:rsid w:val="0080459C"/>
    <w:rsid w:val="00810482"/>
    <w:rsid w:val="00817568"/>
    <w:rsid w:val="008204AC"/>
    <w:rsid w:val="008261C2"/>
    <w:rsid w:val="00830D96"/>
    <w:rsid w:val="00835139"/>
    <w:rsid w:val="00844DE0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2983"/>
    <w:rsid w:val="008D6ACC"/>
    <w:rsid w:val="008D7AF0"/>
    <w:rsid w:val="008E2CBE"/>
    <w:rsid w:val="008E32DD"/>
    <w:rsid w:val="008E53C5"/>
    <w:rsid w:val="008F4626"/>
    <w:rsid w:val="009004DF"/>
    <w:rsid w:val="00904AA5"/>
    <w:rsid w:val="0092167A"/>
    <w:rsid w:val="00942E6B"/>
    <w:rsid w:val="00951718"/>
    <w:rsid w:val="00960962"/>
    <w:rsid w:val="00962E07"/>
    <w:rsid w:val="00972CE0"/>
    <w:rsid w:val="00983F03"/>
    <w:rsid w:val="009A3D30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1507"/>
    <w:rsid w:val="00A66D2B"/>
    <w:rsid w:val="00A809E8"/>
    <w:rsid w:val="00A870AD"/>
    <w:rsid w:val="00A90843"/>
    <w:rsid w:val="00A9645C"/>
    <w:rsid w:val="00AA2D34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231AC"/>
    <w:rsid w:val="00B27DB5"/>
    <w:rsid w:val="00B357E9"/>
    <w:rsid w:val="00B4164D"/>
    <w:rsid w:val="00B425C1"/>
    <w:rsid w:val="00B45150"/>
    <w:rsid w:val="00B606BA"/>
    <w:rsid w:val="00B66817"/>
    <w:rsid w:val="00B71E3B"/>
    <w:rsid w:val="00B72179"/>
    <w:rsid w:val="00B721D5"/>
    <w:rsid w:val="00B809CA"/>
    <w:rsid w:val="00B81CB5"/>
    <w:rsid w:val="00B8351F"/>
    <w:rsid w:val="00B85F61"/>
    <w:rsid w:val="00B86C44"/>
    <w:rsid w:val="00B86C55"/>
    <w:rsid w:val="00B9727C"/>
    <w:rsid w:val="00BA7D44"/>
    <w:rsid w:val="00BC55A3"/>
    <w:rsid w:val="00BD6291"/>
    <w:rsid w:val="00BD6EF3"/>
    <w:rsid w:val="00BE69C3"/>
    <w:rsid w:val="00C10F96"/>
    <w:rsid w:val="00C1165E"/>
    <w:rsid w:val="00C22074"/>
    <w:rsid w:val="00C2377B"/>
    <w:rsid w:val="00C3693C"/>
    <w:rsid w:val="00C53F6F"/>
    <w:rsid w:val="00C5489D"/>
    <w:rsid w:val="00C664A3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3E20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05BE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B1E05"/>
    <w:rsid w:val="00DB4CC9"/>
    <w:rsid w:val="00DC29DD"/>
    <w:rsid w:val="00DC7C0E"/>
    <w:rsid w:val="00DE7387"/>
    <w:rsid w:val="00DF2A6A"/>
    <w:rsid w:val="00DF36CA"/>
    <w:rsid w:val="00DF3B72"/>
    <w:rsid w:val="00E10821"/>
    <w:rsid w:val="00E2476B"/>
    <w:rsid w:val="00E2489D"/>
    <w:rsid w:val="00E26520"/>
    <w:rsid w:val="00E343A3"/>
    <w:rsid w:val="00E51BFA"/>
    <w:rsid w:val="00E611F1"/>
    <w:rsid w:val="00E621A3"/>
    <w:rsid w:val="00E833BC"/>
    <w:rsid w:val="00E8580E"/>
    <w:rsid w:val="00E928DD"/>
    <w:rsid w:val="00E95CC1"/>
    <w:rsid w:val="00E97E21"/>
    <w:rsid w:val="00EA1B76"/>
    <w:rsid w:val="00EA5D25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545E4"/>
    <w:rsid w:val="00F55E63"/>
    <w:rsid w:val="00F84613"/>
    <w:rsid w:val="00F8654D"/>
    <w:rsid w:val="00F900C9"/>
    <w:rsid w:val="00F92C96"/>
    <w:rsid w:val="00F97D1C"/>
    <w:rsid w:val="00FA0D4E"/>
    <w:rsid w:val="00FB0753"/>
    <w:rsid w:val="00FB5CC8"/>
    <w:rsid w:val="00FB7A50"/>
    <w:rsid w:val="00FC2CD0"/>
    <w:rsid w:val="00FD0594"/>
    <w:rsid w:val="00FD6F13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4531888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27B9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0B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tu.int/dms_pubrec/itu-r/rec/m/R-REC-M.2121-0-201901-I!!PDF-E.pdf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dms_pub/itu-r/opb/rep/R-REP-M.2445-2018-PDF-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R16-WRC19-C-0047!A12!MSW-A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536AD-5C31-4C5F-9490-BB2A72921AB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2a1a8c5-2265-4ebc-b7a0-2071e2c5c9bb"/>
    <ds:schemaRef ds:uri="http://purl.org/dc/elements/1.1/"/>
    <ds:schemaRef ds:uri="http://schemas.microsoft.com/office/2006/metadata/properties"/>
    <ds:schemaRef ds:uri="996b2e75-67fd-4955-a3b0-5ab9934cb50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672B036-E30D-4B4C-B480-4C60312CC0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57644D-E1AC-41C3-B54C-AB3DFBD2AF1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39B7D90-6D46-437E-ADAF-2555BEA4A1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716B6C0-5354-4254-AF0F-6AACAECDF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585</Words>
  <Characters>3297</Characters>
  <Application>Microsoft Office Word</Application>
  <DocSecurity>0</DocSecurity>
  <Lines>149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R16-WRC19-C-0047!A12!MSW-A</vt:lpstr>
    </vt:vector>
  </TitlesOfParts>
  <Manager>General Secretariat - Pool</Manager>
  <Company>International Telecommunication Union (ITU)</Company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R16-WRC19-C-0047!A12!MSW-A</dc:title>
  <dc:creator>Documents Proposals Manager (DPM)</dc:creator>
  <cp:keywords>DPM_v2019.10.15.2_prod</cp:keywords>
  <cp:lastModifiedBy>Arabic</cp:lastModifiedBy>
  <cp:revision>9</cp:revision>
  <cp:lastPrinted>2019-10-18T14:05:00Z</cp:lastPrinted>
  <dcterms:created xsi:type="dcterms:W3CDTF">2019-10-21T11:23:00Z</dcterms:created>
  <dcterms:modified xsi:type="dcterms:W3CDTF">2019-10-21T19:32:00Z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