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894612" w14:paraId="4323AA6C" w14:textId="77777777" w:rsidTr="0050008E">
        <w:trPr>
          <w:cantSplit/>
        </w:trPr>
        <w:tc>
          <w:tcPr>
            <w:tcW w:w="6911" w:type="dxa"/>
          </w:tcPr>
          <w:p w14:paraId="0F201736" w14:textId="77777777" w:rsidR="0090121B" w:rsidRPr="00894612" w:rsidRDefault="005D46FB" w:rsidP="0065763A">
            <w:pPr>
              <w:spacing w:before="400" w:after="48"/>
              <w:rPr>
                <w:rFonts w:ascii="Verdana" w:hAnsi="Verdana"/>
                <w:position w:val="6"/>
              </w:rPr>
            </w:pPr>
            <w:r w:rsidRPr="00894612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894612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894612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894612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8946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8946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8946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8946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8946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8946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8946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8946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8946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5D272E2F" w14:textId="77777777" w:rsidR="0090121B" w:rsidRPr="00894612" w:rsidRDefault="00DA71A3" w:rsidP="0065763A">
            <w:pPr>
              <w:spacing w:before="0"/>
              <w:jc w:val="right"/>
            </w:pPr>
            <w:r w:rsidRPr="00894612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4C8B1FA0" wp14:editId="10491FA9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894612" w14:paraId="4878EC25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A4DD9E9" w14:textId="77777777" w:rsidR="0090121B" w:rsidRPr="00894612" w:rsidRDefault="0090121B" w:rsidP="0065763A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7AD8FF8" w14:textId="77777777" w:rsidR="0090121B" w:rsidRPr="00894612" w:rsidRDefault="0090121B" w:rsidP="0065763A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894612" w14:paraId="2184A912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208131E" w14:textId="77777777" w:rsidR="0090121B" w:rsidRPr="00894612" w:rsidRDefault="0090121B" w:rsidP="0065763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AD25145" w14:textId="77777777" w:rsidR="0090121B" w:rsidRPr="00894612" w:rsidRDefault="0090121B" w:rsidP="0065763A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894612" w14:paraId="0AC43F7F" w14:textId="77777777" w:rsidTr="0090121B">
        <w:trPr>
          <w:cantSplit/>
        </w:trPr>
        <w:tc>
          <w:tcPr>
            <w:tcW w:w="6911" w:type="dxa"/>
          </w:tcPr>
          <w:p w14:paraId="7956EBAE" w14:textId="77777777" w:rsidR="0090121B" w:rsidRPr="00894612" w:rsidRDefault="001E7D42" w:rsidP="0065763A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894612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169C71BE" w14:textId="77777777" w:rsidR="0090121B" w:rsidRPr="00894612" w:rsidRDefault="00AE658F" w:rsidP="0065763A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894612">
              <w:rPr>
                <w:rFonts w:ascii="Verdana" w:hAnsi="Verdana"/>
                <w:b/>
                <w:sz w:val="18"/>
                <w:szCs w:val="18"/>
              </w:rPr>
              <w:t>Addéndum 11 al</w:t>
            </w:r>
            <w:r w:rsidRPr="00894612">
              <w:rPr>
                <w:rFonts w:ascii="Verdana" w:hAnsi="Verdana"/>
                <w:b/>
                <w:sz w:val="18"/>
                <w:szCs w:val="18"/>
              </w:rPr>
              <w:br/>
              <w:t>Documento 47</w:t>
            </w:r>
            <w:r w:rsidR="0090121B" w:rsidRPr="00894612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894612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894612" w14:paraId="45476B52" w14:textId="77777777" w:rsidTr="0090121B">
        <w:trPr>
          <w:cantSplit/>
        </w:trPr>
        <w:tc>
          <w:tcPr>
            <w:tcW w:w="6911" w:type="dxa"/>
          </w:tcPr>
          <w:p w14:paraId="25C4AAD4" w14:textId="77777777" w:rsidR="000A5B9A" w:rsidRPr="00894612" w:rsidRDefault="000A5B9A" w:rsidP="0065763A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04DA49A1" w14:textId="77777777" w:rsidR="000A5B9A" w:rsidRPr="00894612" w:rsidRDefault="000A5B9A" w:rsidP="0065763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94612">
              <w:rPr>
                <w:rFonts w:ascii="Verdana" w:hAnsi="Verdana"/>
                <w:b/>
                <w:sz w:val="18"/>
                <w:szCs w:val="18"/>
              </w:rPr>
              <w:t>7 de octubre de 2019</w:t>
            </w:r>
          </w:p>
        </w:tc>
      </w:tr>
      <w:tr w:rsidR="000A5B9A" w:rsidRPr="00894612" w14:paraId="7DB0B219" w14:textId="77777777" w:rsidTr="0090121B">
        <w:trPr>
          <w:cantSplit/>
        </w:trPr>
        <w:tc>
          <w:tcPr>
            <w:tcW w:w="6911" w:type="dxa"/>
          </w:tcPr>
          <w:p w14:paraId="5FED0DB7" w14:textId="77777777" w:rsidR="000A5B9A" w:rsidRPr="00894612" w:rsidRDefault="000A5B9A" w:rsidP="0065763A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24341906" w14:textId="77777777" w:rsidR="000A5B9A" w:rsidRPr="00894612" w:rsidRDefault="000A5B9A" w:rsidP="0065763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94612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894612" w14:paraId="5E7EBDC0" w14:textId="77777777" w:rsidTr="006744FC">
        <w:trPr>
          <w:cantSplit/>
        </w:trPr>
        <w:tc>
          <w:tcPr>
            <w:tcW w:w="10031" w:type="dxa"/>
            <w:gridSpan w:val="2"/>
          </w:tcPr>
          <w:p w14:paraId="7EAD6EC0" w14:textId="77777777" w:rsidR="000A5B9A" w:rsidRPr="00894612" w:rsidRDefault="000A5B9A" w:rsidP="0065763A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894612" w14:paraId="6DC210B2" w14:textId="77777777" w:rsidTr="0050008E">
        <w:trPr>
          <w:cantSplit/>
        </w:trPr>
        <w:tc>
          <w:tcPr>
            <w:tcW w:w="10031" w:type="dxa"/>
            <w:gridSpan w:val="2"/>
          </w:tcPr>
          <w:p w14:paraId="3F424E49" w14:textId="77777777" w:rsidR="000A5B9A" w:rsidRPr="00894612" w:rsidRDefault="000A5B9A" w:rsidP="0065763A">
            <w:pPr>
              <w:pStyle w:val="Source"/>
            </w:pPr>
            <w:bookmarkStart w:id="1" w:name="dsource" w:colFirst="0" w:colLast="0"/>
            <w:r w:rsidRPr="00894612">
              <w:t>Australia</w:t>
            </w:r>
          </w:p>
        </w:tc>
      </w:tr>
      <w:tr w:rsidR="000A5B9A" w:rsidRPr="00894612" w14:paraId="3E4B6E09" w14:textId="77777777" w:rsidTr="0050008E">
        <w:trPr>
          <w:cantSplit/>
        </w:trPr>
        <w:tc>
          <w:tcPr>
            <w:tcW w:w="10031" w:type="dxa"/>
            <w:gridSpan w:val="2"/>
          </w:tcPr>
          <w:p w14:paraId="4907761F" w14:textId="3480A3CF" w:rsidR="000A5B9A" w:rsidRPr="00894612" w:rsidRDefault="0087191E" w:rsidP="0065763A">
            <w:pPr>
              <w:pStyle w:val="Title1"/>
            </w:pPr>
            <w:bookmarkStart w:id="2" w:name="dtitle1" w:colFirst="0" w:colLast="0"/>
            <w:bookmarkEnd w:id="1"/>
            <w:r w:rsidRPr="00894612">
              <w:t>PROPUESTAS PARA LOS TRABAJOS DE LA CONFERENCIA</w:t>
            </w:r>
          </w:p>
        </w:tc>
      </w:tr>
      <w:tr w:rsidR="000A5B9A" w:rsidRPr="00894612" w14:paraId="354C5394" w14:textId="77777777" w:rsidTr="0050008E">
        <w:trPr>
          <w:cantSplit/>
        </w:trPr>
        <w:tc>
          <w:tcPr>
            <w:tcW w:w="10031" w:type="dxa"/>
            <w:gridSpan w:val="2"/>
          </w:tcPr>
          <w:p w14:paraId="6EC922E3" w14:textId="77777777" w:rsidR="000A5B9A" w:rsidRPr="00894612" w:rsidRDefault="000A5B9A" w:rsidP="0065763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894612" w14:paraId="4891C830" w14:textId="77777777" w:rsidTr="0050008E">
        <w:trPr>
          <w:cantSplit/>
        </w:trPr>
        <w:tc>
          <w:tcPr>
            <w:tcW w:w="10031" w:type="dxa"/>
            <w:gridSpan w:val="2"/>
          </w:tcPr>
          <w:p w14:paraId="4C2F2B02" w14:textId="77777777" w:rsidR="000A5B9A" w:rsidRPr="00894612" w:rsidRDefault="000A5B9A" w:rsidP="0065763A">
            <w:pPr>
              <w:pStyle w:val="Agendaitem"/>
            </w:pPr>
            <w:bookmarkStart w:id="4" w:name="dtitle3" w:colFirst="0" w:colLast="0"/>
            <w:bookmarkEnd w:id="3"/>
            <w:r w:rsidRPr="00894612">
              <w:t>Punto 1.11 del orden del día</w:t>
            </w:r>
          </w:p>
        </w:tc>
      </w:tr>
    </w:tbl>
    <w:bookmarkEnd w:id="4"/>
    <w:p w14:paraId="1BB9B8D3" w14:textId="5BD64653" w:rsidR="001C0E40" w:rsidRPr="00894612" w:rsidRDefault="007D2B05" w:rsidP="0065763A">
      <w:r w:rsidRPr="00894612">
        <w:t>1.11</w:t>
      </w:r>
      <w:r w:rsidRPr="00894612">
        <w:tab/>
        <w:t xml:space="preserve">adoptar las medidas necesarias, según proceda, para facilitar las bandas de frecuencias armonizadas a escala mundial o regional para dar soporte a los </w:t>
      </w:r>
      <w:r w:rsidRPr="00894612">
        <w:rPr>
          <w:rFonts w:eastAsia="SimSun"/>
          <w:lang w:eastAsia="zh-CN"/>
        </w:rPr>
        <w:t>sistemas de radiocomunicaciones entre el tren y las vías</w:t>
      </w:r>
      <w:r w:rsidRPr="00894612">
        <w:t xml:space="preserve"> </w:t>
      </w:r>
      <w:r w:rsidRPr="00894612">
        <w:rPr>
          <w:rFonts w:eastAsia="SimSun"/>
          <w:lang w:eastAsia="zh-CN"/>
        </w:rPr>
        <w:t>dentro de las atribuciones existentes al servicio móvil, de conformidad con la Resolución </w:t>
      </w:r>
      <w:r w:rsidRPr="00894612">
        <w:rPr>
          <w:rFonts w:eastAsia="SimSun"/>
          <w:b/>
          <w:bCs/>
          <w:lang w:eastAsia="zh-CN"/>
        </w:rPr>
        <w:t>236 (CMR</w:t>
      </w:r>
      <w:r w:rsidRPr="00894612">
        <w:rPr>
          <w:rFonts w:eastAsia="SimSun"/>
          <w:b/>
          <w:bCs/>
          <w:lang w:eastAsia="zh-CN"/>
        </w:rPr>
        <w:noBreakHyphen/>
        <w:t>15)</w:t>
      </w:r>
      <w:r w:rsidRPr="00894612">
        <w:rPr>
          <w:rFonts w:eastAsia="SimSun"/>
          <w:lang w:eastAsia="zh-CN"/>
        </w:rPr>
        <w:t>;</w:t>
      </w:r>
    </w:p>
    <w:p w14:paraId="517244AE" w14:textId="41467BF3" w:rsidR="002919C2" w:rsidRPr="00894612" w:rsidRDefault="002919C2" w:rsidP="0065763A">
      <w:pPr>
        <w:pStyle w:val="Heading1"/>
      </w:pPr>
      <w:r w:rsidRPr="00894612">
        <w:t>1</w:t>
      </w:r>
      <w:r w:rsidRPr="00894612">
        <w:tab/>
        <w:t>Introducción</w:t>
      </w:r>
    </w:p>
    <w:p w14:paraId="27C19F54" w14:textId="15B19D4F" w:rsidR="002919C2" w:rsidRPr="00894612" w:rsidRDefault="00565ED6" w:rsidP="0065763A">
      <w:r w:rsidRPr="00894612">
        <w:t xml:space="preserve">El Grupo de Trabajo </w:t>
      </w:r>
      <w:r w:rsidR="002919C2" w:rsidRPr="00894612">
        <w:t xml:space="preserve">5A </w:t>
      </w:r>
      <w:r w:rsidRPr="00894612">
        <w:t xml:space="preserve">del UIT-R </w:t>
      </w:r>
      <w:r w:rsidR="002919C2" w:rsidRPr="00894612">
        <w:t>(</w:t>
      </w:r>
      <w:r w:rsidRPr="00894612">
        <w:t>GT</w:t>
      </w:r>
      <w:r w:rsidR="004512D8">
        <w:t> </w:t>
      </w:r>
      <w:r w:rsidR="002919C2" w:rsidRPr="00894612">
        <w:t>5A)</w:t>
      </w:r>
      <w:r w:rsidRPr="00894612">
        <w:t xml:space="preserve"> </w:t>
      </w:r>
      <w:r w:rsidR="002919C2" w:rsidRPr="00894612">
        <w:t>ha</w:t>
      </w:r>
      <w:r w:rsidRPr="00894612">
        <w:t xml:space="preserve"> elaborado dos Informe</w:t>
      </w:r>
      <w:r w:rsidR="002919C2" w:rsidRPr="00894612">
        <w:t xml:space="preserve">s </w:t>
      </w:r>
      <w:r w:rsidRPr="00894612">
        <w:t>UIT-R y una Recomendación para este punto del orden del día</w:t>
      </w:r>
      <w:r w:rsidR="002919C2" w:rsidRPr="00894612">
        <w:t xml:space="preserve">, </w:t>
      </w:r>
      <w:r w:rsidRPr="00894612">
        <w:t>en los que se esbozan las características técnicas y operacionales</w:t>
      </w:r>
      <w:r w:rsidR="002919C2" w:rsidRPr="00894612">
        <w:t xml:space="preserve">, </w:t>
      </w:r>
      <w:r w:rsidRPr="00894612">
        <w:t>la implementación y las necesidades de espectro de los sistemas de radiocomunicaciones ferroviarias entre el tren y las vías</w:t>
      </w:r>
      <w:r w:rsidR="002919C2" w:rsidRPr="00894612">
        <w:t xml:space="preserve"> (RSTT)</w:t>
      </w:r>
      <w:r w:rsidR="00415413" w:rsidRPr="00894612">
        <w:t>, a saber</w:t>
      </w:r>
      <w:r w:rsidR="002919C2" w:rsidRPr="00894612">
        <w:t>:</w:t>
      </w:r>
    </w:p>
    <w:p w14:paraId="4A0A245E" w14:textId="59EC9306" w:rsidR="002919C2" w:rsidRPr="00894612" w:rsidRDefault="002919C2" w:rsidP="0065763A">
      <w:pPr>
        <w:pStyle w:val="enumlev1"/>
      </w:pPr>
      <w:r w:rsidRPr="00894612">
        <w:t>–</w:t>
      </w:r>
      <w:r w:rsidRPr="00894612">
        <w:tab/>
        <w:t xml:space="preserve">Informe </w:t>
      </w:r>
      <w:hyperlink r:id="rId13" w:history="1">
        <w:r w:rsidR="00C820E9" w:rsidRPr="00894612">
          <w:rPr>
            <w:rStyle w:val="Hyperlink"/>
          </w:rPr>
          <w:t>UIT</w:t>
        </w:r>
        <w:r w:rsidRPr="00894612">
          <w:rPr>
            <w:rStyle w:val="Hyperlink"/>
          </w:rPr>
          <w:t>-R M.2418-0</w:t>
        </w:r>
      </w:hyperlink>
      <w:r w:rsidRPr="00894612">
        <w:t xml:space="preserve"> – </w:t>
      </w:r>
      <w:r w:rsidRPr="00894612">
        <w:rPr>
          <w:i/>
          <w:iCs/>
        </w:rPr>
        <w:t>Descripción de los sistemas de radiocomunicaciones ferroviarias entre el tren y el entorno ferroviario (RSTT</w:t>
      </w:r>
      <w:r w:rsidR="000F4EDF" w:rsidRPr="00894612">
        <w:rPr>
          <w:i/>
          <w:iCs/>
        </w:rPr>
        <w:t>)</w:t>
      </w:r>
      <w:r w:rsidRPr="00894612">
        <w:rPr>
          <w:i/>
          <w:iCs/>
        </w:rPr>
        <w:t xml:space="preserve"> – </w:t>
      </w:r>
      <w:r w:rsidR="004F7FA7" w:rsidRPr="00894612">
        <w:t xml:space="preserve">un </w:t>
      </w:r>
      <w:r w:rsidR="00415413" w:rsidRPr="00894612">
        <w:t xml:space="preserve">resumen de las características técnicas y operacionales de los </w:t>
      </w:r>
      <w:r w:rsidRPr="00894612">
        <w:t xml:space="preserve">RSTT, </w:t>
      </w:r>
      <w:r w:rsidR="00415413" w:rsidRPr="00894612">
        <w:t xml:space="preserve">concluido por la Comisión de Estudio </w:t>
      </w:r>
      <w:r w:rsidRPr="00894612">
        <w:t>5 (</w:t>
      </w:r>
      <w:r w:rsidR="00415413" w:rsidRPr="00894612">
        <w:t>CE</w:t>
      </w:r>
      <w:r w:rsidR="004512D8">
        <w:t> </w:t>
      </w:r>
      <w:r w:rsidRPr="00894612">
        <w:t xml:space="preserve">5) </w:t>
      </w:r>
      <w:r w:rsidR="00415413" w:rsidRPr="00894612">
        <w:t>e</w:t>
      </w:r>
      <w:r w:rsidRPr="00894612">
        <w:t xml:space="preserve">n </w:t>
      </w:r>
      <w:r w:rsidR="00415413" w:rsidRPr="00894612">
        <w:t xml:space="preserve">noviembre de </w:t>
      </w:r>
      <w:r w:rsidRPr="00894612">
        <w:t>2017</w:t>
      </w:r>
      <w:r w:rsidR="004F7FA7" w:rsidRPr="00894612">
        <w:t>;</w:t>
      </w:r>
    </w:p>
    <w:p w14:paraId="0222159A" w14:textId="0BDD91CB" w:rsidR="002919C2" w:rsidRPr="00894612" w:rsidRDefault="002919C2" w:rsidP="0065763A">
      <w:pPr>
        <w:pStyle w:val="enumlev1"/>
      </w:pPr>
      <w:r w:rsidRPr="00894612">
        <w:t>–</w:t>
      </w:r>
      <w:r w:rsidRPr="00894612">
        <w:tab/>
      </w:r>
      <w:r w:rsidR="00C820E9" w:rsidRPr="00894612">
        <w:t xml:space="preserve">Informe </w:t>
      </w:r>
      <w:hyperlink r:id="rId14" w:history="1">
        <w:r w:rsidR="00C820E9" w:rsidRPr="00894612">
          <w:rPr>
            <w:rStyle w:val="Hyperlink"/>
          </w:rPr>
          <w:t>UIT</w:t>
        </w:r>
        <w:r w:rsidRPr="00894612">
          <w:rPr>
            <w:rStyle w:val="Hyperlink"/>
          </w:rPr>
          <w:t>-R M.2442-0</w:t>
        </w:r>
      </w:hyperlink>
      <w:r w:rsidRPr="00894612">
        <w:t xml:space="preserve"> – </w:t>
      </w:r>
      <w:r w:rsidR="00C820E9" w:rsidRPr="00894612">
        <w:rPr>
          <w:i/>
          <w:iCs/>
        </w:rPr>
        <w:t xml:space="preserve">Utilización actual y futura de los sistemas de radiocomunicaciones ferroviarias entre el tren y el entorno ferroviario (RSTT) </w:t>
      </w:r>
      <w:r w:rsidRPr="00894612">
        <w:t xml:space="preserve">– </w:t>
      </w:r>
      <w:r w:rsidR="004F7FA7" w:rsidRPr="00894612">
        <w:t xml:space="preserve">un compendio de los </w:t>
      </w:r>
      <w:r w:rsidRPr="00894612">
        <w:t xml:space="preserve">RSTT </w:t>
      </w:r>
      <w:r w:rsidR="004F7FA7" w:rsidRPr="00894612">
        <w:t>en funcionamiento actualmente</w:t>
      </w:r>
      <w:r w:rsidRPr="00894612">
        <w:t xml:space="preserve">, </w:t>
      </w:r>
      <w:r w:rsidR="004F7FA7" w:rsidRPr="00894612">
        <w:t>junto con escenarios típicos de implementación/despliegue</w:t>
      </w:r>
      <w:r w:rsidRPr="00894612">
        <w:t xml:space="preserve">. Australia, </w:t>
      </w:r>
      <w:r w:rsidR="004F7FA7" w:rsidRPr="00894612">
        <w:t>como muchos otros países</w:t>
      </w:r>
      <w:r w:rsidRPr="00894612">
        <w:t>, contribu</w:t>
      </w:r>
      <w:r w:rsidR="004F7FA7" w:rsidRPr="00894612">
        <w:t>yó con información de utilización que sirvió de base para este informe</w:t>
      </w:r>
      <w:r w:rsidRPr="00894612">
        <w:t xml:space="preserve">. </w:t>
      </w:r>
      <w:r w:rsidR="004F7FA7" w:rsidRPr="00894612">
        <w:t xml:space="preserve">Este informe </w:t>
      </w:r>
      <w:r w:rsidR="006047E6" w:rsidRPr="00894612">
        <w:t xml:space="preserve">concluyó en noviembre de </w:t>
      </w:r>
      <w:r w:rsidRPr="00894612">
        <w:t xml:space="preserve">2018; </w:t>
      </w:r>
      <w:r w:rsidR="006047E6" w:rsidRPr="00894612">
        <w:t>y</w:t>
      </w:r>
    </w:p>
    <w:p w14:paraId="70A35430" w14:textId="05E2E296" w:rsidR="002919C2" w:rsidRPr="00894612" w:rsidRDefault="002919C2" w:rsidP="0065763A">
      <w:pPr>
        <w:pStyle w:val="enumlev1"/>
      </w:pPr>
      <w:r w:rsidRPr="00894612">
        <w:t>–</w:t>
      </w:r>
      <w:r w:rsidRPr="00894612">
        <w:tab/>
      </w:r>
      <w:r w:rsidR="00B00654" w:rsidRPr="00894612">
        <w:t xml:space="preserve">Documento de trabajo para la elaboración de un anteproyecto de nueva Recomendación </w:t>
      </w:r>
      <w:hyperlink r:id="rId15" w:history="1">
        <w:r w:rsidRPr="00894612">
          <w:rPr>
            <w:rStyle w:val="Hyperlink"/>
          </w:rPr>
          <w:t>U</w:t>
        </w:r>
        <w:r w:rsidR="00B00654" w:rsidRPr="00894612">
          <w:rPr>
            <w:rStyle w:val="Hyperlink"/>
          </w:rPr>
          <w:t>IT</w:t>
        </w:r>
        <w:r w:rsidRPr="00894612">
          <w:rPr>
            <w:rStyle w:val="Hyperlink"/>
          </w:rPr>
          <w:t>-R M.[RSTT_FRQ]</w:t>
        </w:r>
      </w:hyperlink>
      <w:r w:rsidRPr="00894612">
        <w:t xml:space="preserve"> – </w:t>
      </w:r>
      <w:r w:rsidR="00B00654" w:rsidRPr="00894612">
        <w:rPr>
          <w:i/>
          <w:iCs/>
        </w:rPr>
        <w:t>Armonización de frecuencias y disposiciones de frecuencias conexas para las comunicaciones ferroviarias entre el tren y las vías</w:t>
      </w:r>
      <w:r w:rsidRPr="00894612">
        <w:t xml:space="preserve"> – </w:t>
      </w:r>
      <w:r w:rsidR="002A0B9D" w:rsidRPr="00894612">
        <w:t>destinado a proporcionar un listado de bandas de frecuencias mundiales, regionales y subregionales recomendadas para la utilización por los futuros sistemas en los trenes y las vías que intervienen en el apoyo a la explotación de los trenes</w:t>
      </w:r>
      <w:r w:rsidRPr="00894612">
        <w:t xml:space="preserve"> (</w:t>
      </w:r>
      <w:r w:rsidR="002A0B9D" w:rsidRPr="00894612">
        <w:t>es decir, con exclusión de la información sobre los pasajeros y el entretenimiento</w:t>
      </w:r>
      <w:r w:rsidRPr="00894612">
        <w:t>).</w:t>
      </w:r>
    </w:p>
    <w:p w14:paraId="44E1ABD4" w14:textId="218F66F3" w:rsidR="002919C2" w:rsidRPr="00894612" w:rsidRDefault="002A0B9D" w:rsidP="0065763A">
      <w:r w:rsidRPr="00894612">
        <w:lastRenderedPageBreak/>
        <w:t>En el Informe de la Reunión Preparatoria de la Conferencia</w:t>
      </w:r>
      <w:r w:rsidR="002919C2" w:rsidRPr="00894612">
        <w:t xml:space="preserve"> (</w:t>
      </w:r>
      <w:r w:rsidRPr="00894612">
        <w:t>RPC</w:t>
      </w:r>
      <w:r w:rsidR="002919C2" w:rsidRPr="00894612">
        <w:t xml:space="preserve">) </w:t>
      </w:r>
      <w:r w:rsidRPr="00894612">
        <w:t>para la CMR</w:t>
      </w:r>
      <w:r w:rsidR="002919C2" w:rsidRPr="00894612">
        <w:t xml:space="preserve">-19 </w:t>
      </w:r>
      <w:r w:rsidRPr="00894612">
        <w:t>se proponen tres métodos para abordar este punto del orden del día, a saber</w:t>
      </w:r>
      <w:r w:rsidR="002919C2" w:rsidRPr="00894612">
        <w:t>:</w:t>
      </w:r>
    </w:p>
    <w:p w14:paraId="2089AE46" w14:textId="3DF20B0D" w:rsidR="002919C2" w:rsidRPr="00894612" w:rsidRDefault="002919C2" w:rsidP="0065763A">
      <w:pPr>
        <w:pStyle w:val="enumlev1"/>
      </w:pPr>
      <w:r w:rsidRPr="00894612">
        <w:t>–</w:t>
      </w:r>
      <w:r w:rsidRPr="00894612">
        <w:tab/>
        <w:t>M</w:t>
      </w:r>
      <w:r w:rsidR="002A0B9D" w:rsidRPr="00894612">
        <w:t>étodo</w:t>
      </w:r>
      <w:r w:rsidRPr="00894612">
        <w:t xml:space="preserve"> A – no </w:t>
      </w:r>
      <w:r w:rsidR="002A0B9D" w:rsidRPr="00894612">
        <w:t>modificar el Reglamento de Radiocomunicaciones</w:t>
      </w:r>
      <w:r w:rsidRPr="00894612">
        <w:t>;</w:t>
      </w:r>
    </w:p>
    <w:p w14:paraId="5CEF6721" w14:textId="397B0200" w:rsidR="002919C2" w:rsidRPr="00894612" w:rsidRDefault="002919C2" w:rsidP="0065763A">
      <w:pPr>
        <w:pStyle w:val="enumlev1"/>
      </w:pPr>
      <w:r w:rsidRPr="00894612">
        <w:t>–</w:t>
      </w:r>
      <w:r w:rsidRPr="00894612">
        <w:tab/>
      </w:r>
      <w:r w:rsidR="002A0B9D" w:rsidRPr="00894612">
        <w:t xml:space="preserve">Método </w:t>
      </w:r>
      <w:r w:rsidRPr="00894612">
        <w:t xml:space="preserve">B – </w:t>
      </w:r>
      <w:r w:rsidR="002A0B9D" w:rsidRPr="00894612">
        <w:t>elaborar una nueva Resolución UIT-R</w:t>
      </w:r>
      <w:r w:rsidRPr="00894612">
        <w:t xml:space="preserve"> </w:t>
      </w:r>
      <w:r w:rsidR="002A0B9D" w:rsidRPr="00894612">
        <w:t xml:space="preserve">que especifique las gamas de frecuencias óptimas para orientar la armonización de los </w:t>
      </w:r>
      <w:r w:rsidRPr="00894612">
        <w:t xml:space="preserve">RSTT, </w:t>
      </w:r>
      <w:r w:rsidR="00EF21B3" w:rsidRPr="00894612">
        <w:t>y haga referencia a la versión más reciente de la Recomendación UIT</w:t>
      </w:r>
      <w:r w:rsidRPr="00894612">
        <w:t xml:space="preserve">-R M.[RSTT_FRQ]; </w:t>
      </w:r>
      <w:r w:rsidR="00EF21B3" w:rsidRPr="00894612">
        <w:t>y</w:t>
      </w:r>
    </w:p>
    <w:p w14:paraId="67544390" w14:textId="0942BCEF" w:rsidR="002919C2" w:rsidRPr="00894612" w:rsidRDefault="002919C2" w:rsidP="0065763A">
      <w:pPr>
        <w:pStyle w:val="enumlev1"/>
      </w:pPr>
      <w:r w:rsidRPr="00894612">
        <w:t>–</w:t>
      </w:r>
      <w:r w:rsidRPr="00894612">
        <w:tab/>
      </w:r>
      <w:r w:rsidR="002A0B9D" w:rsidRPr="00894612">
        <w:t xml:space="preserve">Método </w:t>
      </w:r>
      <w:r w:rsidRPr="00894612">
        <w:t xml:space="preserve">C – </w:t>
      </w:r>
      <w:r w:rsidR="00EF21B3" w:rsidRPr="00894612">
        <w:t xml:space="preserve">una nueva Resolución que no especifique gamas de frecuencias para los </w:t>
      </w:r>
      <w:r w:rsidRPr="00894612">
        <w:t xml:space="preserve">RSTT, </w:t>
      </w:r>
      <w:r w:rsidR="00EF21B3" w:rsidRPr="00894612">
        <w:t>y que haga referencia a la Recomendación UIT</w:t>
      </w:r>
      <w:r w:rsidRPr="00894612">
        <w:t xml:space="preserve">-R M.[RSTT_FRQ] </w:t>
      </w:r>
      <w:r w:rsidR="00EF21B3" w:rsidRPr="00894612">
        <w:t>para recomendar gamas de frecuencias armonizadas a nivel mundial/regional</w:t>
      </w:r>
      <w:r w:rsidRPr="00894612">
        <w:t>.</w:t>
      </w:r>
    </w:p>
    <w:p w14:paraId="26B0DEB4" w14:textId="63D13747" w:rsidR="002919C2" w:rsidRPr="00894612" w:rsidRDefault="009655E6" w:rsidP="0065763A">
      <w:r w:rsidRPr="00894612">
        <w:t xml:space="preserve">En cualquiera de los tres Métodos, se suprimirá la Resolución </w:t>
      </w:r>
      <w:r w:rsidR="002919C2" w:rsidRPr="00894612">
        <w:rPr>
          <w:b/>
          <w:bCs/>
        </w:rPr>
        <w:t>236 (</w:t>
      </w:r>
      <w:r w:rsidRPr="00894612">
        <w:rPr>
          <w:b/>
          <w:bCs/>
        </w:rPr>
        <w:t>CMR</w:t>
      </w:r>
      <w:r w:rsidR="002919C2" w:rsidRPr="00894612">
        <w:rPr>
          <w:b/>
          <w:bCs/>
        </w:rPr>
        <w:t>-15)</w:t>
      </w:r>
      <w:r w:rsidR="002919C2" w:rsidRPr="00894612">
        <w:t>.</w:t>
      </w:r>
    </w:p>
    <w:p w14:paraId="6A5C6EBD" w14:textId="6C42806C" w:rsidR="002919C2" w:rsidRPr="00894612" w:rsidRDefault="00E6396A" w:rsidP="0065763A">
      <w:r w:rsidRPr="00894612">
        <w:t>De los Informes concluidos se desprende claramente que las características técnicas y operacionales de los sistemas de radiocomunicaciones ferroviarias varían mucho de un país a otro, y que en la actualidad se utiliza una gama de frecuencias sumamente amplia</w:t>
      </w:r>
      <w:r w:rsidR="002919C2" w:rsidRPr="00894612">
        <w:t xml:space="preserve">. </w:t>
      </w:r>
      <w:r w:rsidRPr="00894612">
        <w:t>A lo largo de este ciclo de estudio</w:t>
      </w:r>
      <w:r w:rsidR="002919C2" w:rsidRPr="00894612">
        <w:t xml:space="preserve">, </w:t>
      </w:r>
      <w:r w:rsidRPr="00894612">
        <w:t xml:space="preserve">no se ha llegado a un consenso respecto de las bandas que serían adecuadas para una armonización mundial o regional </w:t>
      </w:r>
      <w:r w:rsidR="002919C2" w:rsidRPr="00894612">
        <w:t xml:space="preserve">– </w:t>
      </w:r>
      <w:r w:rsidRPr="00894612">
        <w:t>lo que ha llevado a que el documento de trabajo destinado a la elaboración del anteproyecto de nueva Recomendación UIT</w:t>
      </w:r>
      <w:r w:rsidR="002919C2" w:rsidRPr="00894612">
        <w:t xml:space="preserve">-R M.[RSTT_FRQ] </w:t>
      </w:r>
      <w:r w:rsidRPr="00894612">
        <w:t>siga siendo incompleto y no se haya sometido a la aprobación de la CE</w:t>
      </w:r>
      <w:r w:rsidR="004512D8">
        <w:t> </w:t>
      </w:r>
      <w:r w:rsidR="002919C2" w:rsidRPr="00894612">
        <w:t>5.</w:t>
      </w:r>
    </w:p>
    <w:p w14:paraId="77113035" w14:textId="1252C4C9" w:rsidR="002919C2" w:rsidRPr="00894612" w:rsidRDefault="00A17D90" w:rsidP="0065763A">
      <w:r w:rsidRPr="00894612">
        <w:t>La definición de un conjunto limitado de gamas o bandas de frecuencias para su armonización en el Reglamento de Radiocomunicaciones será perjudicial para el elevado número de países que cuentan con diferentes disposiciones y requisitos antiguos</w:t>
      </w:r>
      <w:r w:rsidR="002919C2" w:rsidRPr="00894612">
        <w:t xml:space="preserve">. </w:t>
      </w:r>
      <w:r w:rsidRPr="00894612">
        <w:t>Como consecuencia de ello, el ya reducido número de fabricantes y vendedores de dispositivos terminales y equipos de estaciones de base especialmente diseñados para el sector ferroviario podría decidir dejar de apoyar las bandas indefinidas. El coste de los dispositivos y equipos para esas otras bandas también podría aumentar significativamente</w:t>
      </w:r>
      <w:r w:rsidR="002919C2" w:rsidRPr="00894612">
        <w:t xml:space="preserve">, </w:t>
      </w:r>
      <w:r w:rsidRPr="00894612">
        <w:t>debido a consideraciones de eficiencia en la fabricación</w:t>
      </w:r>
      <w:r w:rsidR="002919C2" w:rsidRPr="00894612">
        <w:t>.</w:t>
      </w:r>
    </w:p>
    <w:p w14:paraId="69736281" w14:textId="4E45A313" w:rsidR="002919C2" w:rsidRPr="00894612" w:rsidRDefault="00A83AEA" w:rsidP="0065763A">
      <w:r w:rsidRPr="00894612">
        <w:t xml:space="preserve">Si bien </w:t>
      </w:r>
      <w:r w:rsidR="002919C2" w:rsidRPr="00894612">
        <w:t xml:space="preserve">Australia </w:t>
      </w:r>
      <w:r w:rsidRPr="00894612">
        <w:t>apoya el objetivo de armonización al que aspira este punto del orden del día</w:t>
      </w:r>
      <w:r w:rsidR="002919C2" w:rsidRPr="00894612">
        <w:t xml:space="preserve">, </w:t>
      </w:r>
      <w:r w:rsidRPr="00894612">
        <w:t>la mejor manera de alcanzarlo es mediante la flexibilidad que ofrecen las Recomendaciones UIT-R pertinentes, con el respaldo de los Informes UIT-R pertinentes</w:t>
      </w:r>
      <w:r w:rsidR="002919C2" w:rsidRPr="00894612">
        <w:t xml:space="preserve">. </w:t>
      </w:r>
      <w:r w:rsidR="00A515BA" w:rsidRPr="00894612">
        <w:t>Ante la falta de consenso alcanzado en el GT</w:t>
      </w:r>
      <w:r w:rsidR="004512D8">
        <w:t> </w:t>
      </w:r>
      <w:r w:rsidR="00A515BA" w:rsidRPr="00894612">
        <w:t>5A respecto de las gamas o bandas de frecuencias que deben considerarse para lograr la armonización</w:t>
      </w:r>
      <w:r w:rsidR="002919C2" w:rsidRPr="00894612">
        <w:t xml:space="preserve">, </w:t>
      </w:r>
      <w:r w:rsidR="00A515BA" w:rsidRPr="00894612">
        <w:t>no es apropiado ni necesario especificar gamas o bandas específicas en una Resolución UIT</w:t>
      </w:r>
      <w:r w:rsidR="002919C2" w:rsidRPr="00894612">
        <w:t>-R.</w:t>
      </w:r>
    </w:p>
    <w:p w14:paraId="0A96D572" w14:textId="304EE1BD" w:rsidR="002919C2" w:rsidRPr="00894612" w:rsidRDefault="002919C2" w:rsidP="0065763A">
      <w:pPr>
        <w:pStyle w:val="Heading1"/>
      </w:pPr>
      <w:r w:rsidRPr="00894612">
        <w:t>2</w:t>
      </w:r>
      <w:r w:rsidRPr="00894612">
        <w:tab/>
      </w:r>
      <w:r w:rsidR="00C820E9" w:rsidRPr="00894612">
        <w:t>Propuestas</w:t>
      </w:r>
    </w:p>
    <w:p w14:paraId="57871D13" w14:textId="03E209EB" w:rsidR="002919C2" w:rsidRPr="00894612" w:rsidRDefault="002919C2" w:rsidP="0065763A">
      <w:r w:rsidRPr="00894612">
        <w:t xml:space="preserve">Australia </w:t>
      </w:r>
      <w:r w:rsidR="00ED1827" w:rsidRPr="00894612">
        <w:t>respalda el Método</w:t>
      </w:r>
      <w:r w:rsidRPr="00894612">
        <w:t xml:space="preserve"> A, NOC, </w:t>
      </w:r>
      <w:r w:rsidR="00ED1827" w:rsidRPr="00894612">
        <w:t>por lo que propone no introducir modificaciones reglamentarias en el marco de este punto del orden del día, como sigue</w:t>
      </w:r>
      <w:r w:rsidRPr="00894612">
        <w:t>:</w:t>
      </w:r>
    </w:p>
    <w:p w14:paraId="39515688" w14:textId="77777777" w:rsidR="008750A8" w:rsidRPr="00894612" w:rsidRDefault="008750A8" w:rsidP="0065763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94612">
        <w:br w:type="page"/>
      </w:r>
    </w:p>
    <w:p w14:paraId="007162FF" w14:textId="77777777" w:rsidR="00C830F2" w:rsidRPr="00894612" w:rsidRDefault="007D2B05" w:rsidP="0065763A">
      <w:pPr>
        <w:pStyle w:val="Proposal"/>
      </w:pPr>
      <w:r w:rsidRPr="00894612">
        <w:rPr>
          <w:u w:val="single"/>
        </w:rPr>
        <w:lastRenderedPageBreak/>
        <w:t>NOC</w:t>
      </w:r>
      <w:r w:rsidRPr="00894612">
        <w:tab/>
        <w:t>AUS/47A11/1</w:t>
      </w:r>
      <w:r w:rsidRPr="00894612">
        <w:rPr>
          <w:vanish/>
          <w:color w:val="7F7F7F" w:themeColor="text1" w:themeTint="80"/>
          <w:vertAlign w:val="superscript"/>
        </w:rPr>
        <w:t>#49716</w:t>
      </w:r>
    </w:p>
    <w:p w14:paraId="18EF7DF9" w14:textId="77777777" w:rsidR="00713E3A" w:rsidRPr="00894612" w:rsidRDefault="007D2B05" w:rsidP="0065763A">
      <w:pPr>
        <w:pStyle w:val="Volumetitle"/>
        <w:rPr>
          <w:b/>
          <w:bCs/>
        </w:rPr>
      </w:pPr>
      <w:r w:rsidRPr="00894612">
        <w:rPr>
          <w:b/>
          <w:bCs/>
        </w:rPr>
        <w:t>ARTÍCULOS</w:t>
      </w:r>
    </w:p>
    <w:p w14:paraId="36C068D0" w14:textId="787A7FC2" w:rsidR="00C830F2" w:rsidRPr="00894612" w:rsidRDefault="007D2B05" w:rsidP="0065763A">
      <w:pPr>
        <w:pStyle w:val="Reasons"/>
      </w:pPr>
      <w:r w:rsidRPr="00894612">
        <w:rPr>
          <w:b/>
        </w:rPr>
        <w:t>Motivos</w:t>
      </w:r>
      <w:r w:rsidRPr="00894612">
        <w:rPr>
          <w:bCs/>
        </w:rPr>
        <w:t>:</w:t>
      </w:r>
      <w:r w:rsidRPr="00894612">
        <w:rPr>
          <w:bCs/>
        </w:rPr>
        <w:tab/>
      </w:r>
      <w:r w:rsidR="004A0176" w:rsidRPr="00894612">
        <w:t xml:space="preserve">No </w:t>
      </w:r>
      <w:r w:rsidR="006D1AD8" w:rsidRPr="00894612">
        <w:t xml:space="preserve">es apropiado ni necesario introducir cambios en los Artículos del Volumen </w:t>
      </w:r>
      <w:r w:rsidR="004A0176" w:rsidRPr="00894612">
        <w:t xml:space="preserve">1 </w:t>
      </w:r>
      <w:r w:rsidR="006D1AD8" w:rsidRPr="00894612">
        <w:t xml:space="preserve">del Reglamento de </w:t>
      </w:r>
      <w:r w:rsidR="004A0176" w:rsidRPr="00894612">
        <w:t>Radio</w:t>
      </w:r>
      <w:r w:rsidR="006D1AD8" w:rsidRPr="00894612">
        <w:t>comunicaciones</w:t>
      </w:r>
      <w:r w:rsidR="004A0176" w:rsidRPr="00894612">
        <w:t xml:space="preserve"> </w:t>
      </w:r>
      <w:r w:rsidR="006D1AD8" w:rsidRPr="00894612">
        <w:t>para satisfacer este punto del orden del día</w:t>
      </w:r>
      <w:r w:rsidR="004A0176" w:rsidRPr="00894612">
        <w:t>.</w:t>
      </w:r>
    </w:p>
    <w:p w14:paraId="0E81D11D" w14:textId="77777777" w:rsidR="00C830F2" w:rsidRPr="00894612" w:rsidRDefault="007D2B05" w:rsidP="0065763A">
      <w:pPr>
        <w:pStyle w:val="Proposal"/>
      </w:pPr>
      <w:r w:rsidRPr="00894612">
        <w:rPr>
          <w:u w:val="single"/>
        </w:rPr>
        <w:t>NOC</w:t>
      </w:r>
      <w:r w:rsidRPr="00894612">
        <w:tab/>
        <w:t>AUS/47A11/2</w:t>
      </w:r>
      <w:r w:rsidRPr="00894612">
        <w:rPr>
          <w:vanish/>
          <w:color w:val="7F7F7F" w:themeColor="text1" w:themeTint="80"/>
          <w:vertAlign w:val="superscript"/>
        </w:rPr>
        <w:t>#49717</w:t>
      </w:r>
    </w:p>
    <w:p w14:paraId="254003BA" w14:textId="77777777" w:rsidR="00713E3A" w:rsidRPr="00894612" w:rsidRDefault="007D2B05" w:rsidP="0065763A">
      <w:pPr>
        <w:pStyle w:val="Volumetitle"/>
        <w:rPr>
          <w:b/>
          <w:bCs/>
        </w:rPr>
      </w:pPr>
      <w:bookmarkStart w:id="5" w:name="_Toc327956568"/>
      <w:r w:rsidRPr="00894612">
        <w:rPr>
          <w:b/>
          <w:bCs/>
        </w:rPr>
        <w:t>APÉNDICE</w:t>
      </w:r>
      <w:bookmarkEnd w:id="5"/>
      <w:r w:rsidRPr="00894612">
        <w:rPr>
          <w:b/>
          <w:bCs/>
        </w:rPr>
        <w:t>S</w:t>
      </w:r>
    </w:p>
    <w:p w14:paraId="23DBC745" w14:textId="4E636D42" w:rsidR="00C830F2" w:rsidRPr="00894612" w:rsidRDefault="007D2B05" w:rsidP="0065763A">
      <w:pPr>
        <w:pStyle w:val="Reasons"/>
      </w:pPr>
      <w:r w:rsidRPr="00894612">
        <w:rPr>
          <w:b/>
        </w:rPr>
        <w:t>Motivos:</w:t>
      </w:r>
      <w:r w:rsidRPr="00894612">
        <w:tab/>
      </w:r>
      <w:r w:rsidR="006D1AD8" w:rsidRPr="00894612">
        <w:t xml:space="preserve">No es apropiado ni necesario introducir cambios en los Apéndices del Volumen </w:t>
      </w:r>
      <w:r w:rsidR="004A0176" w:rsidRPr="00894612">
        <w:t xml:space="preserve">2 </w:t>
      </w:r>
      <w:r w:rsidR="006D1AD8" w:rsidRPr="00894612">
        <w:t>del Reglamento de Radiocomunicaciones para satisfacer este punto del orden del día</w:t>
      </w:r>
      <w:r w:rsidR="004A0176" w:rsidRPr="00894612">
        <w:t>.</w:t>
      </w:r>
    </w:p>
    <w:p w14:paraId="41786D98" w14:textId="77777777" w:rsidR="00C830F2" w:rsidRPr="00894612" w:rsidRDefault="007D2B05" w:rsidP="0065763A">
      <w:pPr>
        <w:pStyle w:val="Proposal"/>
      </w:pPr>
      <w:r w:rsidRPr="00894612">
        <w:t>SUP</w:t>
      </w:r>
      <w:r w:rsidRPr="00894612">
        <w:tab/>
        <w:t>AUS/47A11/3</w:t>
      </w:r>
      <w:r w:rsidRPr="00894612">
        <w:rPr>
          <w:vanish/>
          <w:color w:val="7F7F7F" w:themeColor="text1" w:themeTint="80"/>
          <w:vertAlign w:val="superscript"/>
        </w:rPr>
        <w:t>#49718</w:t>
      </w:r>
    </w:p>
    <w:p w14:paraId="44113DA8" w14:textId="77777777" w:rsidR="00713E3A" w:rsidRPr="00894612" w:rsidRDefault="007D2B05" w:rsidP="0065763A">
      <w:pPr>
        <w:pStyle w:val="ResNo"/>
      </w:pPr>
      <w:r w:rsidRPr="00894612">
        <w:t xml:space="preserve">RESOLUCIÓN </w:t>
      </w:r>
      <w:r w:rsidRPr="00894612">
        <w:rPr>
          <w:rStyle w:val="href"/>
        </w:rPr>
        <w:t>236</w:t>
      </w:r>
      <w:r w:rsidRPr="00894612">
        <w:t xml:space="preserve"> (CMR-15)</w:t>
      </w:r>
    </w:p>
    <w:p w14:paraId="64771CE9" w14:textId="77777777" w:rsidR="00713E3A" w:rsidRPr="00894612" w:rsidRDefault="007D2B05" w:rsidP="0065763A">
      <w:pPr>
        <w:pStyle w:val="Restitle"/>
        <w:rPr>
          <w:strike/>
          <w:lang w:eastAsia="zh-CN"/>
        </w:rPr>
      </w:pPr>
      <w:r w:rsidRPr="00894612">
        <w:rPr>
          <w:lang w:eastAsia="zh-CN"/>
        </w:rPr>
        <w:t xml:space="preserve">Sistemas de radiocomunicaciones ferroviarias </w:t>
      </w:r>
      <w:r w:rsidRPr="00894612">
        <w:rPr>
          <w:lang w:eastAsia="zh-CN"/>
        </w:rPr>
        <w:br/>
        <w:t>entre el tren y el entorno ferroviario</w:t>
      </w:r>
    </w:p>
    <w:p w14:paraId="0C650933" w14:textId="525A40F5" w:rsidR="004A0176" w:rsidRPr="00894612" w:rsidRDefault="007D2B05" w:rsidP="0073015A">
      <w:pPr>
        <w:pStyle w:val="Reasons"/>
      </w:pPr>
      <w:r w:rsidRPr="00894612">
        <w:rPr>
          <w:b/>
        </w:rPr>
        <w:t>Motivos</w:t>
      </w:r>
      <w:r w:rsidRPr="00894612">
        <w:rPr>
          <w:bCs/>
        </w:rPr>
        <w:t>:</w:t>
      </w:r>
      <w:r w:rsidRPr="00894612">
        <w:rPr>
          <w:bCs/>
        </w:rPr>
        <w:tab/>
      </w:r>
      <w:r w:rsidR="000B67E3" w:rsidRPr="00894612">
        <w:rPr>
          <w:bCs/>
        </w:rPr>
        <w:t>Esta Resolución no será necesaria después de la CMR</w:t>
      </w:r>
      <w:r w:rsidR="004A0176" w:rsidRPr="00894612">
        <w:t>-19.</w:t>
      </w:r>
      <w:bookmarkStart w:id="6" w:name="_GoBack"/>
      <w:bookmarkEnd w:id="6"/>
    </w:p>
    <w:p w14:paraId="1B1EAB3E" w14:textId="77777777" w:rsidR="004A0176" w:rsidRPr="00894612" w:rsidRDefault="004A0176" w:rsidP="0065763A">
      <w:pPr>
        <w:jc w:val="center"/>
      </w:pPr>
      <w:r w:rsidRPr="00894612">
        <w:t>______________</w:t>
      </w:r>
    </w:p>
    <w:sectPr w:rsidR="004A0176" w:rsidRPr="00894612">
      <w:headerReference w:type="default" r:id="rId16"/>
      <w:footerReference w:type="even" r:id="rId17"/>
      <w:footerReference w:type="default" r:id="rId18"/>
      <w:footerReference w:type="first" r:id="rId19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B8095" w14:textId="77777777" w:rsidR="003C0613" w:rsidRDefault="003C0613">
      <w:r>
        <w:separator/>
      </w:r>
    </w:p>
  </w:endnote>
  <w:endnote w:type="continuationSeparator" w:id="0">
    <w:p w14:paraId="3ADDEC90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B690B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B9B0E7" w14:textId="3587F1A3" w:rsidR="0077084A" w:rsidRPr="00B344CE" w:rsidRDefault="0077084A">
    <w:pPr>
      <w:ind w:right="360"/>
    </w:pPr>
    <w:r>
      <w:fldChar w:fldCharType="begin"/>
    </w:r>
    <w:r w:rsidRPr="00B344CE">
      <w:instrText xml:space="preserve"> FILENAME \p  \* MERGEFORMAT </w:instrText>
    </w:r>
    <w:r>
      <w:fldChar w:fldCharType="separate"/>
    </w:r>
    <w:r w:rsidR="00B344CE">
      <w:rPr>
        <w:noProof/>
      </w:rPr>
      <w:t>P:\ESP\ITU-R\CONF-R\CMR19\000\047ADD11S.docx</w:t>
    </w:r>
    <w:r>
      <w:fldChar w:fldCharType="end"/>
    </w:r>
    <w:r w:rsidRPr="00B344CE">
      <w:tab/>
    </w:r>
    <w:r>
      <w:fldChar w:fldCharType="begin"/>
    </w:r>
    <w:r>
      <w:instrText xml:space="preserve"> SAVEDATE \@ DD.MM.YY </w:instrText>
    </w:r>
    <w:r>
      <w:fldChar w:fldCharType="separate"/>
    </w:r>
    <w:r w:rsidR="004512D8">
      <w:rPr>
        <w:noProof/>
      </w:rPr>
      <w:t>18.10.19</w:t>
    </w:r>
    <w:r>
      <w:fldChar w:fldCharType="end"/>
    </w:r>
    <w:r w:rsidRPr="00B344CE">
      <w:tab/>
    </w:r>
    <w:r>
      <w:fldChar w:fldCharType="begin"/>
    </w:r>
    <w:r>
      <w:instrText xml:space="preserve"> PRINTDATE \@ DD.MM.YY </w:instrText>
    </w:r>
    <w:r>
      <w:fldChar w:fldCharType="separate"/>
    </w:r>
    <w:r w:rsidR="00B344CE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098EC" w14:textId="0753678E" w:rsidR="00A8129F" w:rsidRDefault="007878E0" w:rsidP="00A8129F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344CE">
      <w:rPr>
        <w:lang w:val="en-US"/>
      </w:rPr>
      <w:t>P:\ESP\ITU-R\CONF-R\CMR19\000\047ADD11S.docx</w:t>
    </w:r>
    <w:r>
      <w:fldChar w:fldCharType="end"/>
    </w:r>
    <w:r w:rsidRPr="00565ED6">
      <w:rPr>
        <w:lang w:val="en-US"/>
      </w:rPr>
      <w:t xml:space="preserve"> (461942)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D6DD2" w14:textId="2F38B996" w:rsidR="0077084A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344CE">
      <w:rPr>
        <w:lang w:val="en-US"/>
      </w:rPr>
      <w:t>P:\ESP\ITU-R\CONF-R\CMR19\000\047ADD11S.docx</w:t>
    </w:r>
    <w:r>
      <w:fldChar w:fldCharType="end"/>
    </w:r>
    <w:r w:rsidR="00A8129F" w:rsidRPr="00565ED6">
      <w:rPr>
        <w:lang w:val="en-US"/>
      </w:rPr>
      <w:t xml:space="preserve"> (461942)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CEB21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577F0628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BC23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565245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47(Add.11)-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B67E3"/>
    <w:rsid w:val="000E5BF9"/>
    <w:rsid w:val="000F0E6D"/>
    <w:rsid w:val="000F4EDF"/>
    <w:rsid w:val="00121170"/>
    <w:rsid w:val="00123CC5"/>
    <w:rsid w:val="0015142D"/>
    <w:rsid w:val="001616DC"/>
    <w:rsid w:val="001627BB"/>
    <w:rsid w:val="00163962"/>
    <w:rsid w:val="00191A97"/>
    <w:rsid w:val="0019729C"/>
    <w:rsid w:val="001A083F"/>
    <w:rsid w:val="001B1BFF"/>
    <w:rsid w:val="001C41FA"/>
    <w:rsid w:val="001E2B52"/>
    <w:rsid w:val="001E3F27"/>
    <w:rsid w:val="001E7D42"/>
    <w:rsid w:val="0023659C"/>
    <w:rsid w:val="00236D2A"/>
    <w:rsid w:val="0024569E"/>
    <w:rsid w:val="0025075D"/>
    <w:rsid w:val="00255F12"/>
    <w:rsid w:val="00262C09"/>
    <w:rsid w:val="002919C2"/>
    <w:rsid w:val="00296E21"/>
    <w:rsid w:val="002A0B9D"/>
    <w:rsid w:val="002A791F"/>
    <w:rsid w:val="002C1A52"/>
    <w:rsid w:val="002C1B26"/>
    <w:rsid w:val="002C5D6C"/>
    <w:rsid w:val="002E10C8"/>
    <w:rsid w:val="002E701F"/>
    <w:rsid w:val="003248A9"/>
    <w:rsid w:val="00324FFA"/>
    <w:rsid w:val="0032680B"/>
    <w:rsid w:val="00363A65"/>
    <w:rsid w:val="003A4E99"/>
    <w:rsid w:val="003B1E8C"/>
    <w:rsid w:val="003C0613"/>
    <w:rsid w:val="003C2508"/>
    <w:rsid w:val="003D0AA3"/>
    <w:rsid w:val="003E2086"/>
    <w:rsid w:val="003F7F66"/>
    <w:rsid w:val="00415413"/>
    <w:rsid w:val="00422CC1"/>
    <w:rsid w:val="00440B3A"/>
    <w:rsid w:val="0044375A"/>
    <w:rsid w:val="004512D8"/>
    <w:rsid w:val="0045384C"/>
    <w:rsid w:val="00454553"/>
    <w:rsid w:val="004577BB"/>
    <w:rsid w:val="00472A86"/>
    <w:rsid w:val="004A0176"/>
    <w:rsid w:val="004B124A"/>
    <w:rsid w:val="004B3095"/>
    <w:rsid w:val="004D2C7C"/>
    <w:rsid w:val="004F71D9"/>
    <w:rsid w:val="004F7FA7"/>
    <w:rsid w:val="005133B5"/>
    <w:rsid w:val="00524392"/>
    <w:rsid w:val="00532097"/>
    <w:rsid w:val="00565ED6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047E6"/>
    <w:rsid w:val="006124AD"/>
    <w:rsid w:val="00624009"/>
    <w:rsid w:val="0065763A"/>
    <w:rsid w:val="00662BA0"/>
    <w:rsid w:val="0067344B"/>
    <w:rsid w:val="00684A94"/>
    <w:rsid w:val="00692AAE"/>
    <w:rsid w:val="006C0E38"/>
    <w:rsid w:val="006D1AD8"/>
    <w:rsid w:val="006D6E67"/>
    <w:rsid w:val="006E1A13"/>
    <w:rsid w:val="00701C20"/>
    <w:rsid w:val="00702F3D"/>
    <w:rsid w:val="0070518E"/>
    <w:rsid w:val="0073015A"/>
    <w:rsid w:val="007354E9"/>
    <w:rsid w:val="007424E8"/>
    <w:rsid w:val="0074579D"/>
    <w:rsid w:val="00765578"/>
    <w:rsid w:val="00766333"/>
    <w:rsid w:val="0077084A"/>
    <w:rsid w:val="007878E0"/>
    <w:rsid w:val="007952C7"/>
    <w:rsid w:val="007A3FAD"/>
    <w:rsid w:val="007C0B95"/>
    <w:rsid w:val="007C2317"/>
    <w:rsid w:val="007D2B05"/>
    <w:rsid w:val="007D330A"/>
    <w:rsid w:val="007E7922"/>
    <w:rsid w:val="00825AEA"/>
    <w:rsid w:val="00866AE6"/>
    <w:rsid w:val="0087191E"/>
    <w:rsid w:val="008750A8"/>
    <w:rsid w:val="00894612"/>
    <w:rsid w:val="008D3316"/>
    <w:rsid w:val="008E5AF2"/>
    <w:rsid w:val="0090121B"/>
    <w:rsid w:val="009144C9"/>
    <w:rsid w:val="0094091F"/>
    <w:rsid w:val="00962171"/>
    <w:rsid w:val="009655E6"/>
    <w:rsid w:val="00973754"/>
    <w:rsid w:val="009C0BED"/>
    <w:rsid w:val="009E11EC"/>
    <w:rsid w:val="00A021CC"/>
    <w:rsid w:val="00A118DB"/>
    <w:rsid w:val="00A14075"/>
    <w:rsid w:val="00A17D90"/>
    <w:rsid w:val="00A4450C"/>
    <w:rsid w:val="00A515BA"/>
    <w:rsid w:val="00A8129F"/>
    <w:rsid w:val="00A83AEA"/>
    <w:rsid w:val="00AA5E6C"/>
    <w:rsid w:val="00AE5677"/>
    <w:rsid w:val="00AE658F"/>
    <w:rsid w:val="00AF2F78"/>
    <w:rsid w:val="00B00654"/>
    <w:rsid w:val="00B239FA"/>
    <w:rsid w:val="00B344CE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20E9"/>
    <w:rsid w:val="00C830F2"/>
    <w:rsid w:val="00C87DA7"/>
    <w:rsid w:val="00CC01E0"/>
    <w:rsid w:val="00CD5FEE"/>
    <w:rsid w:val="00CE60D2"/>
    <w:rsid w:val="00CE7431"/>
    <w:rsid w:val="00D00CA8"/>
    <w:rsid w:val="00D0288A"/>
    <w:rsid w:val="00D72A5D"/>
    <w:rsid w:val="00D770AE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6396A"/>
    <w:rsid w:val="00E71D14"/>
    <w:rsid w:val="00EA77F0"/>
    <w:rsid w:val="00ED1827"/>
    <w:rsid w:val="00EF21B3"/>
    <w:rsid w:val="00F32316"/>
    <w:rsid w:val="00F66597"/>
    <w:rsid w:val="00F675D0"/>
    <w:rsid w:val="00F8150C"/>
    <w:rsid w:val="00FC7348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3B28478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qFormat/>
    <w:rsid w:val="00713E3A"/>
  </w:style>
  <w:style w:type="character" w:styleId="Hyperlink">
    <w:name w:val="Hyperlink"/>
    <w:basedOn w:val="DefaultParagraphFont"/>
    <w:unhideWhenUsed/>
    <w:rsid w:val="002919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9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22CC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2CC1"/>
    <w:rPr>
      <w:rFonts w:ascii="Segoe UI" w:hAnsi="Segoe UI" w:cs="Segoe UI"/>
      <w:sz w:val="18"/>
      <w:szCs w:val="18"/>
      <w:lang w:val="es-ES_tradnl" w:eastAsia="en-US"/>
    </w:rPr>
  </w:style>
  <w:style w:type="character" w:styleId="FollowedHyperlink">
    <w:name w:val="FollowedHyperlink"/>
    <w:basedOn w:val="DefaultParagraphFont"/>
    <w:semiHidden/>
    <w:unhideWhenUsed/>
    <w:rsid w:val="00D770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pub/R-REP-M.2418/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dms_pub/itu-r/md/15/wp5a/c/R15-WP5A-C-1065!N04!MSW-E.docx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pub/R-REP-M.2442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R16-WRC19-C-0047!A11!MSW-S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5E732-14D4-46BC-997D-613965927FD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32a1a8c5-2265-4ebc-b7a0-2071e2c5c9bb"/>
    <ds:schemaRef ds:uri="http://schemas.openxmlformats.org/package/2006/metadata/core-propertie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41A742-D61A-4881-962D-5CBA0D76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839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R16-WRC19-C-0047!A11!MSW-S</vt:lpstr>
    </vt:vector>
  </TitlesOfParts>
  <Manager>Secretaría General - Pool</Manager>
  <Company>Unión Internacional de Telecomunicaciones (UIT)</Company>
  <LinksUpToDate>false</LinksUpToDate>
  <CharactersWithSpaces>5758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R16-WRC19-C-0047!A11!MSW-S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15</cp:revision>
  <cp:lastPrinted>2019-10-18T16:49:00Z</cp:lastPrinted>
  <dcterms:created xsi:type="dcterms:W3CDTF">2019-10-18T08:53:00Z</dcterms:created>
  <dcterms:modified xsi:type="dcterms:W3CDTF">2019-10-21T12:40:00Z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