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F0343" w14:paraId="18D83716" w14:textId="77777777" w:rsidTr="0050008E">
        <w:trPr>
          <w:cantSplit/>
        </w:trPr>
        <w:tc>
          <w:tcPr>
            <w:tcW w:w="6911" w:type="dxa"/>
          </w:tcPr>
          <w:p w14:paraId="614CB134" w14:textId="77777777" w:rsidR="0090121B" w:rsidRPr="002F0343" w:rsidRDefault="005D46FB" w:rsidP="00C44E9E">
            <w:pPr>
              <w:spacing w:before="400" w:after="48" w:line="240" w:lineRule="atLeast"/>
              <w:rPr>
                <w:rFonts w:ascii="Verdana" w:hAnsi="Verdana"/>
                <w:position w:val="6"/>
              </w:rPr>
            </w:pPr>
            <w:r w:rsidRPr="002F0343">
              <w:rPr>
                <w:rFonts w:ascii="Verdana" w:hAnsi="Verdana" w:cs="Times"/>
                <w:b/>
                <w:position w:val="6"/>
                <w:sz w:val="20"/>
              </w:rPr>
              <w:t>Conferencia Mundial de Radiocomunicaciones (CMR-1</w:t>
            </w:r>
            <w:r w:rsidR="00C44E9E" w:rsidRPr="002F0343">
              <w:rPr>
                <w:rFonts w:ascii="Verdana" w:hAnsi="Verdana" w:cs="Times"/>
                <w:b/>
                <w:position w:val="6"/>
                <w:sz w:val="20"/>
              </w:rPr>
              <w:t>9</w:t>
            </w:r>
            <w:r w:rsidRPr="002F0343">
              <w:rPr>
                <w:rFonts w:ascii="Verdana" w:hAnsi="Verdana" w:cs="Times"/>
                <w:b/>
                <w:position w:val="6"/>
                <w:sz w:val="20"/>
              </w:rPr>
              <w:t>)</w:t>
            </w:r>
            <w:r w:rsidRPr="002F0343">
              <w:rPr>
                <w:rFonts w:ascii="Verdana" w:hAnsi="Verdana" w:cs="Times"/>
                <w:b/>
                <w:position w:val="6"/>
                <w:sz w:val="20"/>
              </w:rPr>
              <w:br/>
            </w:r>
            <w:r w:rsidR="006124AD" w:rsidRPr="002F0343">
              <w:rPr>
                <w:rFonts w:ascii="Verdana" w:hAnsi="Verdana"/>
                <w:b/>
                <w:bCs/>
                <w:position w:val="6"/>
                <w:sz w:val="17"/>
                <w:szCs w:val="17"/>
              </w:rPr>
              <w:t>Sharm el-Sheikh (Egipto)</w:t>
            </w:r>
            <w:r w:rsidRPr="002F0343">
              <w:rPr>
                <w:rFonts w:ascii="Verdana" w:hAnsi="Verdana"/>
                <w:b/>
                <w:bCs/>
                <w:position w:val="6"/>
                <w:sz w:val="17"/>
                <w:szCs w:val="17"/>
              </w:rPr>
              <w:t>, 2</w:t>
            </w:r>
            <w:r w:rsidR="00C44E9E" w:rsidRPr="002F0343">
              <w:rPr>
                <w:rFonts w:ascii="Verdana" w:hAnsi="Verdana"/>
                <w:b/>
                <w:bCs/>
                <w:position w:val="6"/>
                <w:sz w:val="17"/>
                <w:szCs w:val="17"/>
              </w:rPr>
              <w:t xml:space="preserve">8 de octubre </w:t>
            </w:r>
            <w:r w:rsidR="00DE1C31" w:rsidRPr="002F0343">
              <w:rPr>
                <w:rFonts w:ascii="Verdana" w:hAnsi="Verdana"/>
                <w:b/>
                <w:bCs/>
                <w:position w:val="6"/>
                <w:sz w:val="17"/>
                <w:szCs w:val="17"/>
              </w:rPr>
              <w:t>–</w:t>
            </w:r>
            <w:r w:rsidR="00C44E9E" w:rsidRPr="002F0343">
              <w:rPr>
                <w:rFonts w:ascii="Verdana" w:hAnsi="Verdana"/>
                <w:b/>
                <w:bCs/>
                <w:position w:val="6"/>
                <w:sz w:val="17"/>
                <w:szCs w:val="17"/>
              </w:rPr>
              <w:t xml:space="preserve"> </w:t>
            </w:r>
            <w:r w:rsidRPr="002F0343">
              <w:rPr>
                <w:rFonts w:ascii="Verdana" w:hAnsi="Verdana"/>
                <w:b/>
                <w:bCs/>
                <w:position w:val="6"/>
                <w:sz w:val="17"/>
                <w:szCs w:val="17"/>
              </w:rPr>
              <w:t>2</w:t>
            </w:r>
            <w:r w:rsidR="00C44E9E" w:rsidRPr="002F0343">
              <w:rPr>
                <w:rFonts w:ascii="Verdana" w:hAnsi="Verdana"/>
                <w:b/>
                <w:bCs/>
                <w:position w:val="6"/>
                <w:sz w:val="17"/>
                <w:szCs w:val="17"/>
              </w:rPr>
              <w:t>2</w:t>
            </w:r>
            <w:r w:rsidRPr="002F0343">
              <w:rPr>
                <w:rFonts w:ascii="Verdana" w:hAnsi="Verdana"/>
                <w:b/>
                <w:bCs/>
                <w:position w:val="6"/>
                <w:sz w:val="17"/>
                <w:szCs w:val="17"/>
              </w:rPr>
              <w:t xml:space="preserve"> de noviembre de 201</w:t>
            </w:r>
            <w:r w:rsidR="00C44E9E" w:rsidRPr="002F0343">
              <w:rPr>
                <w:rFonts w:ascii="Verdana" w:hAnsi="Verdana"/>
                <w:b/>
                <w:bCs/>
                <w:position w:val="6"/>
                <w:sz w:val="17"/>
                <w:szCs w:val="17"/>
              </w:rPr>
              <w:t>9</w:t>
            </w:r>
          </w:p>
        </w:tc>
        <w:tc>
          <w:tcPr>
            <w:tcW w:w="3120" w:type="dxa"/>
          </w:tcPr>
          <w:p w14:paraId="56370C1A" w14:textId="77777777" w:rsidR="0090121B" w:rsidRPr="002F0343" w:rsidRDefault="00DA71A3" w:rsidP="00CE7431">
            <w:pPr>
              <w:spacing w:before="0" w:line="240" w:lineRule="atLeast"/>
              <w:jc w:val="right"/>
            </w:pPr>
            <w:bookmarkStart w:id="0" w:name="ditulogo"/>
            <w:bookmarkEnd w:id="0"/>
            <w:r w:rsidRPr="002F0343">
              <w:rPr>
                <w:rFonts w:ascii="Verdana" w:hAnsi="Verdana"/>
                <w:b/>
                <w:bCs/>
                <w:noProof/>
                <w:szCs w:val="24"/>
                <w:lang w:eastAsia="zh-CN"/>
              </w:rPr>
              <w:drawing>
                <wp:inline distT="0" distB="0" distL="0" distR="0" wp14:anchorId="78322799" wp14:editId="3725FFC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2F0343" w14:paraId="587A0740" w14:textId="77777777" w:rsidTr="0050008E">
        <w:trPr>
          <w:cantSplit/>
        </w:trPr>
        <w:tc>
          <w:tcPr>
            <w:tcW w:w="6911" w:type="dxa"/>
            <w:tcBorders>
              <w:bottom w:val="single" w:sz="12" w:space="0" w:color="auto"/>
            </w:tcBorders>
          </w:tcPr>
          <w:p w14:paraId="39C60136" w14:textId="77777777" w:rsidR="0090121B" w:rsidRPr="002F0343"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7C29539F" w14:textId="77777777" w:rsidR="0090121B" w:rsidRPr="002F0343" w:rsidRDefault="0090121B" w:rsidP="0090121B">
            <w:pPr>
              <w:spacing w:before="0" w:line="240" w:lineRule="atLeast"/>
              <w:rPr>
                <w:rFonts w:ascii="Verdana" w:hAnsi="Verdana"/>
                <w:szCs w:val="24"/>
              </w:rPr>
            </w:pPr>
          </w:p>
        </w:tc>
      </w:tr>
      <w:tr w:rsidR="0090121B" w:rsidRPr="002F0343" w14:paraId="555EE591" w14:textId="77777777" w:rsidTr="0090121B">
        <w:trPr>
          <w:cantSplit/>
        </w:trPr>
        <w:tc>
          <w:tcPr>
            <w:tcW w:w="6911" w:type="dxa"/>
            <w:tcBorders>
              <w:top w:val="single" w:sz="12" w:space="0" w:color="auto"/>
            </w:tcBorders>
          </w:tcPr>
          <w:p w14:paraId="5C751244" w14:textId="77777777" w:rsidR="0090121B" w:rsidRPr="002F0343"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124AA9C0" w14:textId="77777777" w:rsidR="0090121B" w:rsidRPr="002F0343" w:rsidRDefault="0090121B" w:rsidP="0090121B">
            <w:pPr>
              <w:spacing w:before="0" w:line="240" w:lineRule="atLeast"/>
              <w:rPr>
                <w:rFonts w:ascii="Verdana" w:hAnsi="Verdana"/>
                <w:sz w:val="20"/>
              </w:rPr>
            </w:pPr>
          </w:p>
        </w:tc>
      </w:tr>
      <w:tr w:rsidR="0090121B" w:rsidRPr="002F0343" w14:paraId="43A9969B" w14:textId="77777777" w:rsidTr="0090121B">
        <w:trPr>
          <w:cantSplit/>
        </w:trPr>
        <w:tc>
          <w:tcPr>
            <w:tcW w:w="6911" w:type="dxa"/>
          </w:tcPr>
          <w:p w14:paraId="3499DC12" w14:textId="77777777" w:rsidR="0090121B" w:rsidRPr="002F0343" w:rsidRDefault="001E7D42" w:rsidP="00EA77F0">
            <w:pPr>
              <w:pStyle w:val="Committee"/>
              <w:framePr w:hSpace="0" w:wrap="auto" w:hAnchor="text" w:yAlign="inline"/>
              <w:rPr>
                <w:sz w:val="18"/>
                <w:szCs w:val="18"/>
                <w:lang w:val="es-ES_tradnl"/>
              </w:rPr>
            </w:pPr>
            <w:r w:rsidRPr="002F0343">
              <w:rPr>
                <w:sz w:val="18"/>
                <w:szCs w:val="18"/>
                <w:lang w:val="es-ES_tradnl"/>
              </w:rPr>
              <w:t>SESIÓN PLENARIA</w:t>
            </w:r>
          </w:p>
        </w:tc>
        <w:tc>
          <w:tcPr>
            <w:tcW w:w="3120" w:type="dxa"/>
          </w:tcPr>
          <w:p w14:paraId="0D9C63B4" w14:textId="77777777" w:rsidR="0090121B" w:rsidRPr="002F0343" w:rsidRDefault="00AE658F" w:rsidP="0045384C">
            <w:pPr>
              <w:spacing w:before="0"/>
              <w:rPr>
                <w:rFonts w:ascii="Verdana" w:hAnsi="Verdana"/>
                <w:sz w:val="18"/>
                <w:szCs w:val="18"/>
              </w:rPr>
            </w:pPr>
            <w:r w:rsidRPr="002F0343">
              <w:rPr>
                <w:rFonts w:ascii="Verdana" w:hAnsi="Verdana"/>
                <w:b/>
                <w:sz w:val="18"/>
                <w:szCs w:val="18"/>
              </w:rPr>
              <w:t>Documento 42</w:t>
            </w:r>
            <w:r w:rsidR="0090121B" w:rsidRPr="002F0343">
              <w:rPr>
                <w:rFonts w:ascii="Verdana" w:hAnsi="Verdana"/>
                <w:b/>
                <w:sz w:val="18"/>
                <w:szCs w:val="18"/>
              </w:rPr>
              <w:t>-</w:t>
            </w:r>
            <w:r w:rsidRPr="002F0343">
              <w:rPr>
                <w:rFonts w:ascii="Verdana" w:hAnsi="Verdana"/>
                <w:b/>
                <w:sz w:val="18"/>
                <w:szCs w:val="18"/>
              </w:rPr>
              <w:t>S</w:t>
            </w:r>
          </w:p>
        </w:tc>
      </w:tr>
      <w:bookmarkEnd w:id="1"/>
      <w:tr w:rsidR="000A5B9A" w:rsidRPr="002F0343" w14:paraId="60B96B0B" w14:textId="77777777" w:rsidTr="0090121B">
        <w:trPr>
          <w:cantSplit/>
        </w:trPr>
        <w:tc>
          <w:tcPr>
            <w:tcW w:w="6911" w:type="dxa"/>
          </w:tcPr>
          <w:p w14:paraId="5C038436" w14:textId="77777777" w:rsidR="000A5B9A" w:rsidRPr="002F0343" w:rsidRDefault="000A5B9A" w:rsidP="0045384C">
            <w:pPr>
              <w:spacing w:before="0" w:after="48"/>
              <w:rPr>
                <w:rFonts w:ascii="Verdana" w:hAnsi="Verdana"/>
                <w:b/>
                <w:smallCaps/>
                <w:sz w:val="18"/>
                <w:szCs w:val="18"/>
              </w:rPr>
            </w:pPr>
          </w:p>
        </w:tc>
        <w:tc>
          <w:tcPr>
            <w:tcW w:w="3120" w:type="dxa"/>
          </w:tcPr>
          <w:p w14:paraId="0DF3E589" w14:textId="77777777" w:rsidR="000A5B9A" w:rsidRPr="002F0343" w:rsidRDefault="000A5B9A" w:rsidP="0045384C">
            <w:pPr>
              <w:spacing w:before="0"/>
              <w:rPr>
                <w:rFonts w:ascii="Verdana" w:hAnsi="Verdana"/>
                <w:b/>
                <w:sz w:val="18"/>
                <w:szCs w:val="18"/>
              </w:rPr>
            </w:pPr>
            <w:r w:rsidRPr="002F0343">
              <w:rPr>
                <w:rFonts w:ascii="Verdana" w:hAnsi="Verdana"/>
                <w:b/>
                <w:sz w:val="18"/>
                <w:szCs w:val="18"/>
              </w:rPr>
              <w:t>11 de octubre de 2019</w:t>
            </w:r>
          </w:p>
        </w:tc>
      </w:tr>
      <w:tr w:rsidR="000A5B9A" w:rsidRPr="002F0343" w14:paraId="0D858D97" w14:textId="77777777" w:rsidTr="0090121B">
        <w:trPr>
          <w:cantSplit/>
        </w:trPr>
        <w:tc>
          <w:tcPr>
            <w:tcW w:w="6911" w:type="dxa"/>
          </w:tcPr>
          <w:p w14:paraId="444C80A1" w14:textId="77777777" w:rsidR="000A5B9A" w:rsidRPr="002F0343" w:rsidRDefault="000A5B9A" w:rsidP="0045384C">
            <w:pPr>
              <w:spacing w:before="0" w:after="48"/>
              <w:rPr>
                <w:rFonts w:ascii="Verdana" w:hAnsi="Verdana"/>
                <w:b/>
                <w:smallCaps/>
                <w:sz w:val="18"/>
                <w:szCs w:val="18"/>
              </w:rPr>
            </w:pPr>
          </w:p>
        </w:tc>
        <w:tc>
          <w:tcPr>
            <w:tcW w:w="3120" w:type="dxa"/>
          </w:tcPr>
          <w:p w14:paraId="45EF6F17" w14:textId="77777777" w:rsidR="000A5B9A" w:rsidRPr="002F0343" w:rsidRDefault="000A5B9A" w:rsidP="0045384C">
            <w:pPr>
              <w:spacing w:before="0"/>
              <w:rPr>
                <w:rFonts w:ascii="Verdana" w:hAnsi="Verdana"/>
                <w:b/>
                <w:sz w:val="18"/>
                <w:szCs w:val="18"/>
              </w:rPr>
            </w:pPr>
            <w:r w:rsidRPr="002F0343">
              <w:rPr>
                <w:rFonts w:ascii="Verdana" w:hAnsi="Verdana"/>
                <w:b/>
                <w:sz w:val="18"/>
                <w:szCs w:val="18"/>
              </w:rPr>
              <w:t>Original: inglés</w:t>
            </w:r>
            <w:bookmarkStart w:id="2" w:name="_GoBack"/>
            <w:bookmarkEnd w:id="2"/>
          </w:p>
        </w:tc>
      </w:tr>
      <w:tr w:rsidR="000A5B9A" w:rsidRPr="002F0343" w14:paraId="1FF140D4" w14:textId="77777777" w:rsidTr="006744FC">
        <w:trPr>
          <w:cantSplit/>
        </w:trPr>
        <w:tc>
          <w:tcPr>
            <w:tcW w:w="10031" w:type="dxa"/>
            <w:gridSpan w:val="2"/>
          </w:tcPr>
          <w:p w14:paraId="5795913A" w14:textId="77777777" w:rsidR="000A5B9A" w:rsidRPr="002F0343" w:rsidRDefault="000A5B9A" w:rsidP="0045384C">
            <w:pPr>
              <w:spacing w:before="0"/>
              <w:rPr>
                <w:rFonts w:ascii="Verdana" w:hAnsi="Verdana"/>
                <w:b/>
                <w:sz w:val="18"/>
                <w:szCs w:val="22"/>
              </w:rPr>
            </w:pPr>
          </w:p>
        </w:tc>
      </w:tr>
      <w:tr w:rsidR="000A5B9A" w:rsidRPr="002F0343" w14:paraId="0712B0CF" w14:textId="77777777" w:rsidTr="0050008E">
        <w:trPr>
          <w:cantSplit/>
        </w:trPr>
        <w:tc>
          <w:tcPr>
            <w:tcW w:w="10031" w:type="dxa"/>
            <w:gridSpan w:val="2"/>
          </w:tcPr>
          <w:p w14:paraId="0550C7EE" w14:textId="77777777" w:rsidR="000A5B9A" w:rsidRPr="002F0343" w:rsidRDefault="000A5B9A" w:rsidP="000A5B9A">
            <w:pPr>
              <w:pStyle w:val="Source"/>
            </w:pPr>
            <w:bookmarkStart w:id="3" w:name="dsource" w:colFirst="0" w:colLast="0"/>
            <w:r w:rsidRPr="002F0343">
              <w:t>Chipre (República de)/Grecia</w:t>
            </w:r>
          </w:p>
        </w:tc>
      </w:tr>
      <w:tr w:rsidR="000A5B9A" w:rsidRPr="002F0343" w14:paraId="2025CFD5" w14:textId="77777777" w:rsidTr="0050008E">
        <w:trPr>
          <w:cantSplit/>
        </w:trPr>
        <w:tc>
          <w:tcPr>
            <w:tcW w:w="10031" w:type="dxa"/>
            <w:gridSpan w:val="2"/>
          </w:tcPr>
          <w:p w14:paraId="7315A347" w14:textId="77777777" w:rsidR="000A5B9A" w:rsidRPr="002F0343" w:rsidRDefault="000A5B9A" w:rsidP="000A5B9A">
            <w:pPr>
              <w:pStyle w:val="Title1"/>
            </w:pPr>
            <w:bookmarkStart w:id="4" w:name="dtitle1" w:colFirst="0" w:colLast="0"/>
            <w:bookmarkEnd w:id="3"/>
            <w:r w:rsidRPr="002F0343">
              <w:t>Propuestas para los trabajos de la Conferencia</w:t>
            </w:r>
          </w:p>
        </w:tc>
      </w:tr>
      <w:tr w:rsidR="000A5B9A" w:rsidRPr="002F0343" w14:paraId="3686E01F" w14:textId="77777777" w:rsidTr="0050008E">
        <w:trPr>
          <w:cantSplit/>
        </w:trPr>
        <w:tc>
          <w:tcPr>
            <w:tcW w:w="10031" w:type="dxa"/>
            <w:gridSpan w:val="2"/>
          </w:tcPr>
          <w:p w14:paraId="65A2EDBA" w14:textId="77777777" w:rsidR="000A5B9A" w:rsidRPr="002F0343" w:rsidRDefault="000A5B9A" w:rsidP="000A5B9A">
            <w:pPr>
              <w:pStyle w:val="Title2"/>
            </w:pPr>
            <w:bookmarkStart w:id="5" w:name="dtitle2" w:colFirst="0" w:colLast="0"/>
            <w:bookmarkEnd w:id="4"/>
          </w:p>
        </w:tc>
      </w:tr>
      <w:tr w:rsidR="000A5B9A" w:rsidRPr="002F0343" w14:paraId="0CB3F84F" w14:textId="77777777" w:rsidTr="0050008E">
        <w:trPr>
          <w:cantSplit/>
        </w:trPr>
        <w:tc>
          <w:tcPr>
            <w:tcW w:w="10031" w:type="dxa"/>
            <w:gridSpan w:val="2"/>
          </w:tcPr>
          <w:p w14:paraId="6F50E026" w14:textId="77777777" w:rsidR="000A5B9A" w:rsidRPr="002F0343" w:rsidRDefault="000A5B9A" w:rsidP="000A5B9A">
            <w:pPr>
              <w:pStyle w:val="Agendaitem"/>
            </w:pPr>
            <w:bookmarkStart w:id="6" w:name="dtitle3" w:colFirst="0" w:colLast="0"/>
            <w:bookmarkEnd w:id="5"/>
            <w:r w:rsidRPr="002F0343">
              <w:t>Punto 9.3 del orden del día</w:t>
            </w:r>
          </w:p>
        </w:tc>
      </w:tr>
    </w:tbl>
    <w:bookmarkEnd w:id="6"/>
    <w:p w14:paraId="6F49B4C1" w14:textId="77777777" w:rsidR="001C0E40" w:rsidRPr="002F0343" w:rsidRDefault="00B41B54" w:rsidP="003A37B0">
      <w:r w:rsidRPr="002F0343">
        <w:t>9</w:t>
      </w:r>
      <w:r w:rsidRPr="002F0343">
        <w:tab/>
        <w:t>examinar y aprobar el Informe del Director de la Oficina de Radiocomunicaciones, de conformidad con el Artículo 7 del Convenio:</w:t>
      </w:r>
    </w:p>
    <w:p w14:paraId="79A849F2" w14:textId="77777777" w:rsidR="001C0E40" w:rsidRPr="002F0343" w:rsidRDefault="00B41B54" w:rsidP="003A37B0">
      <w:r w:rsidRPr="002F0343">
        <w:t>9.3</w:t>
      </w:r>
      <w:r w:rsidRPr="002F0343">
        <w:tab/>
        <w:t xml:space="preserve">sobre </w:t>
      </w:r>
      <w:bookmarkStart w:id="7" w:name="_Hlk22299958"/>
      <w:r w:rsidRPr="002F0343">
        <w:t xml:space="preserve">acciones en respuesta a la Resolución </w:t>
      </w:r>
      <w:r w:rsidRPr="002F0343">
        <w:rPr>
          <w:b/>
          <w:bCs/>
        </w:rPr>
        <w:t>80 (Rev.CMR-07</w:t>
      </w:r>
      <w:r w:rsidRPr="002F0343">
        <w:t>)</w:t>
      </w:r>
      <w:bookmarkEnd w:id="7"/>
      <w:r w:rsidRPr="002F0343">
        <w:t>;</w:t>
      </w:r>
    </w:p>
    <w:p w14:paraId="6A0945A4" w14:textId="241EACB2" w:rsidR="004756B3" w:rsidRPr="002F0343" w:rsidRDefault="00153C18" w:rsidP="006445A5">
      <w:pPr>
        <w:pStyle w:val="Headingb"/>
      </w:pPr>
      <w:r w:rsidRPr="002F0343">
        <w:t>Acciones en respuesta a la Resolución 80 (Rev.CMR-07) en el marco del punto 9.3 del orden del día de la CMR-19: Aclaración sobre los términos y el alcance de la aplicabilidad del número 13.6 del RR</w:t>
      </w:r>
    </w:p>
    <w:p w14:paraId="00C191E7" w14:textId="11E65149" w:rsidR="004756B3" w:rsidRPr="002F0343" w:rsidRDefault="00153C18" w:rsidP="00842E08">
      <w:r w:rsidRPr="002F0343">
        <w:t xml:space="preserve">La aplicación del número </w:t>
      </w:r>
      <w:r w:rsidRPr="002F0343">
        <w:rPr>
          <w:b/>
          <w:bCs/>
        </w:rPr>
        <w:t>13.6</w:t>
      </w:r>
      <w:r w:rsidRPr="002F0343">
        <w:t xml:space="preserve"> del RR </w:t>
      </w:r>
      <w:r w:rsidR="001A7F2E" w:rsidRPr="002F0343">
        <w:t>constituye</w:t>
      </w:r>
      <w:r w:rsidRPr="002F0343">
        <w:t xml:space="preserve"> sin duda </w:t>
      </w:r>
      <w:r w:rsidR="00E82A3E" w:rsidRPr="002F0343">
        <w:t>alguna e</w:t>
      </w:r>
      <w:r w:rsidR="001A7F2E" w:rsidRPr="002F0343">
        <w:t xml:space="preserve">l aspecto fundamental del </w:t>
      </w:r>
      <w:r w:rsidR="001A7F2E" w:rsidRPr="002F0343">
        <w:rPr>
          <w:color w:val="000000"/>
        </w:rPr>
        <w:t>mantenimiento del Registro y de los planes mundiales por la Oficina</w:t>
      </w:r>
      <w:r w:rsidRPr="002F0343">
        <w:t xml:space="preserve"> de Radiocomunicaciones de la</w:t>
      </w:r>
      <w:r w:rsidR="00842E08" w:rsidRPr="002F0343">
        <w:t> </w:t>
      </w:r>
      <w:r w:rsidRPr="002F0343">
        <w:t>UIT, ya que corresponde a</w:t>
      </w:r>
      <w:r w:rsidR="001A7F2E" w:rsidRPr="002F0343">
        <w:t>l contenido de</w:t>
      </w:r>
      <w:r w:rsidRPr="002F0343">
        <w:t xml:space="preserve"> la Sección II del Artículo </w:t>
      </w:r>
      <w:r w:rsidRPr="002F0343">
        <w:rPr>
          <w:b/>
          <w:bCs/>
        </w:rPr>
        <w:t>13</w:t>
      </w:r>
      <w:r w:rsidRPr="002F0343">
        <w:t xml:space="preserve">, </w:t>
      </w:r>
      <w:r w:rsidR="001A7F2E" w:rsidRPr="002F0343">
        <w:t>que lleva precisamente ese título:</w:t>
      </w:r>
      <w:r w:rsidR="000F6DD6" w:rsidRPr="002F0343">
        <w:t xml:space="preserve"> </w:t>
      </w:r>
      <w:r w:rsidR="00B778C8" w:rsidRPr="002F0343">
        <w:t>«Mantenimiento del Registro y de los planes mundiales por la Oficina</w:t>
      </w:r>
      <w:r w:rsidR="000F6DD6" w:rsidRPr="002F0343">
        <w:t>»</w:t>
      </w:r>
      <w:r w:rsidR="001A7F2E" w:rsidRPr="002F0343">
        <w:t>.</w:t>
      </w:r>
      <w:r w:rsidR="000F6DD6" w:rsidRPr="002F0343">
        <w:t xml:space="preserve"> </w:t>
      </w:r>
      <w:r w:rsidR="004756B3" w:rsidRPr="002F0343">
        <w:rPr>
          <w:rFonts w:eastAsia="SimSun"/>
          <w:lang w:eastAsia="zh-CN"/>
        </w:rPr>
        <w:t xml:space="preserve">Conforme </w:t>
      </w:r>
      <w:r w:rsidR="009C566C" w:rsidRPr="002F0343">
        <w:rPr>
          <w:rFonts w:eastAsia="SimSun"/>
          <w:lang w:eastAsia="zh-CN"/>
        </w:rPr>
        <w:t xml:space="preserve">a </w:t>
      </w:r>
      <w:r w:rsidR="004756B3" w:rsidRPr="002F0343">
        <w:rPr>
          <w:rFonts w:eastAsia="SimSun"/>
          <w:lang w:eastAsia="zh-CN"/>
        </w:rPr>
        <w:t>lo dispuesto en el número </w:t>
      </w:r>
      <w:r w:rsidR="004756B3" w:rsidRPr="002F0343">
        <w:rPr>
          <w:rFonts w:eastAsia="SimSun"/>
          <w:b/>
          <w:bCs/>
          <w:lang w:eastAsia="zh-CN"/>
        </w:rPr>
        <w:t>13.6</w:t>
      </w:r>
      <w:r w:rsidR="004756B3" w:rsidRPr="002F0343">
        <w:rPr>
          <w:rFonts w:eastAsia="SimSun"/>
          <w:lang w:eastAsia="zh-CN"/>
        </w:rPr>
        <w:t xml:space="preserve"> del RR, la Oficina de Radiocomunicaciones (BR) </w:t>
      </w:r>
      <w:r w:rsidR="001A7F2E" w:rsidRPr="002F0343">
        <w:rPr>
          <w:rFonts w:eastAsia="SimSun"/>
          <w:lang w:eastAsia="zh-CN"/>
        </w:rPr>
        <w:t xml:space="preserve">consulta </w:t>
      </w:r>
      <w:r w:rsidR="004756B3" w:rsidRPr="002F0343">
        <w:rPr>
          <w:rFonts w:eastAsia="SimSun"/>
          <w:lang w:eastAsia="zh-CN"/>
        </w:rPr>
        <w:t xml:space="preserve">a las administraciones notificantes </w:t>
      </w:r>
      <w:r w:rsidR="001A7F2E" w:rsidRPr="002F0343">
        <w:rPr>
          <w:rFonts w:eastAsia="SimSun"/>
          <w:lang w:eastAsia="zh-CN"/>
        </w:rPr>
        <w:t xml:space="preserve">cuando de la información disponible se desprenda </w:t>
      </w:r>
      <w:r w:rsidR="004756B3" w:rsidRPr="002F0343">
        <w:rPr>
          <w:rFonts w:eastAsia="SimSun"/>
          <w:lang w:eastAsia="zh-CN"/>
        </w:rPr>
        <w:t xml:space="preserve">que una asignación inscrita no </w:t>
      </w:r>
      <w:r w:rsidR="001A7F2E" w:rsidRPr="002F0343">
        <w:rPr>
          <w:rFonts w:eastAsia="SimSun"/>
          <w:lang w:eastAsia="zh-CN"/>
        </w:rPr>
        <w:t xml:space="preserve">se ha puesto </w:t>
      </w:r>
      <w:r w:rsidR="004756B3" w:rsidRPr="002F0343">
        <w:rPr>
          <w:rFonts w:eastAsia="SimSun"/>
          <w:lang w:eastAsia="zh-CN"/>
        </w:rPr>
        <w:t>en servicio, no se utiliza o no se utiliza de conformidad con las asignaciones de frecuencias notificadas.</w:t>
      </w:r>
    </w:p>
    <w:p w14:paraId="18B5ACF0" w14:textId="76F38ADC" w:rsidR="00153C18" w:rsidRPr="002F0343" w:rsidRDefault="00B643EB" w:rsidP="00AC7C1E">
      <w:r w:rsidRPr="002F0343">
        <w:t>E</w:t>
      </w:r>
      <w:r w:rsidR="001001EC" w:rsidRPr="002F0343">
        <w:t>s</w:t>
      </w:r>
      <w:r w:rsidR="002F5FB2" w:rsidRPr="002F0343">
        <w:t xml:space="preserve"> evidente</w:t>
      </w:r>
      <w:r w:rsidR="001001EC" w:rsidRPr="002F0343">
        <w:t xml:space="preserve"> que </w:t>
      </w:r>
      <w:r w:rsidRPr="002F0343">
        <w:t>l</w:t>
      </w:r>
      <w:r w:rsidR="00153C18" w:rsidRPr="002F0343">
        <w:t xml:space="preserve">a aplicación del número </w:t>
      </w:r>
      <w:r w:rsidR="00153C18" w:rsidRPr="002F0343">
        <w:rPr>
          <w:b/>
          <w:bCs/>
        </w:rPr>
        <w:t>13.6</w:t>
      </w:r>
      <w:r w:rsidR="00153C18" w:rsidRPr="002F0343">
        <w:t xml:space="preserve"> del RR </w:t>
      </w:r>
      <w:r w:rsidR="001001EC" w:rsidRPr="002F0343">
        <w:t xml:space="preserve">no solo </w:t>
      </w:r>
      <w:r w:rsidRPr="002F0343">
        <w:t>permite a la BR</w:t>
      </w:r>
      <w:r w:rsidR="00153C18" w:rsidRPr="002F0343">
        <w:t xml:space="preserve"> </w:t>
      </w:r>
      <w:r w:rsidRPr="002F0343">
        <w:t xml:space="preserve">comprobar </w:t>
      </w:r>
      <w:r w:rsidR="00153C18" w:rsidRPr="002F0343">
        <w:t xml:space="preserve">que las asignaciones inscritas en el Registro </w:t>
      </w:r>
      <w:r w:rsidRPr="002F0343">
        <w:t xml:space="preserve">se correspondan con </w:t>
      </w:r>
      <w:r w:rsidR="00153C18" w:rsidRPr="002F0343">
        <w:t xml:space="preserve">la realidad, sino también </w:t>
      </w:r>
      <w:r w:rsidR="001001EC" w:rsidRPr="002F0343">
        <w:t>ayuda a</w:t>
      </w:r>
      <w:r w:rsidR="00153C18" w:rsidRPr="002F0343">
        <w:t xml:space="preserve"> las administraciones </w:t>
      </w:r>
      <w:r w:rsidR="001001EC" w:rsidRPr="002F0343">
        <w:t xml:space="preserve">a planificar y llevar a cabo sus </w:t>
      </w:r>
      <w:r w:rsidR="00153C18" w:rsidRPr="002F0343">
        <w:t xml:space="preserve">actividades. Por lo tanto, </w:t>
      </w:r>
      <w:r w:rsidR="002E2C2E" w:rsidRPr="002F0343">
        <w:t xml:space="preserve">consideramos que al aplicar o interpretar ese número se deberán </w:t>
      </w:r>
      <w:r w:rsidR="00153C18" w:rsidRPr="002F0343">
        <w:t xml:space="preserve">también tener en cuenta los factores mencionados. Más concretamente, si en el momento </w:t>
      </w:r>
      <w:r w:rsidR="002E2C2E" w:rsidRPr="002F0343">
        <w:t xml:space="preserve">en que se </w:t>
      </w:r>
      <w:r w:rsidR="00153C18" w:rsidRPr="002F0343">
        <w:t>aplic</w:t>
      </w:r>
      <w:r w:rsidR="002E2C2E" w:rsidRPr="002F0343">
        <w:t>ó e</w:t>
      </w:r>
      <w:r w:rsidR="00153C18" w:rsidRPr="002F0343">
        <w:t xml:space="preserve">l número </w:t>
      </w:r>
      <w:r w:rsidR="00153C18" w:rsidRPr="002F0343">
        <w:rPr>
          <w:b/>
          <w:bCs/>
        </w:rPr>
        <w:t>13.6</w:t>
      </w:r>
      <w:r w:rsidR="00153C18" w:rsidRPr="002F0343">
        <w:t xml:space="preserve"> del RR un satélite había estado utilizando las asignaciones notificadas </w:t>
      </w:r>
      <w:r w:rsidR="002E2C2E" w:rsidRPr="002F0343">
        <w:t>objeto de examen</w:t>
      </w:r>
      <w:r w:rsidR="00153C18" w:rsidRPr="002F0343">
        <w:t xml:space="preserve">, no debería haber </w:t>
      </w:r>
      <w:r w:rsidR="002E2C2E" w:rsidRPr="002F0343">
        <w:t xml:space="preserve">razón </w:t>
      </w:r>
      <w:r w:rsidR="00153C18" w:rsidRPr="002F0343">
        <w:t>para llevar a cabo u</w:t>
      </w:r>
      <w:r w:rsidR="00A74E3D" w:rsidRPr="002F0343">
        <w:t>n</w:t>
      </w:r>
      <w:r w:rsidR="00B36E53" w:rsidRPr="002F0343">
        <w:t>a investigación histórica</w:t>
      </w:r>
      <w:r w:rsidR="00A74E3D" w:rsidRPr="002F0343">
        <w:t xml:space="preserve"> </w:t>
      </w:r>
      <w:r w:rsidR="00153C18" w:rsidRPr="002F0343">
        <w:t xml:space="preserve">con arreglo al número </w:t>
      </w:r>
      <w:r w:rsidR="00153C18" w:rsidRPr="002F0343">
        <w:rPr>
          <w:b/>
          <w:bCs/>
        </w:rPr>
        <w:t>13.6</w:t>
      </w:r>
      <w:r w:rsidR="00153C18" w:rsidRPr="002F0343">
        <w:t xml:space="preserve"> del RR </w:t>
      </w:r>
      <w:r w:rsidR="002F5FB2" w:rsidRPr="002F0343">
        <w:t>y,</w:t>
      </w:r>
      <w:r w:rsidR="00153C18" w:rsidRPr="002F0343">
        <w:t xml:space="preserve"> si se </w:t>
      </w:r>
      <w:r w:rsidR="00B36E53" w:rsidRPr="002F0343">
        <w:t>optara por</w:t>
      </w:r>
      <w:r w:rsidR="00153C18" w:rsidRPr="002F0343">
        <w:t xml:space="preserve"> tal investigación, </w:t>
      </w:r>
      <w:r w:rsidR="00B36E53" w:rsidRPr="002F0343">
        <w:t xml:space="preserve">esta </w:t>
      </w:r>
      <w:r w:rsidR="00153C18" w:rsidRPr="002F0343">
        <w:t xml:space="preserve">debería </w:t>
      </w:r>
      <w:r w:rsidR="00B36E53" w:rsidRPr="002F0343">
        <w:t xml:space="preserve">llevarse a cabo en un plazo establecido </w:t>
      </w:r>
      <w:r w:rsidR="00153C18" w:rsidRPr="002F0343">
        <w:t xml:space="preserve">por razones prácticas </w:t>
      </w:r>
      <w:r w:rsidR="00B36E53" w:rsidRPr="002F0343">
        <w:t xml:space="preserve">evidentes que es preciso </w:t>
      </w:r>
      <w:r w:rsidR="00153C18" w:rsidRPr="002F0343">
        <w:t>tener en cuenta, dadas las posibles implicaciones reglamentarias y jurídicas que ello conlleva.</w:t>
      </w:r>
    </w:p>
    <w:p w14:paraId="306E5976" w14:textId="75607E9D" w:rsidR="004756B3" w:rsidRPr="002F0343" w:rsidRDefault="00153C18" w:rsidP="00AC7C1E">
      <w:r w:rsidRPr="002F0343">
        <w:t xml:space="preserve">En primer lugar, quisiéramos </w:t>
      </w:r>
      <w:r w:rsidR="00CE605C" w:rsidRPr="002F0343">
        <w:t>referirnos a la declaración hecha por</w:t>
      </w:r>
      <w:r w:rsidRPr="002F0343">
        <w:t xml:space="preserve"> el Jefe del SSD durante</w:t>
      </w:r>
      <w:r w:rsidR="00CE605C" w:rsidRPr="002F0343">
        <w:t xml:space="preserve"> la</w:t>
      </w:r>
      <w:r w:rsidR="00AC7C1E" w:rsidRPr="002F0343">
        <w:t> </w:t>
      </w:r>
      <w:r w:rsidR="00CE605C" w:rsidRPr="002F0343">
        <w:t>78ª</w:t>
      </w:r>
      <w:r w:rsidR="00AC7C1E" w:rsidRPr="002F0343">
        <w:t> </w:t>
      </w:r>
      <w:r w:rsidR="00CE605C" w:rsidRPr="002F0343">
        <w:t>reunión de la Junta</w:t>
      </w:r>
      <w:r w:rsidRPr="002F0343">
        <w:t xml:space="preserve">, en la que </w:t>
      </w:r>
      <w:r w:rsidR="00CE605C" w:rsidRPr="002F0343">
        <w:t>indica</w:t>
      </w:r>
      <w:r w:rsidRPr="002F0343">
        <w:t xml:space="preserve"> que:</w:t>
      </w:r>
      <w:r w:rsidR="003A7C6E" w:rsidRPr="002F0343">
        <w:t xml:space="preserve"> </w:t>
      </w:r>
      <w:r w:rsidR="00B778C8" w:rsidRPr="002F0343">
        <w:t>«</w:t>
      </w:r>
      <w:r w:rsidR="00B778C8" w:rsidRPr="002F0343">
        <w:rPr>
          <w:i/>
          <w:iCs/>
        </w:rPr>
        <w:t>En lo que concierne al examen retroactivo, la práctica actual consiste en retroceder unos tres años (la duración del periodo de suspensión); es difícil conocer todos los hechos cuando se retrocede aún más.</w:t>
      </w:r>
      <w:r w:rsidR="00B778C8" w:rsidRPr="002F0343">
        <w:t xml:space="preserve"> La Oficina </w:t>
      </w:r>
      <w:r w:rsidR="003A7C6E" w:rsidRPr="002F0343">
        <w:t xml:space="preserve">agradecería </w:t>
      </w:r>
      <w:r w:rsidR="00B778C8" w:rsidRPr="002F0343">
        <w:t>recibir</w:t>
      </w:r>
      <w:r w:rsidR="002F5FB2" w:rsidRPr="002F0343">
        <w:t xml:space="preserve"> </w:t>
      </w:r>
      <w:r w:rsidR="00B778C8" w:rsidRPr="002F0343">
        <w:t>sugerencias de la Junta sobre las posibles mejoras que podrían introducirse en la metodología utilizada».</w:t>
      </w:r>
    </w:p>
    <w:p w14:paraId="146ACBEA" w14:textId="384B2340" w:rsidR="004756B3" w:rsidRPr="002F0343" w:rsidRDefault="00153C18" w:rsidP="009D2CED">
      <w:r w:rsidRPr="002F0343">
        <w:lastRenderedPageBreak/>
        <w:t xml:space="preserve">Además, </w:t>
      </w:r>
      <w:r w:rsidR="00957E1B" w:rsidRPr="002F0343">
        <w:t>consideramos</w:t>
      </w:r>
      <w:r w:rsidRPr="002F0343">
        <w:t xml:space="preserve"> que </w:t>
      </w:r>
      <w:r w:rsidR="00957E1B" w:rsidRPr="002F0343">
        <w:t>si se decide</w:t>
      </w:r>
      <w:r w:rsidRPr="002F0343">
        <w:t xml:space="preserve"> </w:t>
      </w:r>
      <w:r w:rsidR="002F5FB2" w:rsidRPr="002F0343">
        <w:t>ampliar</w:t>
      </w:r>
      <w:r w:rsidR="00957E1B" w:rsidRPr="002F0343">
        <w:t xml:space="preserve"> </w:t>
      </w:r>
      <w:r w:rsidRPr="002F0343">
        <w:t xml:space="preserve">la duración de la investigación con arreglo al número </w:t>
      </w:r>
      <w:r w:rsidRPr="002F0343">
        <w:rPr>
          <w:b/>
          <w:bCs/>
        </w:rPr>
        <w:t>13.6</w:t>
      </w:r>
      <w:r w:rsidRPr="002F0343">
        <w:t xml:space="preserve"> del RR más allá de los tres años y, en general, </w:t>
      </w:r>
      <w:r w:rsidR="00957E1B" w:rsidRPr="002F0343">
        <w:t>re</w:t>
      </w:r>
      <w:r w:rsidR="002F5FB2" w:rsidRPr="002F0343">
        <w:t>troceder hasta</w:t>
      </w:r>
      <w:r w:rsidR="00957E1B" w:rsidRPr="002F0343">
        <w:t xml:space="preserve"> un</w:t>
      </w:r>
      <w:r w:rsidRPr="002F0343">
        <w:t xml:space="preserve"> pasado </w:t>
      </w:r>
      <w:r w:rsidR="00957E1B" w:rsidRPr="002F0343">
        <w:t xml:space="preserve">muy </w:t>
      </w:r>
      <w:r w:rsidRPr="002F0343">
        <w:t xml:space="preserve">lejano, </w:t>
      </w:r>
      <w:r w:rsidR="00957E1B" w:rsidRPr="002F0343">
        <w:t>se deberá</w:t>
      </w:r>
      <w:r w:rsidR="0087295F" w:rsidRPr="002F0343">
        <w:t>n</w:t>
      </w:r>
      <w:r w:rsidR="00957E1B" w:rsidRPr="002F0343">
        <w:t xml:space="preserve"> </w:t>
      </w:r>
      <w:r w:rsidRPr="002F0343">
        <w:t xml:space="preserve">tener en cuenta </w:t>
      </w:r>
      <w:r w:rsidR="00957E1B" w:rsidRPr="002F0343">
        <w:t xml:space="preserve">algunas de las </w:t>
      </w:r>
      <w:r w:rsidRPr="002F0343">
        <w:t xml:space="preserve">implicaciones </w:t>
      </w:r>
      <w:r w:rsidR="00957E1B" w:rsidRPr="002F0343">
        <w:t xml:space="preserve">mencionadas en </w:t>
      </w:r>
      <w:r w:rsidR="00CC0756" w:rsidRPr="002F0343">
        <w:t xml:space="preserve">Informe sobre </w:t>
      </w:r>
      <w:r w:rsidRPr="002F0343">
        <w:t xml:space="preserve">la Resolución </w:t>
      </w:r>
      <w:r w:rsidRPr="002F0343">
        <w:rPr>
          <w:b/>
          <w:bCs/>
        </w:rPr>
        <w:t>80 (Rev.CMR-07</w:t>
      </w:r>
      <w:r w:rsidRPr="002F0343">
        <w:t>) a la CMR-19, así como las que se mencionan a continuación a título indicativo</w:t>
      </w:r>
      <w:r w:rsidR="004756B3" w:rsidRPr="002F0343">
        <w:t>:</w:t>
      </w:r>
    </w:p>
    <w:p w14:paraId="601D8924" w14:textId="5272D730" w:rsidR="004756B3" w:rsidRPr="002F0343" w:rsidRDefault="004756B3" w:rsidP="009D2CED">
      <w:pPr>
        <w:pStyle w:val="enumlev1"/>
      </w:pPr>
      <w:r w:rsidRPr="002F0343">
        <w:t>–</w:t>
      </w:r>
      <w:r w:rsidRPr="002F0343">
        <w:tab/>
      </w:r>
      <w:r w:rsidR="006347EF" w:rsidRPr="002F0343">
        <w:t xml:space="preserve">Las </w:t>
      </w:r>
      <w:r w:rsidR="00962772" w:rsidRPr="002F0343">
        <w:t>solicitudes presentadas por a</w:t>
      </w:r>
      <w:r w:rsidR="00B6014C" w:rsidRPr="002F0343">
        <w:t>lgunas administraciones</w:t>
      </w:r>
      <w:r w:rsidR="00153C18" w:rsidRPr="002F0343">
        <w:t xml:space="preserve"> </w:t>
      </w:r>
      <w:r w:rsidR="00962772" w:rsidRPr="002F0343">
        <w:t>para</w:t>
      </w:r>
      <w:r w:rsidR="00B6014C" w:rsidRPr="002F0343">
        <w:t xml:space="preserve"> </w:t>
      </w:r>
      <w:r w:rsidR="004967C7" w:rsidRPr="002F0343">
        <w:t xml:space="preserve">iniciar </w:t>
      </w:r>
      <w:r w:rsidR="00957E1B" w:rsidRPr="002F0343">
        <w:t>un</w:t>
      </w:r>
      <w:r w:rsidR="00153C18" w:rsidRPr="002F0343">
        <w:t xml:space="preserve">a investigación con arreglo al número </w:t>
      </w:r>
      <w:r w:rsidR="00153C18" w:rsidRPr="002F0343">
        <w:rPr>
          <w:b/>
          <w:bCs/>
        </w:rPr>
        <w:t>13.6</w:t>
      </w:r>
      <w:r w:rsidR="00153C18" w:rsidRPr="002F0343">
        <w:t xml:space="preserve"> del RR</w:t>
      </w:r>
      <w:r w:rsidR="00962772" w:rsidRPr="002F0343">
        <w:t xml:space="preserve"> sobre otras redes de satélites</w:t>
      </w:r>
      <w:r w:rsidR="00153C18" w:rsidRPr="002F0343">
        <w:t xml:space="preserve"> </w:t>
      </w:r>
      <w:r w:rsidR="00962772" w:rsidRPr="002F0343">
        <w:t>retrocediendo a</w:t>
      </w:r>
      <w:r w:rsidR="00957E1B" w:rsidRPr="002F0343">
        <w:t xml:space="preserve"> </w:t>
      </w:r>
      <w:r w:rsidR="00153C18" w:rsidRPr="002F0343">
        <w:t>un pasado lejano en detrimento de las demás administraciones y otras redes de satélites que a menudo ya est</w:t>
      </w:r>
      <w:r w:rsidR="004967C7" w:rsidRPr="002F0343">
        <w:t>aban</w:t>
      </w:r>
      <w:r w:rsidR="00153C18" w:rsidRPr="002F0343">
        <w:t xml:space="preserve"> en </w:t>
      </w:r>
      <w:r w:rsidR="004967C7" w:rsidRPr="002F0343">
        <w:t>servicio</w:t>
      </w:r>
      <w:r w:rsidR="00153C18" w:rsidRPr="002F0343">
        <w:t xml:space="preserve">, </w:t>
      </w:r>
      <w:r w:rsidR="00B6014C" w:rsidRPr="002F0343">
        <w:t>pasando así p</w:t>
      </w:r>
      <w:r w:rsidR="0087295F" w:rsidRPr="002F0343">
        <w:t xml:space="preserve">or alto las </w:t>
      </w:r>
      <w:r w:rsidR="00153C18" w:rsidRPr="002F0343">
        <w:t>dificultades que p</w:t>
      </w:r>
      <w:r w:rsidR="0087295F" w:rsidRPr="002F0343">
        <w:t xml:space="preserve">odrían </w:t>
      </w:r>
      <w:r w:rsidR="00153C18" w:rsidRPr="002F0343">
        <w:t>surgir en los debates de coordinación.</w:t>
      </w:r>
    </w:p>
    <w:p w14:paraId="682303F4" w14:textId="3B19E0AF" w:rsidR="004756B3" w:rsidRPr="002F0343" w:rsidRDefault="004756B3" w:rsidP="009D2CED">
      <w:pPr>
        <w:pStyle w:val="enumlev1"/>
      </w:pPr>
      <w:r w:rsidRPr="002F0343">
        <w:t>–</w:t>
      </w:r>
      <w:r w:rsidRPr="002F0343">
        <w:tab/>
      </w:r>
      <w:r w:rsidR="00962772" w:rsidRPr="002F0343">
        <w:t xml:space="preserve">Las dificultades que podrían también tener las </w:t>
      </w:r>
      <w:r w:rsidR="003E394C" w:rsidRPr="002F0343">
        <w:t>administraciones</w:t>
      </w:r>
      <w:r w:rsidR="000F6DD6" w:rsidRPr="002F0343">
        <w:t xml:space="preserve"> </w:t>
      </w:r>
      <w:r w:rsidR="003E394C" w:rsidRPr="002F0343">
        <w:t>para aportar pruebas de la puesta en servicio de las asignaciones de frecuencias si el satélite original utilizado para ello fue sustituido varios años antes de la fecha de la investigación.</w:t>
      </w:r>
    </w:p>
    <w:p w14:paraId="225B8FF1" w14:textId="5A92E1F2" w:rsidR="004756B3" w:rsidRPr="002F0343" w:rsidRDefault="004756B3" w:rsidP="009D2CED">
      <w:pPr>
        <w:pStyle w:val="enumlev1"/>
      </w:pPr>
      <w:r w:rsidRPr="002F0343">
        <w:t>–</w:t>
      </w:r>
      <w:r w:rsidRPr="002F0343">
        <w:tab/>
      </w:r>
      <w:r w:rsidR="005A62B1" w:rsidRPr="002F0343">
        <w:t>El hecho de que l</w:t>
      </w:r>
      <w:r w:rsidR="00B6014C" w:rsidRPr="002F0343">
        <w:t xml:space="preserve">os </w:t>
      </w:r>
      <w:r w:rsidR="00153C18" w:rsidRPr="002F0343">
        <w:t>requisitos y prácticas reglamentari</w:t>
      </w:r>
      <w:r w:rsidR="00B6014C" w:rsidRPr="002F0343">
        <w:t>o</w:t>
      </w:r>
      <w:r w:rsidR="00153C18" w:rsidRPr="002F0343">
        <w:t xml:space="preserve">s </w:t>
      </w:r>
      <w:r w:rsidR="00B6014C" w:rsidRPr="002F0343">
        <w:t>de</w:t>
      </w:r>
      <w:r w:rsidR="00153C18" w:rsidRPr="002F0343">
        <w:t xml:space="preserve"> la BR </w:t>
      </w:r>
      <w:r w:rsidR="00B6014C" w:rsidRPr="002F0343">
        <w:t xml:space="preserve">podrían ser distintos de los que </w:t>
      </w:r>
      <w:r w:rsidR="0087295F" w:rsidRPr="002F0343">
        <w:t xml:space="preserve">estaban en </w:t>
      </w:r>
      <w:r w:rsidR="00153C18" w:rsidRPr="002F0343">
        <w:t>vigor en el momento en que se produ</w:t>
      </w:r>
      <w:r w:rsidR="0087295F" w:rsidRPr="002F0343">
        <w:t>jo</w:t>
      </w:r>
      <w:r w:rsidR="00153C18" w:rsidRPr="002F0343">
        <w:t xml:space="preserve"> el </w:t>
      </w:r>
      <w:r w:rsidR="005A62B1" w:rsidRPr="002F0343">
        <w:t>acontecimiento</w:t>
      </w:r>
      <w:r w:rsidR="00153C18" w:rsidRPr="002F0343">
        <w:t xml:space="preserve"> </w:t>
      </w:r>
      <w:r w:rsidR="0087295F" w:rsidRPr="002F0343">
        <w:t xml:space="preserve">objeto de </w:t>
      </w:r>
      <w:r w:rsidR="00153C18" w:rsidRPr="002F0343">
        <w:t>investigación</w:t>
      </w:r>
      <w:r w:rsidRPr="002F0343">
        <w:t>.</w:t>
      </w:r>
    </w:p>
    <w:p w14:paraId="031FDA5A" w14:textId="1492E856" w:rsidR="004756B3" w:rsidRPr="002F0343" w:rsidRDefault="005A62B1" w:rsidP="001D515B">
      <w:r w:rsidRPr="002F0343">
        <w:t xml:space="preserve">De la misma manera, </w:t>
      </w:r>
      <w:r w:rsidR="00B6014C" w:rsidRPr="002F0343">
        <w:t xml:space="preserve">es preciso </w:t>
      </w:r>
      <w:r w:rsidR="00153C18" w:rsidRPr="002F0343">
        <w:t xml:space="preserve">garantizar la igualdad de trato </w:t>
      </w:r>
      <w:r w:rsidRPr="002F0343">
        <w:t xml:space="preserve">respecto de </w:t>
      </w:r>
      <w:r w:rsidR="00153C18" w:rsidRPr="002F0343">
        <w:t xml:space="preserve">todas las </w:t>
      </w:r>
      <w:r w:rsidR="00D52D15" w:rsidRPr="002F0343">
        <w:t>notificaciones</w:t>
      </w:r>
      <w:r w:rsidR="00153C18" w:rsidRPr="002F0343">
        <w:t xml:space="preserve"> relacionadas con la investigación</w:t>
      </w:r>
      <w:r w:rsidRPr="002F0343">
        <w:t xml:space="preserve"> a que se refiere </w:t>
      </w:r>
      <w:r w:rsidR="00153C18" w:rsidRPr="002F0343">
        <w:t xml:space="preserve">el número </w:t>
      </w:r>
      <w:r w:rsidR="00153C18" w:rsidRPr="002F0343">
        <w:rPr>
          <w:b/>
          <w:bCs/>
        </w:rPr>
        <w:t>13.6</w:t>
      </w:r>
      <w:r w:rsidR="00153C18" w:rsidRPr="002F0343">
        <w:t xml:space="preserve"> del RR, ya que la BR </w:t>
      </w:r>
      <w:r w:rsidR="00D52D15" w:rsidRPr="002F0343">
        <w:t xml:space="preserve">ha aplicado en el pasado la práctica de </w:t>
      </w:r>
      <w:r w:rsidR="00153C18" w:rsidRPr="002F0343">
        <w:t xml:space="preserve">no realizar investigaciones </w:t>
      </w:r>
      <w:r w:rsidRPr="002F0343">
        <w:t xml:space="preserve">que retrocedan </w:t>
      </w:r>
      <w:r w:rsidR="00153C18" w:rsidRPr="002F0343">
        <w:t xml:space="preserve">más allá de tres años (es decir, la duración del </w:t>
      </w:r>
      <w:r w:rsidR="000F6DD6" w:rsidRPr="002F0343">
        <w:t>periodo</w:t>
      </w:r>
      <w:r w:rsidR="00153C18" w:rsidRPr="002F0343">
        <w:t xml:space="preserve"> de suspensión de acuerdo con el número </w:t>
      </w:r>
      <w:r w:rsidR="00153C18" w:rsidRPr="002F0343">
        <w:rPr>
          <w:b/>
          <w:bCs/>
        </w:rPr>
        <w:t>11.49</w:t>
      </w:r>
      <w:r w:rsidR="00153C18" w:rsidRPr="002F0343">
        <w:t xml:space="preserve"> del RR).</w:t>
      </w:r>
    </w:p>
    <w:p w14:paraId="78085222" w14:textId="13AB75BC" w:rsidR="004756B3" w:rsidRPr="002F0343" w:rsidRDefault="00153C18" w:rsidP="001D515B">
      <w:r w:rsidRPr="002F0343">
        <w:t xml:space="preserve">La aplicación </w:t>
      </w:r>
      <w:r w:rsidR="005A62B1" w:rsidRPr="002F0343">
        <w:t xml:space="preserve">retroactiva </w:t>
      </w:r>
      <w:r w:rsidRPr="002F0343">
        <w:t xml:space="preserve">del número </w:t>
      </w:r>
      <w:r w:rsidRPr="002F0343">
        <w:rPr>
          <w:b/>
          <w:bCs/>
        </w:rPr>
        <w:t>13.6</w:t>
      </w:r>
      <w:r w:rsidRPr="002F0343">
        <w:t xml:space="preserve"> del RR abrirá </w:t>
      </w:r>
      <w:r w:rsidR="005A62B1" w:rsidRPr="002F0343">
        <w:t>un</w:t>
      </w:r>
      <w:r w:rsidRPr="002F0343">
        <w:t xml:space="preserve">a </w:t>
      </w:r>
      <w:r w:rsidR="000F6DD6" w:rsidRPr="002F0343">
        <w:t>«</w:t>
      </w:r>
      <w:r w:rsidRPr="002F0343">
        <w:t>caja de Pandora</w:t>
      </w:r>
      <w:r w:rsidR="000F6DD6" w:rsidRPr="002F0343">
        <w:t>»</w:t>
      </w:r>
      <w:r w:rsidRPr="002F0343">
        <w:t xml:space="preserve"> </w:t>
      </w:r>
      <w:r w:rsidR="005A62B1" w:rsidRPr="002F0343">
        <w:t>que afectará a</w:t>
      </w:r>
      <w:r w:rsidRPr="002F0343">
        <w:t xml:space="preserve"> muchas redes de satélites y </w:t>
      </w:r>
      <w:r w:rsidR="00D52D15" w:rsidRPr="002F0343">
        <w:t>suscitar</w:t>
      </w:r>
      <w:r w:rsidRPr="002F0343">
        <w:t xml:space="preserve">á </w:t>
      </w:r>
      <w:r w:rsidR="00D52D15" w:rsidRPr="002F0343">
        <w:t>incertidumbre acerca de</w:t>
      </w:r>
      <w:r w:rsidRPr="002F0343">
        <w:t xml:space="preserve"> la validez de los </w:t>
      </w:r>
      <w:r w:rsidR="00D52D15" w:rsidRPr="002F0343">
        <w:t>datos del Registro Internacional de Frecuencias</w:t>
      </w:r>
      <w:r w:rsidRPr="002F0343">
        <w:t xml:space="preserve">. Estamos firmemente convencidos de </w:t>
      </w:r>
      <w:r w:rsidR="00773214" w:rsidRPr="002F0343">
        <w:t>la necesidad de crear</w:t>
      </w:r>
      <w:r w:rsidRPr="002F0343">
        <w:t xml:space="preserve"> un marco específico que defina las bases </w:t>
      </w:r>
      <w:r w:rsidR="005A62B1" w:rsidRPr="002F0343">
        <w:t>para llevar a cabo</w:t>
      </w:r>
      <w:r w:rsidRPr="002F0343">
        <w:t xml:space="preserve"> una investigación en virtud del número </w:t>
      </w:r>
      <w:r w:rsidRPr="002F0343">
        <w:rPr>
          <w:b/>
          <w:bCs/>
        </w:rPr>
        <w:t>13.6</w:t>
      </w:r>
      <w:r w:rsidRPr="002F0343">
        <w:t xml:space="preserve"> del</w:t>
      </w:r>
      <w:r w:rsidR="00AE11ED" w:rsidRPr="002F0343">
        <w:t> </w:t>
      </w:r>
      <w:r w:rsidRPr="002F0343">
        <w:t xml:space="preserve">RR, </w:t>
      </w:r>
      <w:r w:rsidR="00773214" w:rsidRPr="002F0343">
        <w:t>que precise</w:t>
      </w:r>
      <w:r w:rsidRPr="002F0343">
        <w:t xml:space="preserve"> los términos y </w:t>
      </w:r>
      <w:r w:rsidR="003203FA" w:rsidRPr="002F0343">
        <w:t xml:space="preserve">las </w:t>
      </w:r>
      <w:r w:rsidRPr="002F0343">
        <w:t xml:space="preserve">condiciones </w:t>
      </w:r>
      <w:r w:rsidR="003203FA" w:rsidRPr="002F0343">
        <w:t xml:space="preserve">para la realización </w:t>
      </w:r>
      <w:r w:rsidRPr="002F0343">
        <w:t xml:space="preserve">de dicha investigación y, sobre todo, </w:t>
      </w:r>
      <w:r w:rsidR="003203FA" w:rsidRPr="002F0343">
        <w:t>delimite su marco temporal</w:t>
      </w:r>
      <w:r w:rsidR="004756B3" w:rsidRPr="002F0343">
        <w:t>.</w:t>
      </w:r>
    </w:p>
    <w:p w14:paraId="7243DF55" w14:textId="2942F97E" w:rsidR="004756B3" w:rsidRPr="002F0343" w:rsidRDefault="00773214" w:rsidP="00A00845">
      <w:r w:rsidRPr="002F0343">
        <w:t>Confiamos en que esta</w:t>
      </w:r>
      <w:r w:rsidR="00153C18" w:rsidRPr="002F0343">
        <w:t xml:space="preserve"> iniciativa se</w:t>
      </w:r>
      <w:r w:rsidRPr="002F0343">
        <w:t>rá</w:t>
      </w:r>
      <w:r w:rsidR="00153C18" w:rsidRPr="002F0343">
        <w:t xml:space="preserve"> bien acogida</w:t>
      </w:r>
      <w:r w:rsidRPr="002F0343">
        <w:t xml:space="preserve">, ya que </w:t>
      </w:r>
      <w:r w:rsidR="00153C18" w:rsidRPr="002F0343">
        <w:t xml:space="preserve">varios países presentaron contribuciones </w:t>
      </w:r>
      <w:r w:rsidRPr="002F0343">
        <w:t>al respecto</w:t>
      </w:r>
      <w:r w:rsidR="00153C18" w:rsidRPr="002F0343">
        <w:t xml:space="preserve"> en la 81ª reunión de la Junta del Reglamento de Radiocomunicaciones, celebrada del 15</w:t>
      </w:r>
      <w:r w:rsidR="00AE11ED" w:rsidRPr="002F0343">
        <w:t> </w:t>
      </w:r>
      <w:r w:rsidR="00153C18" w:rsidRPr="002F0343">
        <w:t>al 19 de julio de 2019, en la</w:t>
      </w:r>
      <w:r w:rsidRPr="002F0343">
        <w:t>s</w:t>
      </w:r>
      <w:r w:rsidR="00153C18" w:rsidRPr="002F0343">
        <w:t xml:space="preserve"> que propon</w:t>
      </w:r>
      <w:r w:rsidRPr="002F0343">
        <w:t xml:space="preserve">ían que se </w:t>
      </w:r>
      <w:r w:rsidR="00153C18" w:rsidRPr="002F0343">
        <w:t>estableci</w:t>
      </w:r>
      <w:r w:rsidRPr="002F0343">
        <w:t>era</w:t>
      </w:r>
      <w:r w:rsidR="00153C18" w:rsidRPr="002F0343">
        <w:t xml:space="preserve"> un plazo específico </w:t>
      </w:r>
      <w:r w:rsidRPr="002F0343">
        <w:t>en relación con</w:t>
      </w:r>
      <w:r w:rsidR="00153C18" w:rsidRPr="002F0343">
        <w:t xml:space="preserve"> la aplicación </w:t>
      </w:r>
      <w:r w:rsidR="00B6014C" w:rsidRPr="002F0343">
        <w:t xml:space="preserve">retroactiva </w:t>
      </w:r>
      <w:r w:rsidR="00153C18" w:rsidRPr="002F0343">
        <w:t xml:space="preserve">del número </w:t>
      </w:r>
      <w:r w:rsidR="00153C18" w:rsidRPr="002F0343">
        <w:rPr>
          <w:b/>
          <w:bCs/>
        </w:rPr>
        <w:t>13.6</w:t>
      </w:r>
      <w:r w:rsidR="00153C18" w:rsidRPr="002F0343">
        <w:t xml:space="preserve"> del RR (véase, por ejemplo, el </w:t>
      </w:r>
      <w:r w:rsidR="00AE11ED" w:rsidRPr="002F0343">
        <w:t>Documento </w:t>
      </w:r>
      <w:r w:rsidR="00153C18" w:rsidRPr="002F0343">
        <w:t>RRB19</w:t>
      </w:r>
      <w:r w:rsidR="00AE11ED" w:rsidRPr="002F0343">
        <w:noBreakHyphen/>
      </w:r>
      <w:r w:rsidR="00153C18" w:rsidRPr="002F0343">
        <w:t>2/12, RRB19-2/10 de la RRB).</w:t>
      </w:r>
    </w:p>
    <w:p w14:paraId="30DBAFE6" w14:textId="28A35560" w:rsidR="004756B3" w:rsidRPr="002F0343" w:rsidRDefault="00153C18" w:rsidP="009C55BE">
      <w:r w:rsidRPr="002F0343">
        <w:t xml:space="preserve">Creemos que, en el marco de los trabajos de la próxima CMR-19, </w:t>
      </w:r>
      <w:r w:rsidR="00CC0756" w:rsidRPr="002F0343">
        <w:t xml:space="preserve">convendría adoptar </w:t>
      </w:r>
      <w:r w:rsidRPr="002F0343">
        <w:t xml:space="preserve">un </w:t>
      </w:r>
      <w:r w:rsidR="00CC0756" w:rsidRPr="002F0343">
        <w:t xml:space="preserve">planteamiento común y </w:t>
      </w:r>
      <w:r w:rsidR="003203FA" w:rsidRPr="002F0343">
        <w:t>presentar varias</w:t>
      </w:r>
      <w:r w:rsidR="00CC0756" w:rsidRPr="002F0343">
        <w:t xml:space="preserve"> recomendaciones a la Oficina y la Junta para examinar los muy diversos casos que han surgido en relación con el número </w:t>
      </w:r>
      <w:r w:rsidR="00CC0756" w:rsidRPr="002F0343">
        <w:rPr>
          <w:b/>
          <w:bCs/>
        </w:rPr>
        <w:t>13.6</w:t>
      </w:r>
      <w:r w:rsidRPr="002F0343">
        <w:t xml:space="preserve"> del RR. Por consiguiente, se propone que la CMR-19 adopte decisiones y proporcione orientación a la Junta, como se solicita en el Informe </w:t>
      </w:r>
      <w:r w:rsidR="00CC0756" w:rsidRPr="002F0343">
        <w:t>sobre</w:t>
      </w:r>
      <w:r w:rsidRPr="002F0343">
        <w:t xml:space="preserve"> la Resolución </w:t>
      </w:r>
      <w:r w:rsidRPr="002F0343">
        <w:rPr>
          <w:b/>
          <w:bCs/>
        </w:rPr>
        <w:t>80</w:t>
      </w:r>
      <w:r w:rsidRPr="002F0343">
        <w:t xml:space="preserve">, sobre los aspectos prácticos relacionados con la aplicación </w:t>
      </w:r>
      <w:r w:rsidR="00DB67F2" w:rsidRPr="002F0343">
        <w:t xml:space="preserve">retroactiva </w:t>
      </w:r>
      <w:r w:rsidRPr="002F0343">
        <w:t xml:space="preserve">del número </w:t>
      </w:r>
      <w:r w:rsidRPr="002F0343">
        <w:rPr>
          <w:b/>
          <w:bCs/>
        </w:rPr>
        <w:t>13.6</w:t>
      </w:r>
      <w:r w:rsidRPr="002F0343">
        <w:t xml:space="preserve"> del RR, teniendo en cuenta las siguientes directrices</w:t>
      </w:r>
      <w:r w:rsidR="004756B3" w:rsidRPr="002F0343">
        <w:t>:</w:t>
      </w:r>
    </w:p>
    <w:p w14:paraId="76F7D34F" w14:textId="51C93396" w:rsidR="004756B3" w:rsidRPr="002F0343" w:rsidRDefault="009C55BE" w:rsidP="009C55BE">
      <w:pPr>
        <w:pStyle w:val="enumlev1"/>
      </w:pPr>
      <w:r w:rsidRPr="002F0343">
        <w:t>•</w:t>
      </w:r>
      <w:r w:rsidR="004756B3" w:rsidRPr="002F0343">
        <w:tab/>
      </w:r>
      <w:r w:rsidR="00153C18" w:rsidRPr="002F0343">
        <w:t xml:space="preserve">Cuando la BR reciba solicitudes de las administraciones para investigar redes con arreglo al número </w:t>
      </w:r>
      <w:r w:rsidR="00153C18" w:rsidRPr="002F0343">
        <w:rPr>
          <w:b/>
          <w:bCs/>
        </w:rPr>
        <w:t>13.6</w:t>
      </w:r>
      <w:r w:rsidR="00153C18" w:rsidRPr="002F0343">
        <w:t xml:space="preserve"> del RR, no deberá hacerlo si, en el momento de recibir dicha solicitud, la BR ya ha realizado sus propias investigaciones</w:t>
      </w:r>
      <w:r w:rsidR="00DB67F2" w:rsidRPr="002F0343">
        <w:t xml:space="preserve">, </w:t>
      </w:r>
      <w:r w:rsidR="00153C18" w:rsidRPr="002F0343">
        <w:t xml:space="preserve">llegado a </w:t>
      </w:r>
      <w:r w:rsidR="00DB67F2" w:rsidRPr="002F0343">
        <w:t>una</w:t>
      </w:r>
      <w:r w:rsidR="00153C18" w:rsidRPr="002F0343">
        <w:t xml:space="preserve"> conclusi</w:t>
      </w:r>
      <w:r w:rsidR="00DB67F2" w:rsidRPr="002F0343">
        <w:t>ón</w:t>
      </w:r>
      <w:r w:rsidR="00153C18" w:rsidRPr="002F0343">
        <w:t xml:space="preserve"> sobre el estado de la red y comunicado su decisi</w:t>
      </w:r>
      <w:r w:rsidR="00DB67F2" w:rsidRPr="002F0343">
        <w:t>ón</w:t>
      </w:r>
      <w:r w:rsidR="00153C18" w:rsidRPr="002F0343">
        <w:t xml:space="preserve"> a la administración interesada</w:t>
      </w:r>
      <w:r w:rsidR="00DB67F2" w:rsidRPr="002F0343">
        <w:t xml:space="preserve">. Sobre la base de esa decisión, </w:t>
      </w:r>
      <w:r w:rsidR="00153C18" w:rsidRPr="002F0343">
        <w:t xml:space="preserve">la administración respectiva </w:t>
      </w:r>
      <w:r w:rsidR="00DB67F2" w:rsidRPr="002F0343">
        <w:t xml:space="preserve">podrá entonces </w:t>
      </w:r>
      <w:r w:rsidR="00153C18" w:rsidRPr="002F0343">
        <w:t xml:space="preserve">llevar a cabo </w:t>
      </w:r>
      <w:r w:rsidR="00DB67F2" w:rsidRPr="002F0343">
        <w:t xml:space="preserve">las </w:t>
      </w:r>
      <w:r w:rsidR="00153C18" w:rsidRPr="002F0343">
        <w:t xml:space="preserve">actividades </w:t>
      </w:r>
      <w:r w:rsidR="00DB67F2" w:rsidRPr="002F0343">
        <w:t>previstas que podrían requerir</w:t>
      </w:r>
      <w:r w:rsidR="00153C18" w:rsidRPr="002F0343">
        <w:t xml:space="preserve"> importantes inversiones</w:t>
      </w:r>
      <w:r w:rsidR="00DB67F2" w:rsidRPr="002F0343">
        <w:t xml:space="preserve"> y</w:t>
      </w:r>
      <w:r w:rsidR="00153C18" w:rsidRPr="002F0343">
        <w:t xml:space="preserve"> gastos</w:t>
      </w:r>
      <w:r w:rsidR="00DB67F2" w:rsidRPr="002F0343">
        <w:t xml:space="preserve">, así como una </w:t>
      </w:r>
      <w:r w:rsidR="00153C18" w:rsidRPr="002F0343">
        <w:t>planificación a largo plazo.</w:t>
      </w:r>
    </w:p>
    <w:p w14:paraId="1C7265DA" w14:textId="0C9BAB22" w:rsidR="004756B3" w:rsidRPr="002F0343" w:rsidRDefault="009C55BE" w:rsidP="003E755D">
      <w:pPr>
        <w:pStyle w:val="enumlev1"/>
        <w:keepNext/>
        <w:keepLines/>
      </w:pPr>
      <w:r w:rsidRPr="002F0343">
        <w:lastRenderedPageBreak/>
        <w:t>•</w:t>
      </w:r>
      <w:r w:rsidR="004756B3" w:rsidRPr="002F0343">
        <w:tab/>
      </w:r>
      <w:r w:rsidR="00C40374" w:rsidRPr="002F0343">
        <w:t xml:space="preserve">El </w:t>
      </w:r>
      <w:r w:rsidR="00153C18" w:rsidRPr="002F0343">
        <w:t xml:space="preserve">número </w:t>
      </w:r>
      <w:r w:rsidR="00153C18" w:rsidRPr="002F0343">
        <w:rPr>
          <w:b/>
          <w:bCs/>
        </w:rPr>
        <w:t>13.6</w:t>
      </w:r>
      <w:r w:rsidR="00153C18" w:rsidRPr="002F0343">
        <w:t xml:space="preserve"> del RR </w:t>
      </w:r>
      <w:r w:rsidR="00C40374" w:rsidRPr="002F0343">
        <w:t>no debe aplicarse retroactiva</w:t>
      </w:r>
      <w:r w:rsidR="00F17260" w:rsidRPr="002F0343">
        <w:t>mente</w:t>
      </w:r>
      <w:r w:rsidR="00153C18" w:rsidRPr="002F0343">
        <w:t xml:space="preserve"> </w:t>
      </w:r>
      <w:r w:rsidR="00C40374" w:rsidRPr="002F0343">
        <w:t xml:space="preserve">si </w:t>
      </w:r>
      <w:r w:rsidR="00153C18" w:rsidRPr="002F0343">
        <w:t>las administraciones ha</w:t>
      </w:r>
      <w:r w:rsidR="00C40374" w:rsidRPr="002F0343">
        <w:t>n</w:t>
      </w:r>
      <w:r w:rsidR="00153C18" w:rsidRPr="002F0343">
        <w:t xml:space="preserve"> c</w:t>
      </w:r>
      <w:r w:rsidR="00C40374" w:rsidRPr="002F0343">
        <w:t>umplido</w:t>
      </w:r>
      <w:r w:rsidR="00153C18" w:rsidRPr="002F0343">
        <w:t xml:space="preserve"> </w:t>
      </w:r>
      <w:r w:rsidR="00C40374" w:rsidRPr="002F0343">
        <w:t>satisfactoriamente</w:t>
      </w:r>
      <w:r w:rsidR="00153C18" w:rsidRPr="002F0343">
        <w:t xml:space="preserve"> todos los procedimientos reglamentarios obligatorios</w:t>
      </w:r>
      <w:r w:rsidR="00F17260" w:rsidRPr="002F0343">
        <w:t xml:space="preserve"> en los plazos establecidos</w:t>
      </w:r>
      <w:r w:rsidR="00153C18" w:rsidRPr="002F0343">
        <w:t xml:space="preserve"> y su red de satélites est</w:t>
      </w:r>
      <w:r w:rsidR="00C40374" w:rsidRPr="002F0343">
        <w:t>á</w:t>
      </w:r>
      <w:r w:rsidR="00153C18" w:rsidRPr="002F0343">
        <w:t xml:space="preserve"> siendo utilizada por un satélite en funcionamiento, lo que </w:t>
      </w:r>
      <w:r w:rsidR="00C40374" w:rsidRPr="002F0343">
        <w:t xml:space="preserve">implica aplicar </w:t>
      </w:r>
      <w:r w:rsidR="00153C18" w:rsidRPr="002F0343">
        <w:t xml:space="preserve">el número </w:t>
      </w:r>
      <w:r w:rsidR="00153C18" w:rsidRPr="002F0343">
        <w:rPr>
          <w:b/>
          <w:bCs/>
        </w:rPr>
        <w:t>13.6</w:t>
      </w:r>
      <w:r w:rsidR="00153C18" w:rsidRPr="002F0343">
        <w:t xml:space="preserve"> del RRB esencialmente sobre la base de su uso actual, como se menciona en el Informe de la RRB a la CMR-15 </w:t>
      </w:r>
      <w:r w:rsidR="00C40374" w:rsidRPr="002F0343">
        <w:t xml:space="preserve">sobre </w:t>
      </w:r>
      <w:r w:rsidR="00153C18" w:rsidRPr="002F0343">
        <w:t xml:space="preserve">la Resolución </w:t>
      </w:r>
      <w:r w:rsidR="00153C18" w:rsidRPr="002F0343">
        <w:rPr>
          <w:b/>
          <w:bCs/>
        </w:rPr>
        <w:t>80 (Rev.CMR-07)</w:t>
      </w:r>
      <w:r w:rsidR="00153C18" w:rsidRPr="002F0343">
        <w:t>.</w:t>
      </w:r>
    </w:p>
    <w:p w14:paraId="4B00E3EF" w14:textId="031E4429" w:rsidR="00EC093E" w:rsidRPr="002F0343" w:rsidRDefault="00EC093E" w:rsidP="009C55BE">
      <w:pPr>
        <w:pStyle w:val="enumlev1"/>
        <w:rPr>
          <w:b/>
          <w:bCs/>
        </w:rPr>
      </w:pPr>
      <w:r w:rsidRPr="002F0343">
        <w:rPr>
          <w:b/>
          <w:bCs/>
        </w:rPr>
        <w:t>•</w:t>
      </w:r>
      <w:r w:rsidRPr="002F0343">
        <w:rPr>
          <w:b/>
          <w:bCs/>
        </w:rPr>
        <w:tab/>
        <w:t>Las investigaciones que se realicen con arreglo al número 13.6 del RR deberán limitar su retroactividad a tres años, lo que se ajusta a la práctica actual de la BR y debería aplicarse mutatis mutandis a todas las administraciones en virtud del principio internacional de igualdad de trato.</w:t>
      </w:r>
    </w:p>
    <w:p w14:paraId="5EC0EB15" w14:textId="540AA0FE" w:rsidR="004756B3" w:rsidRPr="002F0343" w:rsidRDefault="00153C18" w:rsidP="00E72507">
      <w:r w:rsidRPr="002F0343">
        <w:t>Por último, c</w:t>
      </w:r>
      <w:r w:rsidR="00AE3B4C" w:rsidRPr="002F0343">
        <w:t xml:space="preserve">onsideramos </w:t>
      </w:r>
      <w:r w:rsidRPr="002F0343">
        <w:t xml:space="preserve">que </w:t>
      </w:r>
      <w:r w:rsidR="00AE3B4C" w:rsidRPr="002F0343">
        <w:t xml:space="preserve">la adopción de un planteamiento </w:t>
      </w:r>
      <w:r w:rsidRPr="002F0343">
        <w:t>común facilitaría el trabajo de la BR y de la RRB, ayuda</w:t>
      </w:r>
      <w:r w:rsidR="00AE3B4C" w:rsidRPr="002F0343">
        <w:t>ría</w:t>
      </w:r>
      <w:r w:rsidRPr="002F0343">
        <w:t xml:space="preserve"> a las administraciones a comprender las medidas adoptadas por la Oficina y </w:t>
      </w:r>
      <w:r w:rsidR="00AE3B4C" w:rsidRPr="002F0343">
        <w:t>salvaguardar</w:t>
      </w:r>
      <w:r w:rsidR="00F17260" w:rsidRPr="002F0343">
        <w:t>ía</w:t>
      </w:r>
      <w:r w:rsidR="00AE3B4C" w:rsidRPr="002F0343">
        <w:t xml:space="preserve"> </w:t>
      </w:r>
      <w:r w:rsidRPr="002F0343">
        <w:t xml:space="preserve">la igualdad de trato </w:t>
      </w:r>
      <w:r w:rsidR="00AE3B4C" w:rsidRPr="002F0343">
        <w:t xml:space="preserve">en lo que respecta a </w:t>
      </w:r>
      <w:r w:rsidRPr="002F0343">
        <w:t xml:space="preserve">la aplicación </w:t>
      </w:r>
      <w:r w:rsidR="00AE3B4C" w:rsidRPr="002F0343">
        <w:t xml:space="preserve">retrospectiva </w:t>
      </w:r>
      <w:r w:rsidRPr="002F0343">
        <w:t xml:space="preserve">del número </w:t>
      </w:r>
      <w:r w:rsidRPr="002F0343">
        <w:rPr>
          <w:b/>
          <w:bCs/>
        </w:rPr>
        <w:t>13.6</w:t>
      </w:r>
      <w:r w:rsidRPr="002F0343">
        <w:t xml:space="preserve"> del RR</w:t>
      </w:r>
      <w:r w:rsidR="00AE3B4C" w:rsidRPr="002F0343">
        <w:t xml:space="preserve">, </w:t>
      </w:r>
      <w:r w:rsidRPr="002F0343">
        <w:t xml:space="preserve">en relación con las </w:t>
      </w:r>
      <w:r w:rsidR="00AE3B4C" w:rsidRPr="002F0343">
        <w:t>notificaciones</w:t>
      </w:r>
      <w:r w:rsidRPr="002F0343">
        <w:t xml:space="preserve"> que están siendo tramitadas actualmente por la BR</w:t>
      </w:r>
      <w:r w:rsidR="00F17260" w:rsidRPr="002F0343">
        <w:t xml:space="preserve">, confiriendo así </w:t>
      </w:r>
      <w:r w:rsidR="00AE3B4C" w:rsidRPr="002F0343">
        <w:t xml:space="preserve">una mayor </w:t>
      </w:r>
      <w:r w:rsidRPr="002F0343">
        <w:t xml:space="preserve">credibilidad </w:t>
      </w:r>
      <w:r w:rsidR="00AE3B4C" w:rsidRPr="002F0343">
        <w:t>a</w:t>
      </w:r>
      <w:r w:rsidRPr="002F0343">
        <w:t xml:space="preserve"> los datos </w:t>
      </w:r>
      <w:r w:rsidR="00AE3B4C" w:rsidRPr="002F0343">
        <w:t>del Registro Internacional de Frecuencias</w:t>
      </w:r>
      <w:r w:rsidR="004756B3" w:rsidRPr="002F0343">
        <w:t>.</w:t>
      </w:r>
    </w:p>
    <w:p w14:paraId="1245CAAF" w14:textId="77777777" w:rsidR="00473F24" w:rsidRPr="002F0343" w:rsidRDefault="00473F24" w:rsidP="00411C49">
      <w:pPr>
        <w:pStyle w:val="Reasons"/>
      </w:pPr>
    </w:p>
    <w:p w14:paraId="1A7D490F" w14:textId="77777777" w:rsidR="00473F24" w:rsidRPr="002F0343" w:rsidRDefault="00473F24">
      <w:pPr>
        <w:jc w:val="center"/>
      </w:pPr>
      <w:r w:rsidRPr="002F0343">
        <w:t>______________</w:t>
      </w:r>
    </w:p>
    <w:sectPr w:rsidR="00473F24" w:rsidRPr="002F0343">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B4C90" w14:textId="77777777" w:rsidR="003C0613" w:rsidRDefault="003C0613">
      <w:r>
        <w:separator/>
      </w:r>
    </w:p>
  </w:endnote>
  <w:endnote w:type="continuationSeparator" w:id="0">
    <w:p w14:paraId="716381C0"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924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8392FB" w14:textId="4D001297" w:rsidR="0077084A" w:rsidRPr="00130E14" w:rsidRDefault="0077084A">
    <w:pPr>
      <w:ind w:right="360"/>
    </w:pPr>
    <w:r>
      <w:fldChar w:fldCharType="begin"/>
    </w:r>
    <w:r w:rsidRPr="00130E14">
      <w:instrText xml:space="preserve"> FILENAME \p  \* MERGEFORMAT </w:instrText>
    </w:r>
    <w:r>
      <w:fldChar w:fldCharType="separate"/>
    </w:r>
    <w:r w:rsidR="00130E14">
      <w:rPr>
        <w:noProof/>
      </w:rPr>
      <w:t>P:\ESP\ITU-R\CONF-R\CMR19\000\042S.docx</w:t>
    </w:r>
    <w:r>
      <w:fldChar w:fldCharType="end"/>
    </w:r>
    <w:r w:rsidRPr="00130E14">
      <w:tab/>
    </w:r>
    <w:r>
      <w:fldChar w:fldCharType="begin"/>
    </w:r>
    <w:r>
      <w:instrText xml:space="preserve"> SAVEDATE \@ DD.MM.YY </w:instrText>
    </w:r>
    <w:r>
      <w:fldChar w:fldCharType="separate"/>
    </w:r>
    <w:r w:rsidR="003F1D74">
      <w:rPr>
        <w:noProof/>
      </w:rPr>
      <w:t>22.10.19</w:t>
    </w:r>
    <w:r>
      <w:fldChar w:fldCharType="end"/>
    </w:r>
    <w:r w:rsidRPr="00130E14">
      <w:tab/>
    </w:r>
    <w:r>
      <w:fldChar w:fldCharType="begin"/>
    </w:r>
    <w:r>
      <w:instrText xml:space="preserve"> PRINTDATE \@ DD.MM.YY </w:instrText>
    </w:r>
    <w:r>
      <w:fldChar w:fldCharType="separate"/>
    </w:r>
    <w:r w:rsidR="00130E14">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C288" w14:textId="1FB83D55" w:rsidR="00473F24" w:rsidRPr="002E02D6" w:rsidRDefault="002E02D6" w:rsidP="002E02D6">
    <w:pPr>
      <w:pStyle w:val="Footer"/>
    </w:pPr>
    <w:fldSimple w:instr=" FILENAME \p  \* MERGEFORMAT ">
      <w:r w:rsidR="00130E14">
        <w:t>P:\ESP\ITU-R\CONF-R\CMR19\000\042S.docx</w:t>
      </w:r>
    </w:fldSimple>
    <w:r>
      <w:t xml:space="preserve"> (461838)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EC89" w14:textId="2B807486" w:rsidR="0077084A" w:rsidRPr="00473F24" w:rsidRDefault="002F0343" w:rsidP="002E02D6">
    <w:pPr>
      <w:pStyle w:val="Footer"/>
      <w:rPr>
        <w:lang w:val="en-US"/>
      </w:rPr>
    </w:pPr>
    <w:r>
      <w:fldChar w:fldCharType="begin"/>
    </w:r>
    <w:r>
      <w:instrText xml:space="preserve"> FILENAME \p  \* MERGEF</w:instrText>
    </w:r>
    <w:r>
      <w:instrText xml:space="preserve">ORMAT </w:instrText>
    </w:r>
    <w:r>
      <w:fldChar w:fldCharType="separate"/>
    </w:r>
    <w:r w:rsidR="00130E14">
      <w:t>P:\ESP\ITU-R\CONF-R\CMR19\000\042S.docx</w:t>
    </w:r>
    <w:r>
      <w:fldChar w:fldCharType="end"/>
    </w:r>
    <w:r w:rsidR="002E02D6">
      <w:t xml:space="preserve"> (461838)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5B881" w14:textId="77777777" w:rsidR="003C0613" w:rsidRDefault="003C0613">
      <w:r>
        <w:rPr>
          <w:b/>
        </w:rPr>
        <w:t>_______________</w:t>
      </w:r>
    </w:p>
  </w:footnote>
  <w:footnote w:type="continuationSeparator" w:id="0">
    <w:p w14:paraId="1EB29ACD"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564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58BC831" w14:textId="77777777" w:rsidR="0077084A" w:rsidRDefault="008750A8" w:rsidP="00C44E9E">
    <w:pPr>
      <w:pStyle w:val="Header"/>
      <w:rPr>
        <w:lang w:val="en-US"/>
      </w:rPr>
    </w:pPr>
    <w:r>
      <w:rPr>
        <w:lang w:val="en-US"/>
      </w:rPr>
      <w:t>CMR1</w:t>
    </w:r>
    <w:r w:rsidR="00C44E9E">
      <w:rPr>
        <w:lang w:val="en-US"/>
      </w:rPr>
      <w:t>9</w:t>
    </w:r>
    <w:r>
      <w:rPr>
        <w:lang w:val="en-US"/>
      </w:rPr>
      <w:t>/</w:t>
    </w:r>
    <w:r w:rsidR="00702F3D">
      <w:t>42-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0F6DD6"/>
    <w:rsid w:val="001001EC"/>
    <w:rsid w:val="00121170"/>
    <w:rsid w:val="00123CC5"/>
    <w:rsid w:val="00130E14"/>
    <w:rsid w:val="0015142D"/>
    <w:rsid w:val="00153C18"/>
    <w:rsid w:val="001616DC"/>
    <w:rsid w:val="00163962"/>
    <w:rsid w:val="00191A97"/>
    <w:rsid w:val="0019729C"/>
    <w:rsid w:val="001A083F"/>
    <w:rsid w:val="001A7F2E"/>
    <w:rsid w:val="001C41FA"/>
    <w:rsid w:val="001D515B"/>
    <w:rsid w:val="001E2B52"/>
    <w:rsid w:val="001E3F27"/>
    <w:rsid w:val="001E7D42"/>
    <w:rsid w:val="002356D9"/>
    <w:rsid w:val="0023659C"/>
    <w:rsid w:val="00236D2A"/>
    <w:rsid w:val="0024569E"/>
    <w:rsid w:val="00255F12"/>
    <w:rsid w:val="00262C09"/>
    <w:rsid w:val="00263056"/>
    <w:rsid w:val="00282F6D"/>
    <w:rsid w:val="002A791F"/>
    <w:rsid w:val="002C1A52"/>
    <w:rsid w:val="002C1B26"/>
    <w:rsid w:val="002C5D6C"/>
    <w:rsid w:val="002E02D6"/>
    <w:rsid w:val="002E21D1"/>
    <w:rsid w:val="002E2C2E"/>
    <w:rsid w:val="002E701F"/>
    <w:rsid w:val="002F0343"/>
    <w:rsid w:val="002F5FB2"/>
    <w:rsid w:val="003203FA"/>
    <w:rsid w:val="003248A9"/>
    <w:rsid w:val="00324FFA"/>
    <w:rsid w:val="0032680B"/>
    <w:rsid w:val="00363A65"/>
    <w:rsid w:val="003A7C6E"/>
    <w:rsid w:val="003B1E8C"/>
    <w:rsid w:val="003C0613"/>
    <w:rsid w:val="003C2508"/>
    <w:rsid w:val="003D0AA3"/>
    <w:rsid w:val="003E2086"/>
    <w:rsid w:val="003E394C"/>
    <w:rsid w:val="003E755D"/>
    <w:rsid w:val="003F1D74"/>
    <w:rsid w:val="003F7F66"/>
    <w:rsid w:val="00440B3A"/>
    <w:rsid w:val="0044375A"/>
    <w:rsid w:val="0045384C"/>
    <w:rsid w:val="00454553"/>
    <w:rsid w:val="00472A86"/>
    <w:rsid w:val="00473F24"/>
    <w:rsid w:val="004756B3"/>
    <w:rsid w:val="004967C7"/>
    <w:rsid w:val="004B124A"/>
    <w:rsid w:val="004B3095"/>
    <w:rsid w:val="004D2C7C"/>
    <w:rsid w:val="005133B5"/>
    <w:rsid w:val="00524392"/>
    <w:rsid w:val="00532097"/>
    <w:rsid w:val="0058350F"/>
    <w:rsid w:val="00583C7E"/>
    <w:rsid w:val="0059098E"/>
    <w:rsid w:val="005A62B1"/>
    <w:rsid w:val="005D46FB"/>
    <w:rsid w:val="005F2605"/>
    <w:rsid w:val="005F3B0E"/>
    <w:rsid w:val="005F3DB8"/>
    <w:rsid w:val="005F559C"/>
    <w:rsid w:val="00602857"/>
    <w:rsid w:val="006124AD"/>
    <w:rsid w:val="00624009"/>
    <w:rsid w:val="006347EF"/>
    <w:rsid w:val="006445A5"/>
    <w:rsid w:val="00662BA0"/>
    <w:rsid w:val="0067344B"/>
    <w:rsid w:val="00684A94"/>
    <w:rsid w:val="00692AAE"/>
    <w:rsid w:val="006B5985"/>
    <w:rsid w:val="006C0E38"/>
    <w:rsid w:val="006D6E67"/>
    <w:rsid w:val="006E1A13"/>
    <w:rsid w:val="006E3A39"/>
    <w:rsid w:val="00701C20"/>
    <w:rsid w:val="00702F3D"/>
    <w:rsid w:val="0070518E"/>
    <w:rsid w:val="007354E9"/>
    <w:rsid w:val="007424E8"/>
    <w:rsid w:val="0074579D"/>
    <w:rsid w:val="00765578"/>
    <w:rsid w:val="00766333"/>
    <w:rsid w:val="0077084A"/>
    <w:rsid w:val="00773214"/>
    <w:rsid w:val="007952C7"/>
    <w:rsid w:val="007A4333"/>
    <w:rsid w:val="007C0B95"/>
    <w:rsid w:val="007C2317"/>
    <w:rsid w:val="007D330A"/>
    <w:rsid w:val="00842E08"/>
    <w:rsid w:val="00866AE6"/>
    <w:rsid w:val="0087295F"/>
    <w:rsid w:val="008750A8"/>
    <w:rsid w:val="008A331F"/>
    <w:rsid w:val="008D3316"/>
    <w:rsid w:val="008D58EE"/>
    <w:rsid w:val="008E5AF2"/>
    <w:rsid w:val="0090121B"/>
    <w:rsid w:val="009144C9"/>
    <w:rsid w:val="0094091F"/>
    <w:rsid w:val="00956C6D"/>
    <w:rsid w:val="00957E1B"/>
    <w:rsid w:val="00962171"/>
    <w:rsid w:val="00962772"/>
    <w:rsid w:val="00973754"/>
    <w:rsid w:val="009C0BED"/>
    <w:rsid w:val="009C55BE"/>
    <w:rsid w:val="009C566C"/>
    <w:rsid w:val="009D2CED"/>
    <w:rsid w:val="009E11EC"/>
    <w:rsid w:val="00A00845"/>
    <w:rsid w:val="00A021CC"/>
    <w:rsid w:val="00A118DB"/>
    <w:rsid w:val="00A4450C"/>
    <w:rsid w:val="00A74E3D"/>
    <w:rsid w:val="00AA5E6C"/>
    <w:rsid w:val="00AC7C1E"/>
    <w:rsid w:val="00AE11ED"/>
    <w:rsid w:val="00AE3B4C"/>
    <w:rsid w:val="00AE5677"/>
    <w:rsid w:val="00AE658F"/>
    <w:rsid w:val="00AF2F78"/>
    <w:rsid w:val="00B239FA"/>
    <w:rsid w:val="00B36E53"/>
    <w:rsid w:val="00B372AB"/>
    <w:rsid w:val="00B41B54"/>
    <w:rsid w:val="00B47331"/>
    <w:rsid w:val="00B52D55"/>
    <w:rsid w:val="00B6014C"/>
    <w:rsid w:val="00B643EB"/>
    <w:rsid w:val="00B778C8"/>
    <w:rsid w:val="00B8288C"/>
    <w:rsid w:val="00B86034"/>
    <w:rsid w:val="00BE2E80"/>
    <w:rsid w:val="00BE5EDD"/>
    <w:rsid w:val="00BE6A1F"/>
    <w:rsid w:val="00C126C4"/>
    <w:rsid w:val="00C40374"/>
    <w:rsid w:val="00C44E9E"/>
    <w:rsid w:val="00C63EB5"/>
    <w:rsid w:val="00C87DA7"/>
    <w:rsid w:val="00CC01E0"/>
    <w:rsid w:val="00CC0756"/>
    <w:rsid w:val="00CC3892"/>
    <w:rsid w:val="00CD5FEE"/>
    <w:rsid w:val="00CE605C"/>
    <w:rsid w:val="00CE60D2"/>
    <w:rsid w:val="00CE7431"/>
    <w:rsid w:val="00D00CA8"/>
    <w:rsid w:val="00D0288A"/>
    <w:rsid w:val="00D52D15"/>
    <w:rsid w:val="00D72A5D"/>
    <w:rsid w:val="00DA71A3"/>
    <w:rsid w:val="00DB67F2"/>
    <w:rsid w:val="00DC629B"/>
    <w:rsid w:val="00DE1C31"/>
    <w:rsid w:val="00E05BFF"/>
    <w:rsid w:val="00E262F1"/>
    <w:rsid w:val="00E3176A"/>
    <w:rsid w:val="00E36CE4"/>
    <w:rsid w:val="00E54754"/>
    <w:rsid w:val="00E56BD3"/>
    <w:rsid w:val="00E71D14"/>
    <w:rsid w:val="00E72507"/>
    <w:rsid w:val="00E82A3E"/>
    <w:rsid w:val="00EA77F0"/>
    <w:rsid w:val="00EC093E"/>
    <w:rsid w:val="00F17260"/>
    <w:rsid w:val="00F32316"/>
    <w:rsid w:val="00F66597"/>
    <w:rsid w:val="00F675D0"/>
    <w:rsid w:val="00F8150C"/>
    <w:rsid w:val="00FA1EE3"/>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A78FF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ECCHLbold">
    <w:name w:val="ECC HL bold"/>
    <w:basedOn w:val="Strong"/>
    <w:uiPriority w:val="1"/>
    <w:qFormat/>
    <w:rsid w:val="004756B3"/>
    <w:rPr>
      <w:b/>
      <w:bCs/>
    </w:rPr>
  </w:style>
  <w:style w:type="character" w:styleId="Hyperlink">
    <w:name w:val="Hyperlink"/>
    <w:basedOn w:val="DefaultParagraphFont"/>
    <w:unhideWhenUsed/>
    <w:rsid w:val="004756B3"/>
    <w:rPr>
      <w:color w:val="0000FF" w:themeColor="hyperlink"/>
      <w:u w:val="single"/>
    </w:rPr>
  </w:style>
  <w:style w:type="character" w:styleId="Strong">
    <w:name w:val="Strong"/>
    <w:basedOn w:val="DefaultParagraphFont"/>
    <w:qFormat/>
    <w:rsid w:val="004756B3"/>
    <w:rPr>
      <w:b/>
      <w:bCs/>
    </w:rPr>
  </w:style>
  <w:style w:type="character" w:styleId="FollowedHyperlink">
    <w:name w:val="FollowedHyperlink"/>
    <w:basedOn w:val="DefaultParagraphFont"/>
    <w:semiHidden/>
    <w:unhideWhenUsed/>
    <w:rsid w:val="003E394C"/>
    <w:rPr>
      <w:color w:val="800080" w:themeColor="followedHyperlink"/>
      <w:u w:val="single"/>
    </w:rPr>
  </w:style>
  <w:style w:type="paragraph" w:styleId="BalloonText">
    <w:name w:val="Balloon Text"/>
    <w:basedOn w:val="Normal"/>
    <w:link w:val="BalloonTextChar"/>
    <w:semiHidden/>
    <w:unhideWhenUsed/>
    <w:rsid w:val="008A33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A331F"/>
    <w:rPr>
      <w:rFonts w:ascii="Segoe UI" w:hAnsi="Segoe UI" w:cs="Segoe UI"/>
      <w:sz w:val="18"/>
      <w:szCs w:val="18"/>
      <w:lang w:val="es-ES_tradnl" w:eastAsia="en-US"/>
    </w:rPr>
  </w:style>
  <w:style w:type="paragraph" w:styleId="Revision">
    <w:name w:val="Revision"/>
    <w:hidden/>
    <w:uiPriority w:val="99"/>
    <w:semiHidden/>
    <w:rsid w:val="002E21D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76E4F-2576-4482-8827-A1DD56B094D2}">
  <ds:schemaRefs>
    <ds:schemaRef ds:uri="http://purl.org/dc/term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D22945E8-21F5-4C80-9A98-0A3A68F3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1227</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R16-WRC19-C-0042!!MSW-S</vt:lpstr>
    </vt:vector>
  </TitlesOfParts>
  <Manager>Secretaría General - Pool</Manager>
  <Company>Unión Internacional de Telecomunicaciones (UIT)</Company>
  <LinksUpToDate>false</LinksUpToDate>
  <CharactersWithSpaces>7645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R16-WRC19-C-0042!!MSW-S</dc:title>
  <dc:subject>Conferencia Mundial de Radiocomunicaciones - 2019</dc:subject>
  <dc:creator>Documents Proposals Manager (DPM)</dc:creator>
  <cp:keywords>DPM_v2019.10.15.2_prod</cp:keywords>
  <dc:description/>
  <cp:lastModifiedBy>Spanish</cp:lastModifiedBy>
  <cp:revision>23</cp:revision>
  <cp:lastPrinted>2019-10-22T17:18:00Z</cp:lastPrinted>
  <dcterms:created xsi:type="dcterms:W3CDTF">2019-10-22T16:46:00Z</dcterms:created>
  <dcterms:modified xsi:type="dcterms:W3CDTF">2019-10-22T23:05:00Z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