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8B427C" w14:paraId="68A22573" w14:textId="77777777">
        <w:trPr>
          <w:cantSplit/>
        </w:trPr>
        <w:tc>
          <w:tcPr>
            <w:tcW w:w="6911" w:type="dxa"/>
          </w:tcPr>
          <w:p w14:paraId="13CFE7D1" w14:textId="77777777" w:rsidR="00C92213" w:rsidRPr="008B427C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8B427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8B427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8B427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8B427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B427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29FCF726" w14:textId="77777777" w:rsidR="00C92213" w:rsidRPr="008B427C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B427C">
              <w:rPr>
                <w:noProof/>
                <w:szCs w:val="22"/>
                <w:lang w:eastAsia="zh-CN"/>
              </w:rPr>
              <w:drawing>
                <wp:inline distT="0" distB="0" distL="0" distR="0" wp14:anchorId="6521C735" wp14:editId="5BE42F5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8B427C" w14:paraId="6979BAF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8392E8" w14:textId="77777777" w:rsidR="00C92213" w:rsidRPr="008B427C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A797DC" w14:textId="77777777" w:rsidR="00C92213" w:rsidRPr="008B427C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8B427C" w14:paraId="6FE27A0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07ADF0" w14:textId="77777777" w:rsidR="00C92213" w:rsidRPr="008B427C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7A8C036" w14:textId="77777777" w:rsidR="00C92213" w:rsidRPr="008B427C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8B427C" w14:paraId="571B049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E6F86E0" w14:textId="77777777" w:rsidR="00C92213" w:rsidRPr="008B427C" w:rsidRDefault="00C9221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</w:p>
        </w:tc>
        <w:tc>
          <w:tcPr>
            <w:tcW w:w="3120" w:type="dxa"/>
          </w:tcPr>
          <w:p w14:paraId="77962BCB" w14:textId="1A61584C" w:rsidR="00C92213" w:rsidRPr="008B427C" w:rsidRDefault="00C9221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8B427C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9810B6" w:rsidRPr="008B427C">
              <w:rPr>
                <w:rFonts w:ascii="Verdana" w:hAnsi="Verdana"/>
                <w:b/>
                <w:bCs/>
                <w:sz w:val="18"/>
                <w:szCs w:val="18"/>
              </w:rPr>
              <w:t>42</w:t>
            </w:r>
            <w:r w:rsidRPr="008B427C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8B427C" w14:paraId="58C17CE4" w14:textId="77777777">
        <w:trPr>
          <w:cantSplit/>
          <w:trHeight w:val="23"/>
        </w:trPr>
        <w:tc>
          <w:tcPr>
            <w:tcW w:w="6911" w:type="dxa"/>
            <w:vMerge/>
          </w:tcPr>
          <w:p w14:paraId="428B8918" w14:textId="77777777" w:rsidR="00C92213" w:rsidRPr="008B427C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7E1723B3" w14:textId="1AD76ACC" w:rsidR="00C92213" w:rsidRPr="008B427C" w:rsidRDefault="009810B6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427C">
              <w:rPr>
                <w:rFonts w:ascii="Verdana" w:hAnsi="Verdana"/>
                <w:b/>
                <w:bCs/>
                <w:sz w:val="18"/>
                <w:szCs w:val="18"/>
              </w:rPr>
              <w:t>11 октября</w:t>
            </w:r>
            <w:r w:rsidR="00C92213" w:rsidRPr="008B427C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8B427C" w14:paraId="1BCAAC8E" w14:textId="77777777">
        <w:trPr>
          <w:cantSplit/>
          <w:trHeight w:val="23"/>
        </w:trPr>
        <w:tc>
          <w:tcPr>
            <w:tcW w:w="6911" w:type="dxa"/>
            <w:vMerge/>
          </w:tcPr>
          <w:p w14:paraId="11E12234" w14:textId="77777777" w:rsidR="00C92213" w:rsidRPr="008B427C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04E9E389" w14:textId="77777777" w:rsidR="00C92213" w:rsidRPr="008B427C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427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8B427C" w14:paraId="48AC93A6" w14:textId="77777777">
        <w:trPr>
          <w:cantSplit/>
        </w:trPr>
        <w:tc>
          <w:tcPr>
            <w:tcW w:w="10031" w:type="dxa"/>
            <w:gridSpan w:val="2"/>
          </w:tcPr>
          <w:p w14:paraId="494A7663" w14:textId="2EAD1C0C" w:rsidR="00C92213" w:rsidRPr="008B427C" w:rsidRDefault="009810B6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8B427C">
              <w:rPr>
                <w:szCs w:val="26"/>
              </w:rPr>
              <w:t>Кипр (Республика)/Греция</w:t>
            </w:r>
          </w:p>
        </w:tc>
      </w:tr>
      <w:tr w:rsidR="00C92213" w:rsidRPr="008B427C" w14:paraId="36273D17" w14:textId="77777777">
        <w:trPr>
          <w:cantSplit/>
        </w:trPr>
        <w:tc>
          <w:tcPr>
            <w:tcW w:w="10031" w:type="dxa"/>
            <w:gridSpan w:val="2"/>
          </w:tcPr>
          <w:p w14:paraId="1FA91F6C" w14:textId="1F7B36A9" w:rsidR="00C92213" w:rsidRPr="008B427C" w:rsidRDefault="009810B6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8B427C">
              <w:rPr>
                <w:szCs w:val="26"/>
              </w:rPr>
              <w:t>предложения для работы конференции</w:t>
            </w:r>
          </w:p>
        </w:tc>
      </w:tr>
      <w:tr w:rsidR="00C92213" w:rsidRPr="008B427C" w14:paraId="580394A8" w14:textId="77777777">
        <w:trPr>
          <w:cantSplit/>
        </w:trPr>
        <w:tc>
          <w:tcPr>
            <w:tcW w:w="10031" w:type="dxa"/>
            <w:gridSpan w:val="2"/>
          </w:tcPr>
          <w:p w14:paraId="1A5F6071" w14:textId="77777777" w:rsidR="00C92213" w:rsidRPr="008B427C" w:rsidRDefault="00C92213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C92213" w:rsidRPr="008B427C" w14:paraId="4C3CCD69" w14:textId="77777777">
        <w:trPr>
          <w:cantSplit/>
        </w:trPr>
        <w:tc>
          <w:tcPr>
            <w:tcW w:w="10031" w:type="dxa"/>
            <w:gridSpan w:val="2"/>
          </w:tcPr>
          <w:p w14:paraId="1C6AE76C" w14:textId="6BCD8246" w:rsidR="00C92213" w:rsidRPr="008B427C" w:rsidRDefault="009810B6" w:rsidP="009F2DDC">
            <w:pPr>
              <w:pStyle w:val="Agendaitem"/>
              <w:rPr>
                <w:lang w:val="ru-RU"/>
              </w:rPr>
            </w:pPr>
            <w:bookmarkStart w:id="11" w:name="dtitle3" w:colFirst="0" w:colLast="0"/>
            <w:bookmarkEnd w:id="10"/>
            <w:r w:rsidRPr="008B427C">
              <w:rPr>
                <w:lang w:val="ru-RU"/>
              </w:rPr>
              <w:t>Пункт 9.3 повестки дня</w:t>
            </w:r>
          </w:p>
        </w:tc>
      </w:tr>
    </w:tbl>
    <w:bookmarkEnd w:id="11"/>
    <w:p w14:paraId="20557CCF" w14:textId="77777777" w:rsidR="009810B6" w:rsidRPr="008B427C" w:rsidRDefault="009810B6" w:rsidP="009F2DDC">
      <w:pPr>
        <w:pStyle w:val="Normalaftertitle"/>
      </w:pPr>
      <w:r w:rsidRPr="008B427C">
        <w:t>9</w:t>
      </w:r>
      <w:r w:rsidRPr="008B427C">
        <w:tab/>
        <w:t>рассмотреть и утвердить Отчет Директора Бюро радиосвязи в соответствии со Статьей 7 Конвенции.:</w:t>
      </w:r>
    </w:p>
    <w:p w14:paraId="0AA1D144" w14:textId="77777777" w:rsidR="009810B6" w:rsidRPr="008B427C" w:rsidRDefault="009810B6" w:rsidP="009810B6">
      <w:r w:rsidRPr="008B427C">
        <w:t>9.3</w:t>
      </w:r>
      <w:r w:rsidRPr="008B427C">
        <w:tab/>
        <w:t xml:space="preserve">о мерах, принятых во исполнение Резолюции </w:t>
      </w:r>
      <w:r w:rsidRPr="008B427C">
        <w:rPr>
          <w:b/>
        </w:rPr>
        <w:t>80 (Пересм. ВКР-07)</w:t>
      </w:r>
      <w:r w:rsidRPr="008B427C">
        <w:t>;</w:t>
      </w:r>
    </w:p>
    <w:p w14:paraId="7CE5DCCA" w14:textId="68A10114" w:rsidR="009810B6" w:rsidRPr="008B427C" w:rsidRDefault="009810B6" w:rsidP="00503195">
      <w:pPr>
        <w:pStyle w:val="Headingb"/>
        <w:spacing w:before="360"/>
        <w:rPr>
          <w:lang w:val="ru-RU"/>
        </w:rPr>
      </w:pPr>
      <w:r w:rsidRPr="008B427C">
        <w:rPr>
          <w:lang w:val="ru-RU"/>
        </w:rPr>
        <w:t>Меры, принятые во исполнение Резолюции 80 (Пересм. ВКР-07) в соответствии с п</w:t>
      </w:r>
      <w:r w:rsidR="00503195">
        <w:rPr>
          <w:lang w:val="ru-RU"/>
        </w:rPr>
        <w:t>унктом </w:t>
      </w:r>
      <w:r w:rsidRPr="008B427C">
        <w:rPr>
          <w:lang w:val="ru-RU"/>
        </w:rPr>
        <w:t xml:space="preserve">9.3 повестки дня ВКР-19 </w:t>
      </w:r>
      <w:r w:rsidR="00B65F78" w:rsidRPr="008B427C">
        <w:rPr>
          <w:lang w:val="ru-RU"/>
        </w:rPr>
        <w:t>−</w:t>
      </w:r>
      <w:r w:rsidRPr="008B427C">
        <w:rPr>
          <w:lang w:val="ru-RU"/>
        </w:rPr>
        <w:t xml:space="preserve"> Разъяснение терминологии и степени применимости п. 13.6 РР</w:t>
      </w:r>
    </w:p>
    <w:p w14:paraId="19542F57" w14:textId="642F3EBB" w:rsidR="009810B6" w:rsidRPr="008B427C" w:rsidRDefault="009810B6" w:rsidP="009F2DDC">
      <w:r w:rsidRPr="008B427C">
        <w:t xml:space="preserve">Вне всякого сомнения, применение п. </w:t>
      </w:r>
      <w:r w:rsidRPr="008B427C">
        <w:rPr>
          <w:b/>
        </w:rPr>
        <w:t>13.6</w:t>
      </w:r>
      <w:r w:rsidRPr="008B427C">
        <w:t xml:space="preserve"> РР является краеугольным камнем в ведении Справочного регистра и всемирных планов Бюро радиосвязи, поскольку он относится к Разделу II Статьи </w:t>
      </w:r>
      <w:r w:rsidRPr="008B427C">
        <w:rPr>
          <w:b/>
        </w:rPr>
        <w:t>13</w:t>
      </w:r>
      <w:r w:rsidRPr="008B427C">
        <w:t>, "Ведение Бюро Справочного регистра и всемирных планов". В соответствии с положениями п.</w:t>
      </w:r>
      <w:r w:rsidR="008B427C">
        <w:rPr>
          <w:lang w:val="en-US"/>
        </w:rPr>
        <w:t> </w:t>
      </w:r>
      <w:r w:rsidRPr="008B427C">
        <w:rPr>
          <w:b/>
        </w:rPr>
        <w:t>13.6</w:t>
      </w:r>
      <w:r w:rsidRPr="008B427C">
        <w:t xml:space="preserve"> Регламента радиосвязи, Бюро радиосвязи (БР) обращается к заявляющим администрациям всякий раз, когда на основании надежной информации становится известно, что зарегистрированное присвоение не было введено в действие, не используется или используется не в соответствии с заявленными частотными присвоениями.</w:t>
      </w:r>
    </w:p>
    <w:p w14:paraId="4DA8DD1E" w14:textId="03867237" w:rsidR="009810B6" w:rsidRPr="008B427C" w:rsidRDefault="009810B6" w:rsidP="009F2DDC">
      <w:pPr>
        <w:rPr>
          <w:rFonts w:eastAsia="SimSun"/>
          <w:szCs w:val="24"/>
          <w:lang w:eastAsia="zh-CN"/>
        </w:rPr>
      </w:pPr>
      <w:r w:rsidRPr="008B427C">
        <w:rPr>
          <w:rFonts w:eastAsia="SimSun"/>
          <w:szCs w:val="24"/>
          <w:lang w:eastAsia="zh-CN"/>
        </w:rPr>
        <w:t xml:space="preserve">Несомненно, применение п. </w:t>
      </w:r>
      <w:r w:rsidRPr="008B427C">
        <w:rPr>
          <w:rFonts w:eastAsia="SimSun"/>
          <w:b/>
          <w:szCs w:val="24"/>
          <w:lang w:eastAsia="zh-CN"/>
        </w:rPr>
        <w:t>13.6</w:t>
      </w:r>
      <w:r w:rsidRPr="008B427C">
        <w:rPr>
          <w:rFonts w:eastAsia="SimSun"/>
          <w:szCs w:val="24"/>
          <w:lang w:eastAsia="zh-CN"/>
        </w:rPr>
        <w:t xml:space="preserve"> РР является важным инструментом не только для возможности БР проверять, отражают ли реальное положение дел частотные присвоения, занесенные в МСРЧ, но также и для планирования и ведения своей деятельности администрациями на этом основании. Вследствие этого мы придерживаемся мнения, что при любом применении, а также толковании должны быть приняты во внимание вышеуказанные обстоятельства. В частности, если в момент применения п. </w:t>
      </w:r>
      <w:r w:rsidRPr="008B427C">
        <w:rPr>
          <w:rFonts w:eastAsia="SimSun"/>
          <w:b/>
          <w:szCs w:val="24"/>
          <w:lang w:eastAsia="zh-CN"/>
        </w:rPr>
        <w:t>13.6</w:t>
      </w:r>
      <w:r w:rsidRPr="008B427C">
        <w:rPr>
          <w:rFonts w:eastAsia="SimSun"/>
          <w:szCs w:val="24"/>
          <w:lang w:eastAsia="zh-CN"/>
        </w:rPr>
        <w:t xml:space="preserve"> РР рассматриваемые частотные присвоения использовались каким-либо спутником, не должно быть оснований для проведения ретроспективного исследования в соответствии с п.</w:t>
      </w:r>
      <w:r w:rsidR="008B427C">
        <w:rPr>
          <w:rFonts w:eastAsia="SimSun"/>
          <w:szCs w:val="24"/>
          <w:lang w:val="en-US" w:eastAsia="zh-CN"/>
        </w:rPr>
        <w:t> </w:t>
      </w:r>
      <w:r w:rsidRPr="008B427C">
        <w:rPr>
          <w:rFonts w:eastAsia="SimSun"/>
          <w:b/>
          <w:szCs w:val="24"/>
          <w:lang w:eastAsia="zh-CN"/>
        </w:rPr>
        <w:t>13.6</w:t>
      </w:r>
      <w:r w:rsidRPr="008B427C">
        <w:rPr>
          <w:rFonts w:eastAsia="SimSun"/>
          <w:szCs w:val="24"/>
          <w:lang w:eastAsia="zh-CN"/>
        </w:rPr>
        <w:t xml:space="preserve"> РР, либо же при проведении такого исследования должен приниматься во внимание конкретный отрезок времени из конкретных, очевидных и практических соображений, которые стоит учесть, принимая во внимание связанные с этим возможные регламентарные и правовые последствия.</w:t>
      </w:r>
    </w:p>
    <w:p w14:paraId="6237B0CC" w14:textId="77777777" w:rsidR="009810B6" w:rsidRPr="008B427C" w:rsidRDefault="009810B6" w:rsidP="009810B6">
      <w:r w:rsidRPr="008B427C">
        <w:rPr>
          <w:szCs w:val="24"/>
        </w:rPr>
        <w:t xml:space="preserve">Прежде всего, хотели бы упомянуть заявление руководителя SSD, сделанное на </w:t>
      </w:r>
      <w:r w:rsidRPr="008B427C">
        <w:rPr>
          <w:bCs/>
          <w:szCs w:val="24"/>
        </w:rPr>
        <w:t>78</w:t>
      </w:r>
      <w:r w:rsidRPr="008B427C">
        <w:rPr>
          <w:szCs w:val="24"/>
        </w:rPr>
        <w:t>-м собрании: "</w:t>
      </w:r>
      <w:r w:rsidRPr="008B427C">
        <w:rPr>
          <w:i/>
          <w:szCs w:val="24"/>
        </w:rPr>
        <w:t xml:space="preserve">Что касается рассмотрения задним числом, в настоящее время практикуется рассмотрение периода последних трех лет (продолжительность периода приостановки); </w:t>
      </w:r>
      <w:r w:rsidRPr="008B427C">
        <w:rPr>
          <w:i/>
        </w:rPr>
        <w:t>если вернуться назад на более длительный период, трудно быть уверенными во всех фактах. Бюро будет радо выслушать любые предложения Комитета по возможному совершенствованию используемой методики</w:t>
      </w:r>
      <w:r w:rsidRPr="008B427C">
        <w:rPr>
          <w:iCs/>
        </w:rPr>
        <w:t>"</w:t>
      </w:r>
      <w:r w:rsidRPr="008B427C">
        <w:rPr>
          <w:iCs/>
          <w:szCs w:val="24"/>
        </w:rPr>
        <w:t>.</w:t>
      </w:r>
    </w:p>
    <w:p w14:paraId="0D866757" w14:textId="77777777" w:rsidR="009810B6" w:rsidRPr="008B427C" w:rsidRDefault="009810B6" w:rsidP="00F94309">
      <w:pPr>
        <w:keepNext/>
        <w:keepLines/>
      </w:pPr>
      <w:r w:rsidRPr="008B427C">
        <w:lastRenderedPageBreak/>
        <w:t xml:space="preserve">Кроме того, полагаем, что при любых попытках расширить горизонт исследований в соответствии с п. </w:t>
      </w:r>
      <w:r w:rsidRPr="008B427C">
        <w:rPr>
          <w:b/>
        </w:rPr>
        <w:t xml:space="preserve">13.6 </w:t>
      </w:r>
      <w:r w:rsidRPr="008B427C">
        <w:t xml:space="preserve">РР за предел последних трех лет и в целом в отдаленное прошлое необходимо принимать во внимание определенные последствия, упомянутые в Отчете по Резолюции </w:t>
      </w:r>
      <w:r w:rsidRPr="008B427C">
        <w:rPr>
          <w:b/>
        </w:rPr>
        <w:t>80 (Пересм. ВКР-07)</w:t>
      </w:r>
      <w:r w:rsidRPr="008B427C">
        <w:t xml:space="preserve"> для ВКР-19, а также указанное ниже:</w:t>
      </w:r>
    </w:p>
    <w:p w14:paraId="7837374A" w14:textId="267194CE" w:rsidR="009810B6" w:rsidRPr="008B427C" w:rsidRDefault="00B65F78" w:rsidP="009F2DDC">
      <w:pPr>
        <w:pStyle w:val="enumlev1"/>
      </w:pPr>
      <w:r w:rsidRPr="008B427C">
        <w:t>−</w:t>
      </w:r>
      <w:r w:rsidR="009810B6" w:rsidRPr="008B427C">
        <w:tab/>
        <w:t>Конкретные запросы администраций на прове</w:t>
      </w:r>
      <w:bookmarkStart w:id="12" w:name="_GoBack"/>
      <w:bookmarkEnd w:id="12"/>
      <w:r w:rsidR="009810B6" w:rsidRPr="008B427C">
        <w:t>дение исследований в соответствии с п.</w:t>
      </w:r>
      <w:r w:rsidR="00151C88" w:rsidRPr="008B427C">
        <w:t> </w:t>
      </w:r>
      <w:r w:rsidR="009810B6" w:rsidRPr="008B427C">
        <w:rPr>
          <w:b/>
        </w:rPr>
        <w:t xml:space="preserve">13.6 </w:t>
      </w:r>
      <w:r w:rsidR="009810B6" w:rsidRPr="008B427C">
        <w:t>РР в отдаленном прошлом для иных спутниковых сетей в ущерб другим администрациям и иным, зачастую уже использующимся спутниковым сетям, с тем чтобы запрашивающие администрации преодолели трудности, которые могут возникнуть в ходе обсуждений по координации.</w:t>
      </w:r>
    </w:p>
    <w:p w14:paraId="7951050B" w14:textId="4E0EADBF" w:rsidR="009810B6" w:rsidRPr="008B427C" w:rsidRDefault="00B65F78" w:rsidP="009F2DDC">
      <w:pPr>
        <w:pStyle w:val="enumlev1"/>
        <w:rPr>
          <w:rFonts w:cstheme="minorHAnsi"/>
        </w:rPr>
      </w:pPr>
      <w:r w:rsidRPr="008B427C">
        <w:rPr>
          <w:szCs w:val="24"/>
        </w:rPr>
        <w:t>−</w:t>
      </w:r>
      <w:r w:rsidR="009810B6" w:rsidRPr="008B427C">
        <w:rPr>
          <w:szCs w:val="24"/>
        </w:rPr>
        <w:tab/>
      </w:r>
      <w:r w:rsidR="009810B6" w:rsidRPr="008B427C">
        <w:rPr>
          <w:rFonts w:cstheme="minorHAnsi"/>
        </w:rPr>
        <w:t>У администраций могут возникнуть трудности при доказательстве того, что частотные присвоения были введены ими в действие, если первоначальный спутник, использованный для этого, был заменен за несколько лет до времени проведения исследования</w:t>
      </w:r>
      <w:r w:rsidR="00503195">
        <w:rPr>
          <w:rFonts w:cstheme="minorHAnsi"/>
        </w:rPr>
        <w:t>.</w:t>
      </w:r>
    </w:p>
    <w:p w14:paraId="343B7E3E" w14:textId="7F731B14" w:rsidR="009810B6" w:rsidRPr="008B427C" w:rsidRDefault="00B65F78" w:rsidP="009F2DDC">
      <w:pPr>
        <w:pStyle w:val="enumlev1"/>
        <w:rPr>
          <w:rFonts w:cstheme="minorHAnsi"/>
        </w:rPr>
      </w:pPr>
      <w:r w:rsidRPr="008B427C">
        <w:rPr>
          <w:szCs w:val="24"/>
        </w:rPr>
        <w:t>−</w:t>
      </w:r>
      <w:r w:rsidR="009810B6" w:rsidRPr="008B427C">
        <w:rPr>
          <w:szCs w:val="24"/>
        </w:rPr>
        <w:tab/>
        <w:t xml:space="preserve">Существование на момент события, являющегося предметом исследования, других регламентарных требований и практик, которым следовало БР, и которые были в силе в то время. </w:t>
      </w:r>
    </w:p>
    <w:p w14:paraId="2B708C83" w14:textId="3719DB0B" w:rsidR="009810B6" w:rsidRPr="008B427C" w:rsidRDefault="009810B6" w:rsidP="009F2DDC">
      <w:r w:rsidRPr="008B427C">
        <w:t xml:space="preserve">Кроме того, необходимо соблюдать принцип равного обращения со всеми заявками, связанными с проведением исследований в соответствии с п. </w:t>
      </w:r>
      <w:r w:rsidRPr="008B427C">
        <w:rPr>
          <w:b/>
        </w:rPr>
        <w:t xml:space="preserve">13.6 </w:t>
      </w:r>
      <w:r w:rsidRPr="008B427C">
        <w:t>РР, поскольку БР уже применяло методику отказа от проведения исследований за пределом последних трех лет (т.</w:t>
      </w:r>
      <w:r w:rsidR="003C10B6" w:rsidRPr="008B427C">
        <w:t> </w:t>
      </w:r>
      <w:r w:rsidRPr="008B427C">
        <w:t xml:space="preserve">е. продолжительность периода приостановки в соответствии с п. </w:t>
      </w:r>
      <w:r w:rsidRPr="008B427C">
        <w:rPr>
          <w:b/>
        </w:rPr>
        <w:t xml:space="preserve">11.49 </w:t>
      </w:r>
      <w:r w:rsidRPr="008B427C">
        <w:t>РР).</w:t>
      </w:r>
    </w:p>
    <w:p w14:paraId="17CB448D" w14:textId="77777777" w:rsidR="009810B6" w:rsidRPr="008B427C" w:rsidRDefault="009810B6" w:rsidP="009F2DDC">
      <w:r w:rsidRPr="008B427C">
        <w:t xml:space="preserve">Применение п. </w:t>
      </w:r>
      <w:r w:rsidRPr="008B427C">
        <w:rPr>
          <w:b/>
        </w:rPr>
        <w:t xml:space="preserve">13.6 </w:t>
      </w:r>
      <w:r w:rsidRPr="008B427C">
        <w:t xml:space="preserve">РР в отношении событий далекого прошлого откроет "ящик Пандоры" для множества спутниковых сетей и повысит обеспокоенность в отношении достоверности данных МСРЧ. Твердо уверены, что необходимо сформулировать конкретные рамки, определяющие основания для проведения исследований в соответствии с п. </w:t>
      </w:r>
      <w:r w:rsidRPr="008B427C">
        <w:rPr>
          <w:b/>
        </w:rPr>
        <w:t xml:space="preserve">13.6 </w:t>
      </w:r>
      <w:r w:rsidRPr="008B427C">
        <w:t>РР, с тем чтобы определить условия подобного исследования, и, главное, какие временные ограничения должны в связи с этим применяться.</w:t>
      </w:r>
    </w:p>
    <w:p w14:paraId="6C118938" w14:textId="593F5934" w:rsidR="009810B6" w:rsidRPr="008B427C" w:rsidRDefault="009810B6" w:rsidP="009F2DDC">
      <w:r w:rsidRPr="008B427C">
        <w:t>Надеемся, что подобная инициатива уже приветствуется рядом стран, представивших вклады на ту же тематику на 81-м собрании Радиорегламентарного комитета, состоявшемся 15</w:t>
      </w:r>
      <w:r w:rsidR="009F2DDC" w:rsidRPr="008B427C">
        <w:t>−</w:t>
      </w:r>
      <w:r w:rsidRPr="008B427C">
        <w:t xml:space="preserve">19 июля 2019 года, в которых предлагалось установить конкретное временное ограничение в отношении ретроспективного применения п. </w:t>
      </w:r>
      <w:r w:rsidRPr="008B427C">
        <w:rPr>
          <w:b/>
        </w:rPr>
        <w:t>13.6</w:t>
      </w:r>
      <w:r w:rsidRPr="008B427C">
        <w:t xml:space="preserve"> РР (см. для примера Документы </w:t>
      </w:r>
      <w:proofErr w:type="spellStart"/>
      <w:r w:rsidRPr="008B427C">
        <w:t>RRB19</w:t>
      </w:r>
      <w:proofErr w:type="spellEnd"/>
      <w:r w:rsidRPr="008B427C">
        <w:t xml:space="preserve">-2/12 и </w:t>
      </w:r>
      <w:proofErr w:type="spellStart"/>
      <w:r w:rsidRPr="008B427C">
        <w:t>RRB19</w:t>
      </w:r>
      <w:proofErr w:type="spellEnd"/>
      <w:r w:rsidR="009F2DDC" w:rsidRPr="008B427C">
        <w:noBreakHyphen/>
      </w:r>
      <w:r w:rsidRPr="008B427C">
        <w:t>2/10).</w:t>
      </w:r>
    </w:p>
    <w:p w14:paraId="77CA2BCA" w14:textId="79112E5D" w:rsidR="009810B6" w:rsidRPr="008B427C" w:rsidRDefault="009810B6" w:rsidP="009F2DDC">
      <w:r w:rsidRPr="008B427C">
        <w:t>Полагаем, что в рамках работы предстоящей ВКР-19 необходимо разработать общий подход и набор рекомендаций для Бюро и Комитета в их работе с различными случаями, связанными с п.</w:t>
      </w:r>
      <w:r w:rsidR="00913FFE" w:rsidRPr="008B427C">
        <w:t> </w:t>
      </w:r>
      <w:r w:rsidRPr="008B427C">
        <w:rPr>
          <w:b/>
        </w:rPr>
        <w:t>13.6</w:t>
      </w:r>
      <w:r w:rsidRPr="008B427C">
        <w:t xml:space="preserve"> РР. Как следствие, ВКР-19 предлагается принять решения и предоставить руководящие указания Комитету в соответствии с отчетом по Резолюции </w:t>
      </w:r>
      <w:r w:rsidRPr="008B427C">
        <w:rPr>
          <w:b/>
        </w:rPr>
        <w:t>80</w:t>
      </w:r>
      <w:r w:rsidRPr="008B427C">
        <w:t xml:space="preserve"> в отношении практических аспектов, связанных с применением п. </w:t>
      </w:r>
      <w:r w:rsidRPr="008B427C">
        <w:rPr>
          <w:b/>
        </w:rPr>
        <w:t>13.6</w:t>
      </w:r>
      <w:r w:rsidRPr="008B427C">
        <w:t xml:space="preserve"> РР в отдаленном прошлом, принимая во внимание следующие руководящие указания:</w:t>
      </w:r>
    </w:p>
    <w:p w14:paraId="21FEEDBB" w14:textId="77777777" w:rsidR="009810B6" w:rsidRPr="008B427C" w:rsidRDefault="009810B6" w:rsidP="009F2DDC">
      <w:pPr>
        <w:pStyle w:val="enumlev1"/>
      </w:pPr>
      <w:r w:rsidRPr="008B427C">
        <w:t>•</w:t>
      </w:r>
      <w:r w:rsidRPr="008B427C">
        <w:tab/>
        <w:t xml:space="preserve">Когда БР получает запросы от администраций на проведение исследования в отношении сетей в соответствии с п. </w:t>
      </w:r>
      <w:r w:rsidRPr="008B427C">
        <w:rPr>
          <w:b/>
        </w:rPr>
        <w:t>13.6</w:t>
      </w:r>
      <w:r w:rsidRPr="008B427C">
        <w:t xml:space="preserve">, такие исследования проводить не следует в том случае, если к моменту получения запроса БР уже провело собственное исследование, пришло к выводу о статусе сети и оповестило соответствующую администрацию о своих выводах и о том, на каких решениях должна основывать свою деятельность соответствующая администрация, с тем чтобы вести работу в области значимого инвестирования, трат и долгосрочного планирования. </w:t>
      </w:r>
    </w:p>
    <w:p w14:paraId="4BF2D076" w14:textId="77777777" w:rsidR="009810B6" w:rsidRPr="008B427C" w:rsidRDefault="009810B6" w:rsidP="009F2DDC">
      <w:pPr>
        <w:pStyle w:val="enumlev1"/>
      </w:pPr>
      <w:r w:rsidRPr="008B427C">
        <w:t>•</w:t>
      </w:r>
      <w:r w:rsidRPr="008B427C">
        <w:tab/>
        <w:t xml:space="preserve">Применение п. </w:t>
      </w:r>
      <w:r w:rsidRPr="008B427C">
        <w:rPr>
          <w:b/>
        </w:rPr>
        <w:t xml:space="preserve">13.6 </w:t>
      </w:r>
      <w:r w:rsidRPr="008B427C">
        <w:t xml:space="preserve">РР в отношении конкретного момента в отдаленном прошлом не должно иметь места в случаях, когда администрации успешно и в полной мере провели все обязательные регламентарные процедуры в конкретный момент, и их соответствующая спутниковая сеть в настоящее время используется действующим спутником, таким образом, соблюдая применение п. </w:t>
      </w:r>
      <w:r w:rsidRPr="008B427C">
        <w:rPr>
          <w:b/>
        </w:rPr>
        <w:t xml:space="preserve">13.6 </w:t>
      </w:r>
      <w:r w:rsidRPr="008B427C">
        <w:t xml:space="preserve">РР, по сути, исходя из текущего использования, упомянутого в Отчете РРК для ВКР-15 в соответствии с Резолюцией </w:t>
      </w:r>
      <w:r w:rsidRPr="008B427C">
        <w:rPr>
          <w:b/>
        </w:rPr>
        <w:t>80 (Пересм. ВКР-07)</w:t>
      </w:r>
      <w:r w:rsidRPr="008B427C">
        <w:t xml:space="preserve">. </w:t>
      </w:r>
    </w:p>
    <w:p w14:paraId="3D341B2E" w14:textId="77777777" w:rsidR="009810B6" w:rsidRPr="008B427C" w:rsidRDefault="009810B6" w:rsidP="009F2DDC">
      <w:pPr>
        <w:pStyle w:val="enumlev1"/>
      </w:pPr>
      <w:r w:rsidRPr="008B427C">
        <w:lastRenderedPageBreak/>
        <w:t>•</w:t>
      </w:r>
      <w:r w:rsidRPr="008B427C">
        <w:tab/>
      </w:r>
      <w:r w:rsidRPr="008B427C">
        <w:rPr>
          <w:b/>
          <w:bCs/>
        </w:rPr>
        <w:t>Исследование в соответствии с п. 13.6 РР должно быть ограничено сроком давности в три года, что соответствует текущей практике БР, и должно применяться с соответствующими необходимыми изменениями ко всем администрациям в соблюдение международного принципа равного обращения</w:t>
      </w:r>
      <w:r w:rsidRPr="008B427C">
        <w:t>.</w:t>
      </w:r>
    </w:p>
    <w:p w14:paraId="13038529" w14:textId="77777777" w:rsidR="009810B6" w:rsidRPr="008B427C" w:rsidRDefault="009810B6" w:rsidP="009F2DDC">
      <w:r w:rsidRPr="008B427C">
        <w:t xml:space="preserve">Наконец, полагаем, что общий подход упростит работу БР и РРК и таким образом поможет администрациям сформировать понимание деятельности, ведущейся Бюро, а также обеспечит принцип равного обращения в отношении применения п. </w:t>
      </w:r>
      <w:r w:rsidRPr="008B427C">
        <w:rPr>
          <w:b/>
          <w:bCs/>
        </w:rPr>
        <w:t>13.6</w:t>
      </w:r>
      <w:r w:rsidRPr="008B427C">
        <w:t xml:space="preserve"> РР к событиям далекого прошлого и заявкам, в настоящий момент находящимся на рассмотрении БР, и, наконец, обеспечит еще большее доверие к данным, официально внесенным в МСРЧ.</w:t>
      </w:r>
    </w:p>
    <w:p w14:paraId="0EBC29B8" w14:textId="77777777" w:rsidR="009F2DDC" w:rsidRPr="008B427C" w:rsidRDefault="009F2DDC" w:rsidP="009F2DDC">
      <w:pPr>
        <w:spacing w:before="720"/>
        <w:jc w:val="center"/>
      </w:pPr>
      <w:r w:rsidRPr="008B427C">
        <w:t>______________</w:t>
      </w:r>
    </w:p>
    <w:sectPr w:rsidR="009F2DDC" w:rsidRPr="008B427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3ADC4" w14:textId="77777777" w:rsidR="009810B6" w:rsidRDefault="009810B6">
      <w:r>
        <w:separator/>
      </w:r>
    </w:p>
  </w:endnote>
  <w:endnote w:type="continuationSeparator" w:id="0">
    <w:p w14:paraId="62BA749F" w14:textId="77777777" w:rsidR="009810B6" w:rsidRDefault="0098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FE7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D8E99C" w14:textId="53A74E64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290353">
      <w:rPr>
        <w:noProof/>
        <w:lang w:val="en-US"/>
      </w:rPr>
      <w:t>P:\RUS\ITU-R\CONF-R\CMR19\000\042R.docx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0353">
      <w:rPr>
        <w:noProof/>
      </w:rPr>
      <w:t>22.10.19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0353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7109" w14:textId="7E7E15E8" w:rsidR="00567276" w:rsidRPr="00913FFE" w:rsidRDefault="00567276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290353">
      <w:rPr>
        <w:lang w:val="en-US"/>
      </w:rPr>
      <w:t>P:\RUS\ITU-R\CONF-R\CMR19\000\042R.docx</w:t>
    </w:r>
    <w:r>
      <w:fldChar w:fldCharType="end"/>
    </w:r>
    <w:r w:rsidR="009810B6" w:rsidRPr="00913FFE">
      <w:t xml:space="preserve"> (461838)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172F" w14:textId="21D7F167" w:rsidR="00567276" w:rsidRPr="00913FFE" w:rsidRDefault="00567276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290353">
      <w:rPr>
        <w:lang w:val="en-US"/>
      </w:rPr>
      <w:t>P:\RUS\ITU-R\CONF-R\CMR19\000\042R.docx</w:t>
    </w:r>
    <w:r>
      <w:fldChar w:fldCharType="end"/>
    </w:r>
    <w:r w:rsidR="009810B6" w:rsidRPr="00913FFE">
      <w:t xml:space="preserve"> (461838)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983B8" w14:textId="77777777" w:rsidR="009810B6" w:rsidRDefault="009810B6">
      <w:r>
        <w:rPr>
          <w:b/>
        </w:rPr>
        <w:t>_______________</w:t>
      </w:r>
    </w:p>
  </w:footnote>
  <w:footnote w:type="continuationSeparator" w:id="0">
    <w:p w14:paraId="061C1CEC" w14:textId="77777777" w:rsidR="009810B6" w:rsidRDefault="0098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BDE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3DD4">
      <w:rPr>
        <w:noProof/>
      </w:rPr>
      <w:t>2</w:t>
    </w:r>
    <w:r>
      <w:fldChar w:fldCharType="end"/>
    </w:r>
  </w:p>
  <w:p w14:paraId="61F7FF4B" w14:textId="36EB8CDC" w:rsidR="00567276" w:rsidRDefault="00567276" w:rsidP="00A15F23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A15F23">
      <w:rPr>
        <w:lang w:val="en-US"/>
      </w:rPr>
      <w:t>9</w:t>
    </w:r>
    <w:r>
      <w:t>/</w:t>
    </w:r>
    <w:r w:rsidR="009810B6">
      <w:rPr>
        <w:lang w:val="ru-RU"/>
      </w:rPr>
      <w:t>42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6"/>
    <w:rsid w:val="000260F1"/>
    <w:rsid w:val="0003535B"/>
    <w:rsid w:val="00123B68"/>
    <w:rsid w:val="00124C09"/>
    <w:rsid w:val="00126F2E"/>
    <w:rsid w:val="00151895"/>
    <w:rsid w:val="00151C88"/>
    <w:rsid w:val="001521AE"/>
    <w:rsid w:val="001842C8"/>
    <w:rsid w:val="001E5FB4"/>
    <w:rsid w:val="00202CA0"/>
    <w:rsid w:val="00245A1F"/>
    <w:rsid w:val="00290353"/>
    <w:rsid w:val="00290C74"/>
    <w:rsid w:val="00300F84"/>
    <w:rsid w:val="00344EB8"/>
    <w:rsid w:val="00352F84"/>
    <w:rsid w:val="00383FBF"/>
    <w:rsid w:val="003C10B6"/>
    <w:rsid w:val="003C583C"/>
    <w:rsid w:val="003F0078"/>
    <w:rsid w:val="00434A7C"/>
    <w:rsid w:val="0045143A"/>
    <w:rsid w:val="004A58F4"/>
    <w:rsid w:val="00503195"/>
    <w:rsid w:val="0051315E"/>
    <w:rsid w:val="00567276"/>
    <w:rsid w:val="005D1879"/>
    <w:rsid w:val="005D79A3"/>
    <w:rsid w:val="005E61DD"/>
    <w:rsid w:val="006023DF"/>
    <w:rsid w:val="00620DD7"/>
    <w:rsid w:val="00621DB1"/>
    <w:rsid w:val="00657DE0"/>
    <w:rsid w:val="00692C06"/>
    <w:rsid w:val="006A6E9B"/>
    <w:rsid w:val="006B078C"/>
    <w:rsid w:val="00763F4F"/>
    <w:rsid w:val="00775720"/>
    <w:rsid w:val="00811633"/>
    <w:rsid w:val="00872FC8"/>
    <w:rsid w:val="008B427C"/>
    <w:rsid w:val="008B43F2"/>
    <w:rsid w:val="008C3257"/>
    <w:rsid w:val="009119CC"/>
    <w:rsid w:val="00913FFE"/>
    <w:rsid w:val="00941A02"/>
    <w:rsid w:val="009810B6"/>
    <w:rsid w:val="009E5FC8"/>
    <w:rsid w:val="009F2DDC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3DD4"/>
    <w:rsid w:val="00A97EC0"/>
    <w:rsid w:val="00AC66E6"/>
    <w:rsid w:val="00AF661B"/>
    <w:rsid w:val="00B468A6"/>
    <w:rsid w:val="00B65F78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53715"/>
    <w:rsid w:val="00DE2EBA"/>
    <w:rsid w:val="00E976C1"/>
    <w:rsid w:val="00F65C19"/>
    <w:rsid w:val="00F9430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D1D13"/>
  <w15:docId w15:val="{2786B0CD-C294-47C8-8895-E7EF0C77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customStyle="1" w:styleId="ECCHLbold">
    <w:name w:val="ECC HL bold"/>
    <w:basedOn w:val="Strong"/>
    <w:uiPriority w:val="1"/>
    <w:qFormat/>
    <w:rsid w:val="009810B6"/>
    <w:rPr>
      <w:b/>
      <w:bCs/>
    </w:rPr>
  </w:style>
  <w:style w:type="character" w:styleId="Strong">
    <w:name w:val="Strong"/>
    <w:basedOn w:val="DefaultParagraphFont"/>
    <w:qFormat/>
    <w:rsid w:val="00981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22</TotalTime>
  <Pages>1</Pages>
  <Words>929</Words>
  <Characters>5960</Characters>
  <Application>Microsoft Office Word</Application>
  <DocSecurity>0</DocSecurity>
  <Lines>105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Russian</dc:creator>
  <cp:keywords/>
  <dc:description/>
  <cp:lastModifiedBy>Russian</cp:lastModifiedBy>
  <cp:revision>7</cp:revision>
  <cp:lastPrinted>2019-10-22T19:54:00Z</cp:lastPrinted>
  <dcterms:created xsi:type="dcterms:W3CDTF">2019-10-22T19:01:00Z</dcterms:created>
  <dcterms:modified xsi:type="dcterms:W3CDTF">2019-10-22T19:54:00Z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