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B03A01" w14:paraId="2A12009B" w14:textId="77777777" w:rsidTr="0050008E">
        <w:trPr>
          <w:cantSplit/>
        </w:trPr>
        <w:tc>
          <w:tcPr>
            <w:tcW w:w="6911" w:type="dxa"/>
          </w:tcPr>
          <w:p w14:paraId="4147FB1D" w14:textId="77777777" w:rsidR="00BB1D82" w:rsidRPr="00B03A01" w:rsidRDefault="00851625" w:rsidP="0084434B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B03A01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B03A01">
              <w:rPr>
                <w:rFonts w:ascii="Verdana" w:hAnsi="Verdana"/>
                <w:b/>
                <w:bCs/>
                <w:sz w:val="20"/>
              </w:rPr>
              <w:t>9</w:t>
            </w:r>
            <w:r w:rsidRPr="00B03A01">
              <w:rPr>
                <w:rFonts w:ascii="Verdana" w:hAnsi="Verdana"/>
                <w:b/>
                <w:bCs/>
                <w:sz w:val="20"/>
              </w:rPr>
              <w:t>)</w:t>
            </w:r>
            <w:r w:rsidRPr="00B03A01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B03A01">
              <w:rPr>
                <w:rFonts w:ascii="Verdana" w:hAnsi="Verdana"/>
                <w:b/>
                <w:bCs/>
                <w:sz w:val="18"/>
                <w:szCs w:val="18"/>
              </w:rPr>
              <w:t>Charm</w:t>
            </w:r>
            <w:bookmarkStart w:id="0" w:name="_GoBack"/>
            <w:bookmarkEnd w:id="0"/>
            <w:r w:rsidR="00063A1F" w:rsidRPr="00B03A01">
              <w:rPr>
                <w:rFonts w:ascii="Verdana" w:hAnsi="Verdana"/>
                <w:b/>
                <w:bCs/>
                <w:sz w:val="18"/>
                <w:szCs w:val="18"/>
              </w:rPr>
              <w:t xml:space="preserve"> el-Cheikh, </w:t>
            </w:r>
            <w:r w:rsidR="00081366" w:rsidRPr="00B03A01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B03A01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B03A01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B03A0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03A0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B03A01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B03A01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B03A0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03A0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B03A0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B03A01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B03A01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01796B32" w14:textId="77777777" w:rsidR="00BB1D82" w:rsidRPr="00B03A01" w:rsidRDefault="000A55AE" w:rsidP="0084434B">
            <w:pPr>
              <w:spacing w:before="0"/>
              <w:jc w:val="right"/>
            </w:pPr>
            <w:bookmarkStart w:id="1" w:name="ditulogo"/>
            <w:bookmarkEnd w:id="1"/>
            <w:r w:rsidRPr="00B03A01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1341FD8A" wp14:editId="65A84237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03A01" w14:paraId="6CA1DF8F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FAE10EE" w14:textId="77777777" w:rsidR="00BB1D82" w:rsidRPr="00B03A01" w:rsidRDefault="00BB1D82" w:rsidP="0084434B">
            <w:pPr>
              <w:spacing w:before="0" w:after="48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3CC388B" w14:textId="77777777" w:rsidR="00BB1D82" w:rsidRPr="00B03A01" w:rsidRDefault="00BB1D82" w:rsidP="0084434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B03A01" w14:paraId="606CBA27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90A55D8" w14:textId="77777777" w:rsidR="00BB1D82" w:rsidRPr="00B03A01" w:rsidRDefault="00BB1D82" w:rsidP="0084434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8BF618" w14:textId="77777777" w:rsidR="00BB1D82" w:rsidRPr="00B03A01" w:rsidRDefault="00BB1D82" w:rsidP="0084434B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B03A01" w14:paraId="7AF859C3" w14:textId="77777777" w:rsidTr="00BB1D82">
        <w:trPr>
          <w:cantSplit/>
        </w:trPr>
        <w:tc>
          <w:tcPr>
            <w:tcW w:w="6911" w:type="dxa"/>
          </w:tcPr>
          <w:p w14:paraId="462E564A" w14:textId="77777777" w:rsidR="00BB1D82" w:rsidRPr="00B03A01" w:rsidRDefault="006D4724" w:rsidP="0084434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03A01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7AB132D7" w14:textId="77777777" w:rsidR="00BB1D82" w:rsidRPr="00B03A01" w:rsidRDefault="006D4724" w:rsidP="0084434B">
            <w:pPr>
              <w:spacing w:before="0"/>
              <w:rPr>
                <w:rFonts w:ascii="Verdana" w:hAnsi="Verdana"/>
                <w:sz w:val="20"/>
              </w:rPr>
            </w:pPr>
            <w:r w:rsidRPr="00B03A01">
              <w:rPr>
                <w:rFonts w:ascii="Verdana" w:hAnsi="Verdana"/>
                <w:b/>
                <w:sz w:val="20"/>
              </w:rPr>
              <w:t>Document 42</w:t>
            </w:r>
            <w:r w:rsidR="00BB1D82" w:rsidRPr="00B03A01">
              <w:rPr>
                <w:rFonts w:ascii="Verdana" w:hAnsi="Verdana"/>
                <w:b/>
                <w:sz w:val="20"/>
              </w:rPr>
              <w:t>-</w:t>
            </w:r>
            <w:r w:rsidRPr="00B03A01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2"/>
      <w:tr w:rsidR="00690C7B" w:rsidRPr="00B03A01" w14:paraId="7B3F71C9" w14:textId="77777777" w:rsidTr="00BB1D82">
        <w:trPr>
          <w:cantSplit/>
        </w:trPr>
        <w:tc>
          <w:tcPr>
            <w:tcW w:w="6911" w:type="dxa"/>
          </w:tcPr>
          <w:p w14:paraId="24989131" w14:textId="77777777" w:rsidR="00690C7B" w:rsidRPr="00B03A01" w:rsidRDefault="00690C7B" w:rsidP="0084434B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0C06C851" w14:textId="77777777" w:rsidR="00690C7B" w:rsidRPr="00B03A01" w:rsidRDefault="00690C7B" w:rsidP="0084434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03A01">
              <w:rPr>
                <w:rFonts w:ascii="Verdana" w:hAnsi="Verdana"/>
                <w:b/>
                <w:sz w:val="20"/>
              </w:rPr>
              <w:t>11 octobre 2019</w:t>
            </w:r>
          </w:p>
        </w:tc>
      </w:tr>
      <w:tr w:rsidR="00690C7B" w:rsidRPr="00B03A01" w14:paraId="04CC3A81" w14:textId="77777777" w:rsidTr="00BB1D82">
        <w:trPr>
          <w:cantSplit/>
        </w:trPr>
        <w:tc>
          <w:tcPr>
            <w:tcW w:w="6911" w:type="dxa"/>
          </w:tcPr>
          <w:p w14:paraId="4BFD2C39" w14:textId="77777777" w:rsidR="00690C7B" w:rsidRPr="00B03A01" w:rsidRDefault="00690C7B" w:rsidP="0084434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A965874" w14:textId="77777777" w:rsidR="00690C7B" w:rsidRPr="00B03A01" w:rsidRDefault="00690C7B" w:rsidP="0084434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03A01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B03A01" w14:paraId="05BCA871" w14:textId="77777777" w:rsidTr="00C11970">
        <w:trPr>
          <w:cantSplit/>
        </w:trPr>
        <w:tc>
          <w:tcPr>
            <w:tcW w:w="10031" w:type="dxa"/>
            <w:gridSpan w:val="2"/>
          </w:tcPr>
          <w:p w14:paraId="29ED0A9B" w14:textId="77777777" w:rsidR="00690C7B" w:rsidRPr="00B03A01" w:rsidRDefault="00690C7B" w:rsidP="0084434B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B03A01" w14:paraId="797DECB7" w14:textId="77777777" w:rsidTr="0050008E">
        <w:trPr>
          <w:cantSplit/>
        </w:trPr>
        <w:tc>
          <w:tcPr>
            <w:tcW w:w="10031" w:type="dxa"/>
            <w:gridSpan w:val="2"/>
          </w:tcPr>
          <w:p w14:paraId="31969925" w14:textId="77777777" w:rsidR="00690C7B" w:rsidRPr="00B03A01" w:rsidRDefault="00690C7B" w:rsidP="0084434B">
            <w:pPr>
              <w:pStyle w:val="Source"/>
            </w:pPr>
            <w:bookmarkStart w:id="3" w:name="dsource" w:colFirst="0" w:colLast="0"/>
            <w:r w:rsidRPr="00B03A01">
              <w:t>Chypre (République de)/Grèce</w:t>
            </w:r>
          </w:p>
        </w:tc>
      </w:tr>
      <w:tr w:rsidR="00690C7B" w:rsidRPr="00B03A01" w14:paraId="67745945" w14:textId="77777777" w:rsidTr="0050008E">
        <w:trPr>
          <w:cantSplit/>
        </w:trPr>
        <w:tc>
          <w:tcPr>
            <w:tcW w:w="10031" w:type="dxa"/>
            <w:gridSpan w:val="2"/>
          </w:tcPr>
          <w:p w14:paraId="6EEF253C" w14:textId="77777777" w:rsidR="00690C7B" w:rsidRPr="00B03A01" w:rsidRDefault="00690C7B" w:rsidP="0084434B">
            <w:pPr>
              <w:pStyle w:val="Title1"/>
            </w:pPr>
            <w:bookmarkStart w:id="4" w:name="dtitle1" w:colFirst="0" w:colLast="0"/>
            <w:bookmarkEnd w:id="3"/>
            <w:r w:rsidRPr="00B03A01">
              <w:t>Propositions pour les travaux de la conférence</w:t>
            </w:r>
          </w:p>
        </w:tc>
      </w:tr>
      <w:tr w:rsidR="00690C7B" w:rsidRPr="00B03A01" w14:paraId="6B719F73" w14:textId="77777777" w:rsidTr="0050008E">
        <w:trPr>
          <w:cantSplit/>
        </w:trPr>
        <w:tc>
          <w:tcPr>
            <w:tcW w:w="10031" w:type="dxa"/>
            <w:gridSpan w:val="2"/>
          </w:tcPr>
          <w:p w14:paraId="75918A40" w14:textId="77777777" w:rsidR="00690C7B" w:rsidRPr="00B03A01" w:rsidRDefault="00690C7B" w:rsidP="00B23B66">
            <w:pPr>
              <w:pStyle w:val="Title2"/>
              <w:spacing w:before="0"/>
            </w:pPr>
            <w:bookmarkStart w:id="5" w:name="dtitle2" w:colFirst="0" w:colLast="0"/>
            <w:bookmarkEnd w:id="4"/>
          </w:p>
        </w:tc>
      </w:tr>
      <w:tr w:rsidR="00690C7B" w:rsidRPr="00B03A01" w14:paraId="502444F7" w14:textId="77777777" w:rsidTr="0050008E">
        <w:trPr>
          <w:cantSplit/>
        </w:trPr>
        <w:tc>
          <w:tcPr>
            <w:tcW w:w="10031" w:type="dxa"/>
            <w:gridSpan w:val="2"/>
          </w:tcPr>
          <w:p w14:paraId="00FEF5B1" w14:textId="77777777" w:rsidR="00690C7B" w:rsidRPr="00B03A01" w:rsidRDefault="00690C7B" w:rsidP="0084434B">
            <w:pPr>
              <w:pStyle w:val="Agendaitem"/>
              <w:rPr>
                <w:lang w:val="fr-FR"/>
              </w:rPr>
            </w:pPr>
            <w:bookmarkStart w:id="6" w:name="dtitle3" w:colFirst="0" w:colLast="0"/>
            <w:bookmarkEnd w:id="5"/>
            <w:r w:rsidRPr="00B03A01">
              <w:rPr>
                <w:lang w:val="fr-FR"/>
              </w:rPr>
              <w:t>Point 9.3 de l'ordre du jour</w:t>
            </w:r>
          </w:p>
        </w:tc>
      </w:tr>
    </w:tbl>
    <w:bookmarkEnd w:id="6"/>
    <w:p w14:paraId="1A76A461" w14:textId="0C651EFF" w:rsidR="001C0E40" w:rsidRPr="00B03A01" w:rsidRDefault="002C6D4D" w:rsidP="00B23B66">
      <w:pPr>
        <w:pStyle w:val="Normalaftertitle"/>
        <w:spacing w:before="200"/>
      </w:pPr>
      <w:r w:rsidRPr="00B03A01">
        <w:t>9</w:t>
      </w:r>
      <w:r w:rsidRPr="00B03A01">
        <w:tab/>
        <w:t xml:space="preserve">examiner et approuver le </w:t>
      </w:r>
      <w:r w:rsidR="000A1F6D" w:rsidRPr="00B03A01">
        <w:t>R</w:t>
      </w:r>
      <w:r w:rsidRPr="00B03A01">
        <w:t>apport du Directeur du Bureau des radiocommunications, conformément à l'article 7 de la Convention:</w:t>
      </w:r>
    </w:p>
    <w:p w14:paraId="548CEAB7" w14:textId="6F18CFFD" w:rsidR="001C0E40" w:rsidRPr="00B03A01" w:rsidRDefault="002C6D4D" w:rsidP="0084434B">
      <w:r w:rsidRPr="00B03A01">
        <w:t>9.3</w:t>
      </w:r>
      <w:r w:rsidRPr="00B03A01">
        <w:tab/>
        <w:t>sur la suite donnée à la Résolution </w:t>
      </w:r>
      <w:r w:rsidRPr="00B03A01">
        <w:rPr>
          <w:b/>
          <w:bCs/>
        </w:rPr>
        <w:t>80 (Rév.CMR-07)</w:t>
      </w:r>
      <w:r w:rsidRPr="00B03A01">
        <w:t>;</w:t>
      </w:r>
    </w:p>
    <w:p w14:paraId="03FE9E2C" w14:textId="596FCA7C" w:rsidR="00074B97" w:rsidRPr="00B03A01" w:rsidRDefault="00074B97" w:rsidP="00B23B66">
      <w:pPr>
        <w:pStyle w:val="Headingb"/>
        <w:spacing w:line="235" w:lineRule="auto"/>
      </w:pPr>
      <w:r w:rsidRPr="00B03A01">
        <w:t>Suite donnée à la Résolution</w:t>
      </w:r>
      <w:r w:rsidR="0084434B" w:rsidRPr="00B03A01">
        <w:t xml:space="preserve"> </w:t>
      </w:r>
      <w:r w:rsidRPr="00B03A01">
        <w:t>80 (R</w:t>
      </w:r>
      <w:r w:rsidR="008D1DA0" w:rsidRPr="00B03A01">
        <w:t>é</w:t>
      </w:r>
      <w:r w:rsidRPr="00B03A01">
        <w:t>v.CMR-07) conformément au point 9.3</w:t>
      </w:r>
      <w:r w:rsidR="0084434B" w:rsidRPr="00B03A01">
        <w:t xml:space="preserve"> </w:t>
      </w:r>
      <w:r w:rsidRPr="00B03A01">
        <w:t>de l'ordre du jour de la</w:t>
      </w:r>
      <w:r w:rsidR="0084434B" w:rsidRPr="00B03A01">
        <w:t xml:space="preserve"> </w:t>
      </w:r>
      <w:r w:rsidRPr="00B03A01">
        <w:t>CMR</w:t>
      </w:r>
      <w:r w:rsidR="00B23B66" w:rsidRPr="00B03A01">
        <w:t>-</w:t>
      </w:r>
      <w:r w:rsidRPr="00B03A01">
        <w:t>19</w:t>
      </w:r>
      <w:r w:rsidR="0084434B" w:rsidRPr="00B03A01">
        <w:t xml:space="preserve"> </w:t>
      </w:r>
      <w:r w:rsidR="000A1F6D" w:rsidRPr="00B03A01">
        <w:t>–</w:t>
      </w:r>
      <w:r w:rsidRPr="00B03A01">
        <w:t xml:space="preserve"> Précision</w:t>
      </w:r>
      <w:r w:rsidR="008D1DA0" w:rsidRPr="00B03A01">
        <w:t>s</w:t>
      </w:r>
      <w:r w:rsidRPr="00B03A01">
        <w:t xml:space="preserve"> concernant les conditions et la portée de l'applicabilité du numéro</w:t>
      </w:r>
      <w:r w:rsidR="000A1F6D" w:rsidRPr="00B03A01">
        <w:t> </w:t>
      </w:r>
      <w:r w:rsidRPr="00B03A01">
        <w:t>13.6 du RR</w:t>
      </w:r>
    </w:p>
    <w:p w14:paraId="154E2589" w14:textId="22FED3A8" w:rsidR="00257C4E" w:rsidRPr="00B03A01" w:rsidRDefault="00257C4E" w:rsidP="00B23B66">
      <w:pPr>
        <w:spacing w:line="235" w:lineRule="auto"/>
      </w:pPr>
      <w:r w:rsidRPr="00B03A01">
        <w:t xml:space="preserve">L'application du numéro </w:t>
      </w:r>
      <w:r w:rsidRPr="00B03A01">
        <w:rPr>
          <w:b/>
          <w:bCs/>
        </w:rPr>
        <w:t>13.6</w:t>
      </w:r>
      <w:r w:rsidRPr="00B03A01">
        <w:t xml:space="preserve"> du RR, qui figure dans</w:t>
      </w:r>
      <w:r w:rsidR="0084434B" w:rsidRPr="00B03A01">
        <w:t xml:space="preserve"> </w:t>
      </w:r>
      <w:r w:rsidRPr="00B03A01">
        <w:t>la</w:t>
      </w:r>
      <w:r w:rsidR="0084434B" w:rsidRPr="00B03A01">
        <w:t xml:space="preserve"> </w:t>
      </w:r>
      <w:r w:rsidRPr="00B03A01">
        <w:t xml:space="preserve">Section II de l'Article </w:t>
      </w:r>
      <w:r w:rsidRPr="00B03A01">
        <w:rPr>
          <w:b/>
          <w:bCs/>
        </w:rPr>
        <w:t>13</w:t>
      </w:r>
      <w:r w:rsidR="0084434B" w:rsidRPr="00B03A01">
        <w:t xml:space="preserve"> </w:t>
      </w:r>
      <w:r w:rsidRPr="00B03A01">
        <w:t>intitulée «Tenue à jour du Fichier de référence et des Plans mondiaux par le Bureau»,</w:t>
      </w:r>
      <w:r w:rsidR="0084434B" w:rsidRPr="00B03A01">
        <w:t xml:space="preserve"> </w:t>
      </w:r>
      <w:r w:rsidRPr="00B03A01">
        <w:t>est</w:t>
      </w:r>
      <w:r w:rsidR="0084434B" w:rsidRPr="00B03A01">
        <w:t xml:space="preserve"> </w:t>
      </w:r>
      <w:r w:rsidRPr="00B03A01">
        <w:t>incontestablement l'un des fondements de la tenue à jour du Fichier de référence et des Plans mondiaux par le Bureau des radiocommunications</w:t>
      </w:r>
      <w:r w:rsidR="008D1DA0" w:rsidRPr="00B03A01">
        <w:t xml:space="preserve"> de l'UIT</w:t>
      </w:r>
      <w:r w:rsidRPr="00B03A01">
        <w:t>.</w:t>
      </w:r>
      <w:r w:rsidR="0084434B" w:rsidRPr="00B03A01">
        <w:t xml:space="preserve"> </w:t>
      </w:r>
      <w:r w:rsidRPr="00B03A01">
        <w:t xml:space="preserve">Conformément aux dispositions du numéro </w:t>
      </w:r>
      <w:r w:rsidRPr="00B03A01">
        <w:rPr>
          <w:b/>
          <w:bCs/>
        </w:rPr>
        <w:t>13.6</w:t>
      </w:r>
      <w:r w:rsidRPr="00B03A01">
        <w:t xml:space="preserve"> du Règlement des radiocommunications, le Bureau des radiocommunications (BR)</w:t>
      </w:r>
      <w:r w:rsidR="0084434B" w:rsidRPr="00B03A01">
        <w:t xml:space="preserve"> </w:t>
      </w:r>
      <w:r w:rsidRPr="00B03A01">
        <w:t>consulte</w:t>
      </w:r>
      <w:r w:rsidR="0084434B" w:rsidRPr="00B03A01">
        <w:t xml:space="preserve"> </w:t>
      </w:r>
      <w:r w:rsidRPr="00B03A01">
        <w:t>les administrations notificatrices</w:t>
      </w:r>
      <w:r w:rsidR="0084434B" w:rsidRPr="00B03A01">
        <w:t xml:space="preserve"> </w:t>
      </w:r>
      <w:r w:rsidRPr="00B03A01">
        <w:t>chaque fois qu'il apparaît, d'après les renseignements fiables disponibles, qu'une assignation inscrite n'a</w:t>
      </w:r>
      <w:r w:rsidR="0084434B" w:rsidRPr="00B03A01">
        <w:t xml:space="preserve"> </w:t>
      </w:r>
      <w:r w:rsidRPr="00B03A01">
        <w:t>pas été mise en service, n'est pas utilisée ou n'est</w:t>
      </w:r>
      <w:r w:rsidR="0084434B" w:rsidRPr="00B03A01">
        <w:t xml:space="preserve"> </w:t>
      </w:r>
      <w:r w:rsidRPr="00B03A01">
        <w:t>pas utilisée conformément aux assignations de fréquence notifiées.</w:t>
      </w:r>
    </w:p>
    <w:p w14:paraId="4C93BBE5" w14:textId="27259649" w:rsidR="00074B97" w:rsidRPr="00B03A01" w:rsidRDefault="00350239" w:rsidP="00B23B66">
      <w:pPr>
        <w:spacing w:line="235" w:lineRule="auto"/>
      </w:pPr>
      <w:r w:rsidRPr="00B03A01">
        <w:t xml:space="preserve">L'application du numéro </w:t>
      </w:r>
      <w:r w:rsidRPr="00B03A01">
        <w:rPr>
          <w:b/>
          <w:bCs/>
        </w:rPr>
        <w:t>13.6</w:t>
      </w:r>
      <w:r w:rsidRPr="00B03A01">
        <w:t xml:space="preserve"> du RR constitue indéniablement</w:t>
      </w:r>
      <w:r w:rsidR="0084434B" w:rsidRPr="00B03A01">
        <w:t xml:space="preserve"> </w:t>
      </w:r>
      <w:r w:rsidRPr="00B03A01">
        <w:t>un instrument important non seulement pour le BR, pour</w:t>
      </w:r>
      <w:r w:rsidR="0084434B" w:rsidRPr="00B03A01">
        <w:t xml:space="preserve"> </w:t>
      </w:r>
      <w:r w:rsidRPr="00B03A01">
        <w:t>vérifier que les assignations de fréquence inscrites dans le Fichier de référence international des fréquences correspondent à la réalité</w:t>
      </w:r>
      <w:r w:rsidR="0084434B" w:rsidRPr="00B03A01">
        <w:t>,</w:t>
      </w:r>
      <w:r w:rsidRPr="00B03A01">
        <w:t xml:space="preserve"> mais aussi pour les administrations lorsqu'elles planifient et mènent à bien leurs activités sur la base de l'application de ce numéro. Par conséquent, nous estimons que toute application et interprétation devrait également tenir compte de ces facteurs. Plus particulièrement,</w:t>
      </w:r>
      <w:r w:rsidR="0084434B" w:rsidRPr="00B03A01">
        <w:t xml:space="preserve"> </w:t>
      </w:r>
      <w:r w:rsidRPr="00B03A01">
        <w:t>si au moment de l'application du</w:t>
      </w:r>
      <w:r w:rsidR="0084434B" w:rsidRPr="00B03A01">
        <w:t xml:space="preserve"> </w:t>
      </w:r>
      <w:r w:rsidRPr="00B03A01">
        <w:t xml:space="preserve">numéro </w:t>
      </w:r>
      <w:r w:rsidRPr="00B03A01">
        <w:rPr>
          <w:b/>
          <w:bCs/>
        </w:rPr>
        <w:t xml:space="preserve">13.6 </w:t>
      </w:r>
      <w:r w:rsidRPr="00B03A01">
        <w:t>du RR, un satellite a utilisé les assignations notifiées en question, il ne devrait y avoir aucune raison de procéder à un examen historique au titre du</w:t>
      </w:r>
      <w:r w:rsidR="0084434B" w:rsidRPr="00B03A01">
        <w:t xml:space="preserve"> </w:t>
      </w:r>
      <w:r w:rsidRPr="00B03A01">
        <w:t xml:space="preserve">numéro </w:t>
      </w:r>
      <w:r w:rsidRPr="00B03A01">
        <w:rPr>
          <w:b/>
          <w:bCs/>
        </w:rPr>
        <w:t>13.6</w:t>
      </w:r>
      <w:r w:rsidRPr="00B03A01">
        <w:t xml:space="preserve"> du RR ou, si un tel examen est </w:t>
      </w:r>
      <w:r w:rsidR="008D1DA0" w:rsidRPr="00B03A01">
        <w:t>effectué</w:t>
      </w:r>
      <w:r w:rsidRPr="00B03A01">
        <w:t xml:space="preserve">, celui-ci devrait être assujetti à un délai pour des raisons précises </w:t>
      </w:r>
      <w:r w:rsidR="008D1DA0" w:rsidRPr="00B03A01">
        <w:t>qui sont</w:t>
      </w:r>
      <w:r w:rsidRPr="00B03A01">
        <w:t xml:space="preserve"> évidentes</w:t>
      </w:r>
      <w:r w:rsidR="0084434B" w:rsidRPr="00B03A01">
        <w:t xml:space="preserve"> </w:t>
      </w:r>
      <w:r w:rsidRPr="00B03A01">
        <w:t>et pour des raisons d'ordre pratique qu'il convient de prendre en considération</w:t>
      </w:r>
      <w:r w:rsidR="008D1DA0" w:rsidRPr="00B03A01">
        <w:t>,</w:t>
      </w:r>
      <w:r w:rsidRPr="00B03A01">
        <w:t xml:space="preserve"> </w:t>
      </w:r>
      <w:r w:rsidR="00754EB5" w:rsidRPr="00B03A01">
        <w:t>eu égard aux</w:t>
      </w:r>
      <w:r w:rsidR="00074B97" w:rsidRPr="00B03A01">
        <w:t xml:space="preserve"> conséquences possibles sur le double plan réglementaire et juridique</w:t>
      </w:r>
      <w:r w:rsidR="00754EB5" w:rsidRPr="00B03A01">
        <w:t>.</w:t>
      </w:r>
    </w:p>
    <w:p w14:paraId="00677996" w14:textId="4BE7158C" w:rsidR="00FF1E57" w:rsidRPr="00B03A01" w:rsidRDefault="00FF1E57" w:rsidP="00B23B66">
      <w:pPr>
        <w:spacing w:line="235" w:lineRule="auto"/>
        <w:rPr>
          <w:i/>
          <w:iCs/>
        </w:rPr>
      </w:pPr>
      <w:r w:rsidRPr="00B03A01">
        <w:rPr>
          <w:spacing w:val="-3"/>
        </w:rPr>
        <w:t>Nous tenons en tout premier lieu à nous reporter à la déclaration faite par le Chef du SSD lors de la 78</w:t>
      </w:r>
      <w:r w:rsidR="00B23B66" w:rsidRPr="00B03A01">
        <w:rPr>
          <w:spacing w:val="-3"/>
        </w:rPr>
        <w:t>èm</w:t>
      </w:r>
      <w:r w:rsidRPr="00B03A01">
        <w:rPr>
          <w:spacing w:val="-3"/>
        </w:rPr>
        <w:t xml:space="preserve">e réunion du RRB, selon laquelle: </w:t>
      </w:r>
      <w:r w:rsidRPr="00B03A01">
        <w:rPr>
          <w:i/>
          <w:iCs/>
          <w:spacing w:val="-3"/>
        </w:rPr>
        <w:t>«Pour ce qui est de l'examen avec effet rétroactif, la pratique</w:t>
      </w:r>
      <w:r w:rsidRPr="00B03A01">
        <w:rPr>
          <w:i/>
          <w:iCs/>
        </w:rPr>
        <w:t xml:space="preserve"> actuelle consiste à remonter à trois ans environ (durée de la période de suspension); il est difficile d'être certain de tous les faits lorsque l'on remonte plus loin</w:t>
      </w:r>
      <w:r w:rsidR="0084434B" w:rsidRPr="00B03A01">
        <w:rPr>
          <w:i/>
          <w:iCs/>
        </w:rPr>
        <w:t>.</w:t>
      </w:r>
      <w:r w:rsidRPr="00B03A01">
        <w:rPr>
          <w:i/>
          <w:iCs/>
        </w:rPr>
        <w:t xml:space="preserve"> Le Bureau accueillera volontiers toute </w:t>
      </w:r>
      <w:r w:rsidRPr="00B03A01">
        <w:rPr>
          <w:i/>
          <w:iCs/>
          <w:spacing w:val="-3"/>
        </w:rPr>
        <w:t>suggestion du Comité sur les améliorations qui pourraient être apportées à la méthodologie utilisée».</w:t>
      </w:r>
    </w:p>
    <w:p w14:paraId="1CB01A47" w14:textId="63D7CD76" w:rsidR="00FF1E57" w:rsidRPr="00B03A01" w:rsidRDefault="00FF1E57" w:rsidP="0084434B">
      <w:r w:rsidRPr="00B03A01">
        <w:lastRenderedPageBreak/>
        <w:t>En outre, nous estimons que toute tentative visant à faire remonter</w:t>
      </w:r>
      <w:r w:rsidR="0084434B" w:rsidRPr="00B03A01">
        <w:t xml:space="preserve"> </w:t>
      </w:r>
      <w:r w:rsidRPr="00B03A01">
        <w:t>l'examen au titre du</w:t>
      </w:r>
      <w:r w:rsidR="0084434B" w:rsidRPr="00B03A01">
        <w:t xml:space="preserve"> </w:t>
      </w:r>
      <w:r w:rsidRPr="00B03A01">
        <w:t xml:space="preserve">numéro </w:t>
      </w:r>
      <w:r w:rsidRPr="00B03A01">
        <w:rPr>
          <w:b/>
          <w:bCs/>
        </w:rPr>
        <w:t>13.6</w:t>
      </w:r>
      <w:r w:rsidRPr="00B03A01">
        <w:t xml:space="preserve"> du RR au-delà de trois ans et, d'une manière générale, à un</w:t>
      </w:r>
      <w:r w:rsidR="0084434B" w:rsidRPr="00B03A01">
        <w:t xml:space="preserve"> </w:t>
      </w:r>
      <w:r w:rsidRPr="00B03A01">
        <w:t>passé plus éloigné</w:t>
      </w:r>
      <w:r w:rsidR="00E97016" w:rsidRPr="00B03A01">
        <w:t>,</w:t>
      </w:r>
      <w:r w:rsidRPr="00B03A01">
        <w:t xml:space="preserve"> devrait tenir compte de certaines conséquences qui sont </w:t>
      </w:r>
      <w:r w:rsidR="00347722" w:rsidRPr="00B03A01">
        <w:t>décrites</w:t>
      </w:r>
      <w:r w:rsidRPr="00B03A01">
        <w:t xml:space="preserve"> dans le rapport sur la R</w:t>
      </w:r>
      <w:r w:rsidR="00347722" w:rsidRPr="00B03A01">
        <w:t>é</w:t>
      </w:r>
      <w:r w:rsidRPr="00B03A01">
        <w:t xml:space="preserve">solution </w:t>
      </w:r>
      <w:r w:rsidRPr="00B03A01">
        <w:rPr>
          <w:b/>
          <w:bCs/>
        </w:rPr>
        <w:t>80 (</w:t>
      </w:r>
      <w:r w:rsidRPr="00B03A01">
        <w:rPr>
          <w:b/>
        </w:rPr>
        <w:t>R</w:t>
      </w:r>
      <w:r w:rsidR="008D1DA0" w:rsidRPr="00B03A01">
        <w:rPr>
          <w:b/>
        </w:rPr>
        <w:t>é</w:t>
      </w:r>
      <w:r w:rsidRPr="00B03A01">
        <w:rPr>
          <w:b/>
        </w:rPr>
        <w:t>v.CMR-07)</w:t>
      </w:r>
      <w:r w:rsidR="0084434B" w:rsidRPr="00B03A01">
        <w:rPr>
          <w:b/>
        </w:rPr>
        <w:t xml:space="preserve"> </w:t>
      </w:r>
      <w:r w:rsidRPr="00B03A01">
        <w:t>à la</w:t>
      </w:r>
      <w:r w:rsidR="0084434B" w:rsidRPr="00B03A01">
        <w:t xml:space="preserve"> </w:t>
      </w:r>
      <w:r w:rsidRPr="00B03A01">
        <w:t>CMR-19 et rappelées ci-après à titre indicatif:</w:t>
      </w:r>
    </w:p>
    <w:p w14:paraId="35986BEF" w14:textId="1E3890A2" w:rsidR="00882019" w:rsidRPr="00B03A01" w:rsidRDefault="00FF1E57" w:rsidP="0084434B">
      <w:pPr>
        <w:pStyle w:val="enumlev1"/>
      </w:pPr>
      <w:r w:rsidRPr="00B03A01">
        <w:t>–</w:t>
      </w:r>
      <w:r w:rsidRPr="00B03A01">
        <w:tab/>
        <w:t xml:space="preserve">des demandes spécifiques sont </w:t>
      </w:r>
      <w:r w:rsidR="008D1DA0" w:rsidRPr="00B03A01">
        <w:t>présentées</w:t>
      </w:r>
      <w:r w:rsidRPr="00B03A01">
        <w:t xml:space="preserve"> par des administrations pour qu'un examen soit</w:t>
      </w:r>
      <w:r w:rsidR="0084434B" w:rsidRPr="00B03A01">
        <w:t xml:space="preserve"> </w:t>
      </w:r>
      <w:r w:rsidRPr="00B03A01">
        <w:t>entrepris au titre du</w:t>
      </w:r>
      <w:r w:rsidR="0084434B" w:rsidRPr="00B03A01">
        <w:t xml:space="preserve"> </w:t>
      </w:r>
      <w:r w:rsidRPr="00B03A01">
        <w:t xml:space="preserve">numéro </w:t>
      </w:r>
      <w:r w:rsidRPr="00B03A01">
        <w:rPr>
          <w:b/>
          <w:bCs/>
        </w:rPr>
        <w:t>13.6</w:t>
      </w:r>
      <w:r w:rsidRPr="00B03A01">
        <w:t xml:space="preserve"> du RR dans un passé éloigné concernant d'autres réseaux à satellite, au détriment d'autres administrations et d'autres réseaux à satellite qui sont bien souvent déjà utilisés, de sorte que les premières administrations ne tiennent pas compte des difficultés susceptibles d'apparaître lors des discussions relatives à la</w:t>
      </w:r>
      <w:r w:rsidR="0084434B" w:rsidRPr="00B03A01">
        <w:t xml:space="preserve"> </w:t>
      </w:r>
      <w:r w:rsidRPr="00B03A01">
        <w:t>coordination.</w:t>
      </w:r>
    </w:p>
    <w:p w14:paraId="0226589E" w14:textId="77777777" w:rsidR="00882019" w:rsidRPr="00B03A01" w:rsidRDefault="00882019" w:rsidP="0084434B">
      <w:pPr>
        <w:pStyle w:val="enumlev1"/>
      </w:pPr>
      <w:r w:rsidRPr="00B03A01">
        <w:t>–</w:t>
      </w:r>
      <w:r w:rsidRPr="00B03A01">
        <w:tab/>
        <w:t>Il se peut également que les administrations éprouvent des difficultés à fournir des éléments de preuve attestant qu'elles ont mis en service des assignations de fréquence, si le satellite initial utilisé à cette fin a été remplacé plusieurs années avant la date de l'examen.</w:t>
      </w:r>
    </w:p>
    <w:p w14:paraId="4E60B68D" w14:textId="0D089834" w:rsidR="00815379" w:rsidRPr="00B03A01" w:rsidRDefault="00815379" w:rsidP="0084434B">
      <w:pPr>
        <w:pStyle w:val="enumlev1"/>
      </w:pPr>
      <w:r w:rsidRPr="00B03A01">
        <w:t>–</w:t>
      </w:r>
      <w:r w:rsidRPr="00B03A01">
        <w:tab/>
        <w:t>Il existait des prescriptions réglementaires différentes et le BR suivait des pratiques différentes</w:t>
      </w:r>
      <w:r w:rsidR="0084434B" w:rsidRPr="00B03A01">
        <w:t xml:space="preserve"> </w:t>
      </w:r>
      <w:r w:rsidRPr="00B03A01">
        <w:t>lorsque</w:t>
      </w:r>
      <w:r w:rsidR="0084434B" w:rsidRPr="00B03A01">
        <w:t xml:space="preserve"> </w:t>
      </w:r>
      <w:r w:rsidR="00B460C3" w:rsidRPr="00B03A01">
        <w:t>les circonstances</w:t>
      </w:r>
      <w:r w:rsidRPr="00B03A01">
        <w:t xml:space="preserve"> visée</w:t>
      </w:r>
      <w:r w:rsidR="00B460C3" w:rsidRPr="00B03A01">
        <w:t>s</w:t>
      </w:r>
      <w:r w:rsidRPr="00B03A01">
        <w:t xml:space="preserve"> par l'examen </w:t>
      </w:r>
      <w:r w:rsidR="00B460C3" w:rsidRPr="00B03A01">
        <w:t xml:space="preserve">se sont </w:t>
      </w:r>
      <w:r w:rsidRPr="00B03A01">
        <w:t>produite</w:t>
      </w:r>
      <w:r w:rsidR="00B460C3" w:rsidRPr="00B03A01">
        <w:t>s</w:t>
      </w:r>
      <w:r w:rsidR="0084434B" w:rsidRPr="00B03A01">
        <w:t>.</w:t>
      </w:r>
    </w:p>
    <w:p w14:paraId="3A77FDAF" w14:textId="38B5A52D" w:rsidR="00815379" w:rsidRPr="00B03A01" w:rsidRDefault="00815379" w:rsidP="0084434B">
      <w:r w:rsidRPr="00B03A01">
        <w:rPr>
          <w:szCs w:val="24"/>
        </w:rPr>
        <w:t xml:space="preserve">En outre, il </w:t>
      </w:r>
      <w:r w:rsidR="00D738E8" w:rsidRPr="00B03A01">
        <w:rPr>
          <w:color w:val="000000"/>
        </w:rPr>
        <w:t>conviendrait d'appliquer le même traitement à</w:t>
      </w:r>
      <w:r w:rsidR="0084434B" w:rsidRPr="00B03A01">
        <w:rPr>
          <w:szCs w:val="24"/>
        </w:rPr>
        <w:t xml:space="preserve"> </w:t>
      </w:r>
      <w:r w:rsidRPr="00B03A01">
        <w:rPr>
          <w:szCs w:val="24"/>
        </w:rPr>
        <w:t>toutes les fiches de notification en ce qui concerne les examens effectués au titre du</w:t>
      </w:r>
      <w:r w:rsidR="0084434B" w:rsidRPr="00B03A01">
        <w:rPr>
          <w:szCs w:val="24"/>
        </w:rPr>
        <w:t xml:space="preserve"> </w:t>
      </w:r>
      <w:r w:rsidRPr="00B03A01">
        <w:rPr>
          <w:szCs w:val="24"/>
        </w:rPr>
        <w:t xml:space="preserve">numéro </w:t>
      </w:r>
      <w:r w:rsidRPr="00B03A01">
        <w:rPr>
          <w:b/>
          <w:bCs/>
          <w:szCs w:val="24"/>
        </w:rPr>
        <w:t>13.6</w:t>
      </w:r>
      <w:r w:rsidRPr="00B03A01">
        <w:rPr>
          <w:szCs w:val="24"/>
        </w:rPr>
        <w:t xml:space="preserve"> du RR, étant donné que le BR applique déjà une méthode qui consiste </w:t>
      </w:r>
      <w:r w:rsidRPr="00B03A01">
        <w:t>à remonter à trois ans au maximum pour ces examens</w:t>
      </w:r>
      <w:r w:rsidRPr="00B03A01">
        <w:rPr>
          <w:szCs w:val="24"/>
        </w:rPr>
        <w:t xml:space="preserve"> (ce qui correspond à la durée de la période de suspension conformément au numéro </w:t>
      </w:r>
      <w:r w:rsidRPr="00B03A01">
        <w:rPr>
          <w:b/>
          <w:szCs w:val="24"/>
        </w:rPr>
        <w:t xml:space="preserve">11.49 </w:t>
      </w:r>
      <w:r w:rsidRPr="00B03A01">
        <w:rPr>
          <w:bCs/>
          <w:szCs w:val="24"/>
        </w:rPr>
        <w:t>du</w:t>
      </w:r>
      <w:r w:rsidR="0084434B" w:rsidRPr="00B03A01">
        <w:rPr>
          <w:bCs/>
          <w:szCs w:val="24"/>
        </w:rPr>
        <w:t xml:space="preserve"> </w:t>
      </w:r>
      <w:r w:rsidRPr="00B03A01">
        <w:rPr>
          <w:szCs w:val="24"/>
        </w:rPr>
        <w:t>RR).</w:t>
      </w:r>
    </w:p>
    <w:p w14:paraId="40966F4B" w14:textId="5FF90EBB" w:rsidR="00882019" w:rsidRPr="00B03A01" w:rsidRDefault="00B460C3" w:rsidP="0084434B">
      <w:pPr>
        <w:rPr>
          <w:color w:val="000000"/>
        </w:rPr>
      </w:pPr>
      <w:r w:rsidRPr="00B03A01">
        <w:rPr>
          <w:color w:val="000000"/>
          <w:szCs w:val="24"/>
        </w:rPr>
        <w:t>En appliquant</w:t>
      </w:r>
      <w:r w:rsidR="0084434B" w:rsidRPr="00B03A01">
        <w:rPr>
          <w:color w:val="000000"/>
          <w:szCs w:val="24"/>
        </w:rPr>
        <w:t xml:space="preserve"> </w:t>
      </w:r>
      <w:r w:rsidRPr="00B03A01">
        <w:rPr>
          <w:color w:val="000000"/>
          <w:szCs w:val="24"/>
        </w:rPr>
        <w:t xml:space="preserve">le numéro </w:t>
      </w:r>
      <w:r w:rsidRPr="00B03A01">
        <w:rPr>
          <w:b/>
          <w:bCs/>
          <w:color w:val="000000"/>
          <w:szCs w:val="24"/>
        </w:rPr>
        <w:t>13.6</w:t>
      </w:r>
      <w:r w:rsidRPr="00B03A01">
        <w:rPr>
          <w:color w:val="000000"/>
          <w:szCs w:val="24"/>
        </w:rPr>
        <w:t xml:space="preserve"> </w:t>
      </w:r>
      <w:r w:rsidRPr="00B03A01">
        <w:rPr>
          <w:bCs/>
          <w:szCs w:val="24"/>
        </w:rPr>
        <w:t>du</w:t>
      </w:r>
      <w:r w:rsidR="0084434B" w:rsidRPr="00B03A01">
        <w:rPr>
          <w:b/>
          <w:szCs w:val="24"/>
        </w:rPr>
        <w:t xml:space="preserve"> </w:t>
      </w:r>
      <w:r w:rsidRPr="00B03A01">
        <w:rPr>
          <w:szCs w:val="24"/>
        </w:rPr>
        <w:t>RR</w:t>
      </w:r>
      <w:r w:rsidR="0084434B" w:rsidRPr="00B03A01">
        <w:rPr>
          <w:szCs w:val="24"/>
        </w:rPr>
        <w:t xml:space="preserve"> </w:t>
      </w:r>
      <w:r w:rsidRPr="00B03A01">
        <w:rPr>
          <w:szCs w:val="24"/>
        </w:rPr>
        <w:t>à des</w:t>
      </w:r>
      <w:r w:rsidR="0084434B" w:rsidRPr="00B03A01">
        <w:rPr>
          <w:szCs w:val="24"/>
        </w:rPr>
        <w:t xml:space="preserve"> </w:t>
      </w:r>
      <w:r w:rsidRPr="00B03A01">
        <w:rPr>
          <w:color w:val="000000"/>
          <w:szCs w:val="24"/>
        </w:rPr>
        <w:t>circonstances qui ont pu prévaloir dans un passé éloigné, on</w:t>
      </w:r>
      <w:r w:rsidR="00815379" w:rsidRPr="00B03A01">
        <w:rPr>
          <w:color w:val="000000"/>
          <w:szCs w:val="24"/>
        </w:rPr>
        <w:t xml:space="preserve"> </w:t>
      </w:r>
      <w:r w:rsidRPr="00B03A01">
        <w:rPr>
          <w:color w:val="000000"/>
          <w:szCs w:val="24"/>
        </w:rPr>
        <w:t>risque d’ouvrir</w:t>
      </w:r>
      <w:r w:rsidR="0084434B" w:rsidRPr="00B03A01">
        <w:rPr>
          <w:color w:val="000000"/>
        </w:rPr>
        <w:t xml:space="preserve"> </w:t>
      </w:r>
      <w:r w:rsidRPr="00B03A01">
        <w:rPr>
          <w:color w:val="000000"/>
        </w:rPr>
        <w:t xml:space="preserve">une </w:t>
      </w:r>
      <w:r w:rsidR="008D1DA0" w:rsidRPr="00B03A01">
        <w:rPr>
          <w:color w:val="000000"/>
        </w:rPr>
        <w:t>«</w:t>
      </w:r>
      <w:r w:rsidRPr="00B03A01">
        <w:rPr>
          <w:color w:val="000000"/>
        </w:rPr>
        <w:t>boîte de Pandore</w:t>
      </w:r>
      <w:r w:rsidR="008D1DA0" w:rsidRPr="00B03A01">
        <w:rPr>
          <w:color w:val="000000"/>
        </w:rPr>
        <w:t>»</w:t>
      </w:r>
      <w:r w:rsidR="0084434B" w:rsidRPr="00B03A01">
        <w:rPr>
          <w:color w:val="000000"/>
          <w:szCs w:val="24"/>
        </w:rPr>
        <w:t xml:space="preserve"> </w:t>
      </w:r>
      <w:r w:rsidRPr="00B03A01">
        <w:rPr>
          <w:color w:val="000000"/>
          <w:szCs w:val="24"/>
        </w:rPr>
        <w:t xml:space="preserve">pour de nombreux réseaux à satellite et de soulever des problèmes quant à la validité </w:t>
      </w:r>
      <w:r w:rsidR="000E231E" w:rsidRPr="00B03A01">
        <w:rPr>
          <w:color w:val="000000"/>
        </w:rPr>
        <w:t>des données figurant dans le Fichier de référence international des fréquences</w:t>
      </w:r>
      <w:r w:rsidR="00CF4CE8" w:rsidRPr="00B03A01">
        <w:rPr>
          <w:color w:val="000000"/>
        </w:rPr>
        <w:t>. Nous sommes convaincus qu’il conviendrait de mettre en place un cadre précis indiquant les bases sur lesquelles un</w:t>
      </w:r>
      <w:r w:rsidR="000E231E" w:rsidRPr="00B03A01">
        <w:rPr>
          <w:color w:val="000000"/>
        </w:rPr>
        <w:t xml:space="preserve"> </w:t>
      </w:r>
      <w:r w:rsidR="00CF4CE8" w:rsidRPr="00B03A01">
        <w:rPr>
          <w:color w:val="000000"/>
        </w:rPr>
        <w:t>examen devrait être effectué</w:t>
      </w:r>
      <w:r w:rsidR="0084434B" w:rsidRPr="00B03A01">
        <w:rPr>
          <w:color w:val="000000"/>
        </w:rPr>
        <w:t xml:space="preserve"> </w:t>
      </w:r>
      <w:r w:rsidR="00CF4CE8" w:rsidRPr="00B03A01">
        <w:rPr>
          <w:color w:val="000000"/>
        </w:rPr>
        <w:t xml:space="preserve">au titre du numéro </w:t>
      </w:r>
      <w:r w:rsidR="00CF4CE8" w:rsidRPr="00B03A01">
        <w:rPr>
          <w:b/>
          <w:bCs/>
          <w:color w:val="000000"/>
        </w:rPr>
        <w:t>13.6</w:t>
      </w:r>
      <w:r w:rsidR="00CF4CE8" w:rsidRPr="00B03A01">
        <w:rPr>
          <w:color w:val="000000"/>
        </w:rPr>
        <w:t xml:space="preserve"> du RR</w:t>
      </w:r>
      <w:r w:rsidR="0084434B" w:rsidRPr="00B03A01">
        <w:rPr>
          <w:color w:val="000000"/>
        </w:rPr>
        <w:t>,</w:t>
      </w:r>
      <w:r w:rsidR="00CF4CE8" w:rsidRPr="00B03A01">
        <w:rPr>
          <w:color w:val="000000"/>
        </w:rPr>
        <w:t xml:space="preserve"> de manière à définir les conditions applicables à un tel examen et, surtout, les limites de temps à prévoir à cette fin.</w:t>
      </w:r>
    </w:p>
    <w:p w14:paraId="66385A7F" w14:textId="51AD9DC3" w:rsidR="00882019" w:rsidRPr="00B03A01" w:rsidRDefault="00CF4CE8" w:rsidP="0084434B">
      <w:r w:rsidRPr="00B03A01">
        <w:t>Un grand nombre de pays souscrivent déjà</w:t>
      </w:r>
      <w:r w:rsidR="0084434B" w:rsidRPr="00B03A01">
        <w:t xml:space="preserve"> </w:t>
      </w:r>
      <w:r w:rsidRPr="00B03A01">
        <w:t>à une initiative dans ce sens et ont soumis des contributions sur cette question à la</w:t>
      </w:r>
      <w:r w:rsidR="0084434B" w:rsidRPr="00B03A01">
        <w:t xml:space="preserve"> </w:t>
      </w:r>
      <w:r w:rsidR="00882019" w:rsidRPr="00B03A01">
        <w:t>81</w:t>
      </w:r>
      <w:r w:rsidRPr="00B03A01">
        <w:t>ème réunion du</w:t>
      </w:r>
      <w:r w:rsidR="0084434B" w:rsidRPr="00B03A01">
        <w:t xml:space="preserve"> </w:t>
      </w:r>
      <w:r w:rsidRPr="00B03A01">
        <w:rPr>
          <w:color w:val="000000"/>
        </w:rPr>
        <w:t>Comité du Règlement des radiocommunications tenue du 15</w:t>
      </w:r>
      <w:r w:rsidR="0084434B" w:rsidRPr="00B03A01">
        <w:rPr>
          <w:color w:val="000000"/>
        </w:rPr>
        <w:t xml:space="preserve"> </w:t>
      </w:r>
      <w:r w:rsidRPr="00B03A01">
        <w:rPr>
          <w:color w:val="000000"/>
        </w:rPr>
        <w:t xml:space="preserve">au 19 juillet 2019, en proposant que l’application du numéro </w:t>
      </w:r>
      <w:r w:rsidRPr="00B03A01">
        <w:rPr>
          <w:b/>
          <w:bCs/>
          <w:color w:val="000000"/>
        </w:rPr>
        <w:t>13.6</w:t>
      </w:r>
      <w:r w:rsidRPr="00B03A01">
        <w:rPr>
          <w:color w:val="000000"/>
        </w:rPr>
        <w:t xml:space="preserve"> du RR </w:t>
      </w:r>
      <w:r w:rsidR="00E317A7" w:rsidRPr="00B03A01">
        <w:rPr>
          <w:color w:val="000000"/>
        </w:rPr>
        <w:t xml:space="preserve">dans le passé </w:t>
      </w:r>
      <w:r w:rsidRPr="00B03A01">
        <w:rPr>
          <w:color w:val="000000"/>
        </w:rPr>
        <w:t>soit assujettie à une limite de temps précise</w:t>
      </w:r>
      <w:r w:rsidR="0084434B" w:rsidRPr="00B03A01">
        <w:rPr>
          <w:color w:val="000000"/>
        </w:rPr>
        <w:t xml:space="preserve"> </w:t>
      </w:r>
      <w:r w:rsidR="00882019" w:rsidRPr="00B03A01">
        <w:t>(</w:t>
      </w:r>
      <w:r w:rsidR="004712B9" w:rsidRPr="00B03A01">
        <w:t>voir par exemple les</w:t>
      </w:r>
      <w:r w:rsidR="0084434B" w:rsidRPr="00B03A01">
        <w:t xml:space="preserve"> </w:t>
      </w:r>
      <w:r w:rsidR="00882019" w:rsidRPr="00B03A01">
        <w:t>Document</w:t>
      </w:r>
      <w:r w:rsidR="004712B9" w:rsidRPr="00B03A01">
        <w:t>s</w:t>
      </w:r>
      <w:r w:rsidR="00882019" w:rsidRPr="00B03A01">
        <w:t xml:space="preserve"> RRB19-2/12</w:t>
      </w:r>
      <w:r w:rsidR="004712B9" w:rsidRPr="00B03A01">
        <w:t xml:space="preserve"> et </w:t>
      </w:r>
      <w:r w:rsidR="00882019" w:rsidRPr="00B03A01">
        <w:t>RRB19-2/10).</w:t>
      </w:r>
    </w:p>
    <w:p w14:paraId="1AF4BA91" w14:textId="30B7CF8A" w:rsidR="00882019" w:rsidRPr="00B03A01" w:rsidRDefault="00077CB2" w:rsidP="0084434B">
      <w:r w:rsidRPr="00B03A01">
        <w:t>Nous considérons que</w:t>
      </w:r>
      <w:r w:rsidR="00B23B66" w:rsidRPr="00B03A01">
        <w:t>,</w:t>
      </w:r>
      <w:r w:rsidRPr="00B03A01">
        <w:t xml:space="preserve"> dans le cadre des travaux de la</w:t>
      </w:r>
      <w:r w:rsidR="0084434B" w:rsidRPr="00B03A01">
        <w:t xml:space="preserve"> </w:t>
      </w:r>
      <w:r w:rsidRPr="00B03A01">
        <w:t>CMR</w:t>
      </w:r>
      <w:r w:rsidR="00882019" w:rsidRPr="00B03A01">
        <w:t xml:space="preserve">-19, </w:t>
      </w:r>
      <w:r w:rsidRPr="00B03A01">
        <w:t>il y a lieu de concevoir une approche commune et d’élaborer un ensemble de</w:t>
      </w:r>
      <w:r w:rsidR="0084434B" w:rsidRPr="00B03A01">
        <w:t xml:space="preserve"> </w:t>
      </w:r>
      <w:r w:rsidR="00882019" w:rsidRPr="00B03A01">
        <w:t>recomm</w:t>
      </w:r>
      <w:r w:rsidRPr="00B03A01">
        <w:t>a</w:t>
      </w:r>
      <w:r w:rsidR="00882019" w:rsidRPr="00B03A01">
        <w:t xml:space="preserve">ndations </w:t>
      </w:r>
      <w:r w:rsidRPr="00B03A01">
        <w:t>à l’intention du</w:t>
      </w:r>
      <w:r w:rsidR="0084434B" w:rsidRPr="00B03A01">
        <w:t xml:space="preserve"> </w:t>
      </w:r>
      <w:r w:rsidR="00882019" w:rsidRPr="00B03A01">
        <w:t>Bureau</w:t>
      </w:r>
      <w:r w:rsidRPr="00B03A01">
        <w:t xml:space="preserve"> et du Comité pour </w:t>
      </w:r>
      <w:r w:rsidR="00E317A7" w:rsidRPr="00B03A01">
        <w:t>le traitement des</w:t>
      </w:r>
      <w:r w:rsidRPr="00B03A01">
        <w:t xml:space="preserve"> différents cas qui</w:t>
      </w:r>
      <w:r w:rsidR="0084434B" w:rsidRPr="00B03A01">
        <w:t xml:space="preserve"> </w:t>
      </w:r>
      <w:r w:rsidRPr="00B03A01">
        <w:t>sont apparus en ce qui concerne</w:t>
      </w:r>
      <w:r w:rsidR="0084434B" w:rsidRPr="00B03A01">
        <w:t xml:space="preserve"> </w:t>
      </w:r>
      <w:r w:rsidRPr="00B03A01">
        <w:t xml:space="preserve">le </w:t>
      </w:r>
      <w:r w:rsidRPr="00B03A01">
        <w:rPr>
          <w:color w:val="000000"/>
        </w:rPr>
        <w:t xml:space="preserve">numéro </w:t>
      </w:r>
      <w:r w:rsidRPr="00B03A01">
        <w:rPr>
          <w:b/>
          <w:bCs/>
          <w:color w:val="000000"/>
        </w:rPr>
        <w:t>13.6</w:t>
      </w:r>
      <w:r w:rsidRPr="00B03A01">
        <w:rPr>
          <w:color w:val="000000"/>
        </w:rPr>
        <w:t xml:space="preserve"> du RR</w:t>
      </w:r>
      <w:r w:rsidR="00882019" w:rsidRPr="00B03A01">
        <w:t xml:space="preserve">. </w:t>
      </w:r>
      <w:r w:rsidRPr="00B03A01">
        <w:t>En conséquence, il est proposé que la CMR-19</w:t>
      </w:r>
      <w:r w:rsidR="0084434B" w:rsidRPr="00B03A01">
        <w:t xml:space="preserve"> </w:t>
      </w:r>
      <w:r w:rsidRPr="00B03A01">
        <w:t>prenne des décisions et fournisse</w:t>
      </w:r>
      <w:r w:rsidR="0084434B" w:rsidRPr="00B03A01">
        <w:t xml:space="preserve"> </w:t>
      </w:r>
      <w:r w:rsidRPr="00B03A01">
        <w:t xml:space="preserve">des orientations au Comité, comme cela est </w:t>
      </w:r>
      <w:r w:rsidR="00E317A7" w:rsidRPr="00B03A01">
        <w:t>demandé</w:t>
      </w:r>
      <w:r w:rsidRPr="00B03A01">
        <w:t xml:space="preserve"> dans le rapport sur la Résolution </w:t>
      </w:r>
      <w:r w:rsidRPr="00B03A01">
        <w:rPr>
          <w:b/>
        </w:rPr>
        <w:t xml:space="preserve">80, </w:t>
      </w:r>
      <w:r w:rsidR="00E317A7" w:rsidRPr="00B03A01">
        <w:t>au sujet des</w:t>
      </w:r>
      <w:r w:rsidRPr="00B03A01">
        <w:t xml:space="preserve"> aspects pratiques liées à</w:t>
      </w:r>
      <w:r w:rsidR="0084434B" w:rsidRPr="00B03A01">
        <w:t xml:space="preserve"> </w:t>
      </w:r>
      <w:r w:rsidRPr="00B03A01">
        <w:t xml:space="preserve">l'application du numéro </w:t>
      </w:r>
      <w:r w:rsidRPr="00B03A01">
        <w:rPr>
          <w:b/>
          <w:bCs/>
        </w:rPr>
        <w:t xml:space="preserve">13.6 </w:t>
      </w:r>
      <w:r w:rsidRPr="00B03A01">
        <w:t>du RR dans un passé éloigné, en tenant compte des lignes directrices ci-après:</w:t>
      </w:r>
    </w:p>
    <w:p w14:paraId="39A60CE4" w14:textId="39C55326" w:rsidR="00882019" w:rsidRPr="00B03A01" w:rsidRDefault="00882019" w:rsidP="0084434B">
      <w:pPr>
        <w:pStyle w:val="enumlev1"/>
      </w:pPr>
      <w:r w:rsidRPr="00B03A01">
        <w:t>•</w:t>
      </w:r>
      <w:r w:rsidRPr="00B03A01">
        <w:tab/>
      </w:r>
      <w:r w:rsidR="00164D75" w:rsidRPr="00B03A01">
        <w:t xml:space="preserve">Lorsque le BR reçoit des demandes d'administrations l'invitant à procéder à un examen concernant des réseaux au titre du numéro </w:t>
      </w:r>
      <w:r w:rsidR="00164D75" w:rsidRPr="00B03A01">
        <w:rPr>
          <w:b/>
          <w:bCs/>
        </w:rPr>
        <w:t>13.6</w:t>
      </w:r>
      <w:r w:rsidR="00164D75" w:rsidRPr="00B03A01">
        <w:t xml:space="preserve"> du RR, il ne devrait pas procéder à un tel examen si</w:t>
      </w:r>
      <w:r w:rsidR="0084434B" w:rsidRPr="00B03A01">
        <w:t>,</w:t>
      </w:r>
      <w:r w:rsidR="00164D75" w:rsidRPr="00B03A01">
        <w:t xml:space="preserve"> lorsque cette demande est</w:t>
      </w:r>
      <w:r w:rsidR="0084434B" w:rsidRPr="00B03A01">
        <w:t xml:space="preserve"> </w:t>
      </w:r>
      <w:r w:rsidR="00164D75" w:rsidRPr="00B03A01">
        <w:t>reçue,</w:t>
      </w:r>
      <w:r w:rsidR="0084434B" w:rsidRPr="00B03A01">
        <w:t xml:space="preserve"> </w:t>
      </w:r>
      <w:r w:rsidR="00164D75" w:rsidRPr="00B03A01">
        <w:t>il a déjà effectué son propre examen et est déjà parvenu à des conclusions quant au statut du réseau et a communiqué ses décisions à l'administration concernée, laquelle s'est appuyée</w:t>
      </w:r>
      <w:r w:rsidR="0084434B" w:rsidRPr="00B03A01">
        <w:t xml:space="preserve"> </w:t>
      </w:r>
      <w:r w:rsidR="00164D75" w:rsidRPr="00B03A01">
        <w:t>sur ces décisions pour mener à bien des activités nécessitant</w:t>
      </w:r>
      <w:r w:rsidR="0084434B" w:rsidRPr="00B03A01">
        <w:t xml:space="preserve"> </w:t>
      </w:r>
      <w:r w:rsidR="00164D75" w:rsidRPr="00B03A01">
        <w:t>des dépenses et</w:t>
      </w:r>
      <w:r w:rsidR="0084434B" w:rsidRPr="00B03A01">
        <w:t xml:space="preserve"> </w:t>
      </w:r>
      <w:r w:rsidR="00164D75" w:rsidRPr="00B03A01">
        <w:t>des investissements importants et supposant une planification à long terme.</w:t>
      </w:r>
    </w:p>
    <w:p w14:paraId="324953DB" w14:textId="6213AEBF" w:rsidR="00882019" w:rsidRPr="00B03A01" w:rsidRDefault="00882019" w:rsidP="0084434B">
      <w:pPr>
        <w:pStyle w:val="enumlev1"/>
      </w:pPr>
      <w:r w:rsidRPr="00B03A01">
        <w:lastRenderedPageBreak/>
        <w:t>•</w:t>
      </w:r>
      <w:r w:rsidRPr="00B03A01">
        <w:tab/>
      </w:r>
      <w:r w:rsidR="00666ECD" w:rsidRPr="00B03A01">
        <w:t xml:space="preserve">Le numéro </w:t>
      </w:r>
      <w:r w:rsidR="00666ECD" w:rsidRPr="00B03A01">
        <w:rPr>
          <w:b/>
          <w:bCs/>
        </w:rPr>
        <w:t>13.6</w:t>
      </w:r>
      <w:r w:rsidR="00666ECD" w:rsidRPr="00B03A01">
        <w:t xml:space="preserve"> du RR ne devrait pas être appliqué à des</w:t>
      </w:r>
      <w:r w:rsidR="0084434B" w:rsidRPr="00B03A01">
        <w:t xml:space="preserve"> </w:t>
      </w:r>
      <w:r w:rsidR="00666ECD" w:rsidRPr="00B03A01">
        <w:t>circonstances qui ont pu prévaloir dans un passé éloigné,</w:t>
      </w:r>
      <w:r w:rsidR="0084434B" w:rsidRPr="00B03A01">
        <w:t xml:space="preserve"> </w:t>
      </w:r>
      <w:r w:rsidR="00666ECD" w:rsidRPr="00B03A01">
        <w:t>dans les cas o</w:t>
      </w:r>
      <w:r w:rsidR="00E317A7" w:rsidRPr="00B03A01">
        <w:t>ù</w:t>
      </w:r>
      <w:r w:rsidR="00666ECD" w:rsidRPr="00B03A01">
        <w:t xml:space="preserve"> les administrations avaient</w:t>
      </w:r>
      <w:r w:rsidR="0084434B" w:rsidRPr="00B03A01">
        <w:t xml:space="preserve"> </w:t>
      </w:r>
      <w:r w:rsidR="00666ECD" w:rsidRPr="00B03A01">
        <w:t>mené à bien avec succès toutes les procédures</w:t>
      </w:r>
      <w:r w:rsidR="0084434B" w:rsidRPr="00B03A01">
        <w:t xml:space="preserve"> </w:t>
      </w:r>
      <w:r w:rsidR="00666ECD" w:rsidRPr="00B03A01">
        <w:t>réglementaires obligatoires</w:t>
      </w:r>
      <w:r w:rsidR="0084434B" w:rsidRPr="00B03A01">
        <w:t xml:space="preserve"> </w:t>
      </w:r>
      <w:r w:rsidR="00666ECD" w:rsidRPr="00B03A01">
        <w:t>qui existaient à cette époque et o</w:t>
      </w:r>
      <w:r w:rsidR="00E317A7" w:rsidRPr="00B03A01">
        <w:t>ù</w:t>
      </w:r>
      <w:r w:rsidR="00666ECD" w:rsidRPr="00B03A01">
        <w:t xml:space="preserve"> le</w:t>
      </w:r>
      <w:r w:rsidR="0084434B" w:rsidRPr="00B03A01">
        <w:t xml:space="preserve"> </w:t>
      </w:r>
      <w:r w:rsidR="00666ECD" w:rsidRPr="00B03A01">
        <w:t>réseau</w:t>
      </w:r>
      <w:r w:rsidR="0084434B" w:rsidRPr="00B03A01">
        <w:t xml:space="preserve"> </w:t>
      </w:r>
      <w:r w:rsidR="00666ECD" w:rsidRPr="00B03A01">
        <w:t>à satellite</w:t>
      </w:r>
      <w:r w:rsidR="0084434B" w:rsidRPr="00B03A01">
        <w:t xml:space="preserve"> </w:t>
      </w:r>
      <w:r w:rsidR="00666ECD" w:rsidRPr="00B03A01">
        <w:t>concerné est actuellement utilisé</w:t>
      </w:r>
      <w:r w:rsidR="0084434B" w:rsidRPr="00B03A01">
        <w:t xml:space="preserve"> </w:t>
      </w:r>
      <w:r w:rsidR="00666ECD" w:rsidRPr="00B03A01">
        <w:t>par</w:t>
      </w:r>
      <w:r w:rsidR="0084434B" w:rsidRPr="00B03A01">
        <w:t xml:space="preserve"> </w:t>
      </w:r>
      <w:r w:rsidR="00666ECD" w:rsidRPr="00B03A01">
        <w:t>un satellite en service</w:t>
      </w:r>
      <w:r w:rsidR="0084434B" w:rsidRPr="00B03A01">
        <w:t>,</w:t>
      </w:r>
      <w:r w:rsidR="00666ECD" w:rsidRPr="00B03A01">
        <w:t xml:space="preserve"> de sorte que l'application du numéro </w:t>
      </w:r>
      <w:r w:rsidR="00666ECD" w:rsidRPr="00B03A01">
        <w:rPr>
          <w:b/>
          <w:bCs/>
        </w:rPr>
        <w:t>13.6</w:t>
      </w:r>
      <w:r w:rsidR="00666ECD" w:rsidRPr="00B03A01">
        <w:t xml:space="preserve"> du RR devrait reposer principalement sur l'utilisation actuelle</w:t>
      </w:r>
      <w:r w:rsidR="0084434B" w:rsidRPr="00B03A01">
        <w:t>,</w:t>
      </w:r>
      <w:r w:rsidR="00666ECD" w:rsidRPr="00B03A01">
        <w:t xml:space="preserve"> comme</w:t>
      </w:r>
      <w:r w:rsidR="0084434B" w:rsidRPr="00B03A01">
        <w:t xml:space="preserve"> </w:t>
      </w:r>
      <w:r w:rsidR="00666ECD" w:rsidRPr="00B03A01">
        <w:t>indiqué dans le rapport du RRB</w:t>
      </w:r>
      <w:r w:rsidR="0084434B" w:rsidRPr="00B03A01">
        <w:t xml:space="preserve"> </w:t>
      </w:r>
      <w:r w:rsidR="00666ECD" w:rsidRPr="00B03A01">
        <w:t>à la CMR-15 sur la</w:t>
      </w:r>
      <w:r w:rsidR="0084434B" w:rsidRPr="00B03A01">
        <w:t xml:space="preserve"> </w:t>
      </w:r>
      <w:r w:rsidR="00666ECD" w:rsidRPr="00B03A01">
        <w:t xml:space="preserve">Résolution </w:t>
      </w:r>
      <w:r w:rsidR="00666ECD" w:rsidRPr="00B03A01">
        <w:rPr>
          <w:b/>
          <w:bCs/>
        </w:rPr>
        <w:t>80 (R</w:t>
      </w:r>
      <w:r w:rsidR="00E317A7" w:rsidRPr="00B03A01">
        <w:rPr>
          <w:b/>
          <w:bCs/>
        </w:rPr>
        <w:t>é</w:t>
      </w:r>
      <w:r w:rsidR="00666ECD" w:rsidRPr="00B03A01">
        <w:rPr>
          <w:b/>
          <w:bCs/>
        </w:rPr>
        <w:t>v.CMR-07)</w:t>
      </w:r>
      <w:r w:rsidR="00666ECD" w:rsidRPr="00B03A01">
        <w:t>.</w:t>
      </w:r>
    </w:p>
    <w:p w14:paraId="4222C7E8" w14:textId="2823BC57" w:rsidR="00882019" w:rsidRPr="00B03A01" w:rsidRDefault="00882019" w:rsidP="0084434B">
      <w:pPr>
        <w:pStyle w:val="enumlev1"/>
        <w:rPr>
          <w:rStyle w:val="ECCHLbold"/>
          <w:szCs w:val="24"/>
        </w:rPr>
      </w:pPr>
      <w:r w:rsidRPr="00B03A01">
        <w:rPr>
          <w:rStyle w:val="ECCHLbold"/>
          <w:szCs w:val="24"/>
        </w:rPr>
        <w:t>•</w:t>
      </w:r>
      <w:r w:rsidRPr="00B03A01">
        <w:rPr>
          <w:rStyle w:val="ECCHLbold"/>
          <w:szCs w:val="24"/>
        </w:rPr>
        <w:tab/>
      </w:r>
      <w:r w:rsidR="00C515A1" w:rsidRPr="00B03A01">
        <w:rPr>
          <w:rStyle w:val="ECCHLbold"/>
          <w:szCs w:val="24"/>
        </w:rPr>
        <w:t>L’examen au titre du numéro 13.6 du RR devrait</w:t>
      </w:r>
      <w:r w:rsidR="0084434B" w:rsidRPr="00B03A01">
        <w:rPr>
          <w:rStyle w:val="ECCHLbold"/>
          <w:szCs w:val="24"/>
        </w:rPr>
        <w:t xml:space="preserve"> </w:t>
      </w:r>
      <w:r w:rsidR="00C515A1" w:rsidRPr="00B03A01">
        <w:rPr>
          <w:rStyle w:val="ECCHLbold"/>
          <w:szCs w:val="24"/>
        </w:rPr>
        <w:t>remonter jusqu'à trois ans au maximum,</w:t>
      </w:r>
      <w:r w:rsidR="00C515A1" w:rsidRPr="00B03A01">
        <w:rPr>
          <w:b/>
          <w:bCs/>
        </w:rPr>
        <w:t xml:space="preserve"> ce qui est conforme à la pratique actuelle du BR et devrait s'appliquer </w:t>
      </w:r>
      <w:r w:rsidR="00E317A7" w:rsidRPr="00B03A01">
        <w:rPr>
          <w:b/>
          <w:bCs/>
        </w:rPr>
        <w:t xml:space="preserve">mutatis mutandis </w:t>
      </w:r>
      <w:r w:rsidR="00C515A1" w:rsidRPr="00B03A01">
        <w:rPr>
          <w:b/>
          <w:bCs/>
        </w:rPr>
        <w:t>à toutes les Administrations, conformément au</w:t>
      </w:r>
      <w:r w:rsidR="0084434B" w:rsidRPr="00B03A01">
        <w:rPr>
          <w:b/>
          <w:bCs/>
        </w:rPr>
        <w:t xml:space="preserve"> </w:t>
      </w:r>
      <w:r w:rsidR="00C515A1" w:rsidRPr="00B03A01">
        <w:rPr>
          <w:b/>
          <w:bCs/>
        </w:rPr>
        <w:t>principe international de l'égalité de traitement.</w:t>
      </w:r>
    </w:p>
    <w:p w14:paraId="4B5BF6D5" w14:textId="631D6956" w:rsidR="00882019" w:rsidRPr="00B03A01" w:rsidRDefault="002B3C4D" w:rsidP="0084434B">
      <w:pPr>
        <w:keepNext/>
        <w:keepLines/>
        <w:rPr>
          <w:szCs w:val="24"/>
        </w:rPr>
      </w:pPr>
      <w:r w:rsidRPr="00B03A01">
        <w:rPr>
          <w:szCs w:val="24"/>
        </w:rPr>
        <w:t>Enfin, nous sommes convaincus que l'adoption d'une approche commune faciliterait les travaux du</w:t>
      </w:r>
      <w:r w:rsidR="0084434B" w:rsidRPr="00B03A01">
        <w:rPr>
          <w:szCs w:val="24"/>
        </w:rPr>
        <w:t xml:space="preserve"> </w:t>
      </w:r>
      <w:r w:rsidRPr="00B03A01">
        <w:rPr>
          <w:szCs w:val="24"/>
        </w:rPr>
        <w:t>BR</w:t>
      </w:r>
      <w:r w:rsidR="0084434B" w:rsidRPr="00B03A01">
        <w:rPr>
          <w:szCs w:val="24"/>
        </w:rPr>
        <w:t xml:space="preserve"> </w:t>
      </w:r>
      <w:r w:rsidRPr="00B03A01">
        <w:rPr>
          <w:szCs w:val="24"/>
        </w:rPr>
        <w:t xml:space="preserve">et du RRB, et aiderait ainsi les administrations à </w:t>
      </w:r>
      <w:r w:rsidR="00E317A7" w:rsidRPr="00B03A01">
        <w:rPr>
          <w:szCs w:val="24"/>
        </w:rPr>
        <w:t>bien</w:t>
      </w:r>
      <w:r w:rsidRPr="00B03A01">
        <w:rPr>
          <w:szCs w:val="24"/>
        </w:rPr>
        <w:t xml:space="preserve"> comprendre les mesures prises par le Bureau</w:t>
      </w:r>
      <w:r w:rsidR="0084434B" w:rsidRPr="00B03A01">
        <w:rPr>
          <w:szCs w:val="24"/>
        </w:rPr>
        <w:t>,</w:t>
      </w:r>
      <w:r w:rsidRPr="00B03A01">
        <w:rPr>
          <w:szCs w:val="24"/>
        </w:rPr>
        <w:t xml:space="preserve"> tout en assurant le même traitement lors de l'application du</w:t>
      </w:r>
      <w:r w:rsidR="0084434B" w:rsidRPr="00B03A01">
        <w:rPr>
          <w:szCs w:val="24"/>
        </w:rPr>
        <w:t xml:space="preserve"> </w:t>
      </w:r>
      <w:r w:rsidRPr="00B03A01">
        <w:rPr>
          <w:szCs w:val="24"/>
        </w:rPr>
        <w:t xml:space="preserve">numéro </w:t>
      </w:r>
      <w:r w:rsidRPr="00B03A01">
        <w:rPr>
          <w:b/>
          <w:bCs/>
          <w:szCs w:val="24"/>
        </w:rPr>
        <w:t>13.6</w:t>
      </w:r>
      <w:r w:rsidRPr="00B03A01">
        <w:rPr>
          <w:szCs w:val="24"/>
        </w:rPr>
        <w:t xml:space="preserve"> du RR dans un passé éloigné en ce qui concerne les fiches</w:t>
      </w:r>
      <w:r w:rsidR="0084434B" w:rsidRPr="00B03A01">
        <w:rPr>
          <w:szCs w:val="24"/>
        </w:rPr>
        <w:t xml:space="preserve"> </w:t>
      </w:r>
      <w:r w:rsidRPr="00B03A01">
        <w:rPr>
          <w:szCs w:val="24"/>
        </w:rPr>
        <w:t>de notification actuellement traitées par</w:t>
      </w:r>
      <w:r w:rsidR="0084434B" w:rsidRPr="00B03A01">
        <w:rPr>
          <w:szCs w:val="24"/>
        </w:rPr>
        <w:t xml:space="preserve"> </w:t>
      </w:r>
      <w:r w:rsidR="00B23B66" w:rsidRPr="00B03A01">
        <w:rPr>
          <w:szCs w:val="24"/>
        </w:rPr>
        <w:t xml:space="preserve">le </w:t>
      </w:r>
      <w:r w:rsidRPr="00B03A01">
        <w:rPr>
          <w:szCs w:val="24"/>
        </w:rPr>
        <w:t>BR, et en garantissant la crédibilité des données officiellement inscrites dans le Fichier de référence international des fréquences.</w:t>
      </w:r>
    </w:p>
    <w:p w14:paraId="39912B35" w14:textId="77777777" w:rsidR="00882019" w:rsidRPr="00B03A01" w:rsidRDefault="00882019" w:rsidP="0084434B">
      <w:pPr>
        <w:jc w:val="center"/>
      </w:pPr>
      <w:r w:rsidRPr="00B03A01">
        <w:t>______________</w:t>
      </w:r>
    </w:p>
    <w:sectPr w:rsidR="00882019" w:rsidRPr="00B03A01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9FC9D" w14:textId="77777777" w:rsidR="0070076C" w:rsidRDefault="0070076C">
      <w:r>
        <w:separator/>
      </w:r>
    </w:p>
  </w:endnote>
  <w:endnote w:type="continuationSeparator" w:id="0">
    <w:p w14:paraId="7A4F0D75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E8F54" w14:textId="2D7D0CF6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E5D35">
      <w:rPr>
        <w:noProof/>
        <w:lang w:val="en-US"/>
      </w:rPr>
      <w:t>P:\FRA\ITU-R\CONF-R\CMR19\000\042F.docx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5D35">
      <w:rPr>
        <w:noProof/>
      </w:rPr>
      <w:t>22.10.19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E5D35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2293" w14:textId="55F4BC7E" w:rsidR="00936D25" w:rsidRDefault="00DE5D35" w:rsidP="006505D6">
    <w:pPr>
      <w:pStyle w:val="Footer"/>
      <w:rPr>
        <w:lang w:val="en-US"/>
      </w:rPr>
    </w:pPr>
    <w:r>
      <w:fldChar w:fldCharType="begin"/>
    </w:r>
    <w:r w:rsidRPr="000A1F6D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P:\FRA\ITU-R\CONF-R\CMR19\000\042F.docx</w:t>
    </w:r>
    <w:r>
      <w:fldChar w:fldCharType="end"/>
    </w:r>
    <w:r w:rsidR="006505D6" w:rsidRPr="000A1F6D">
      <w:rPr>
        <w:lang w:val="en-GB"/>
      </w:rPr>
      <w:t xml:space="preserve"> (461838)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28E3E" w14:textId="1B52845B" w:rsidR="00936D25" w:rsidRDefault="00DE5D35" w:rsidP="0084434B">
    <w:pPr>
      <w:pStyle w:val="Footer"/>
      <w:rPr>
        <w:lang w:val="en-US"/>
      </w:rPr>
    </w:pPr>
    <w:r>
      <w:fldChar w:fldCharType="begin"/>
    </w:r>
    <w:r w:rsidRPr="000A1F6D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P:\FRA\ITU-R\CONF-R\CMR19\000\042F.docx</w:t>
    </w:r>
    <w:r>
      <w:fldChar w:fldCharType="end"/>
    </w:r>
    <w:r w:rsidR="0084434B" w:rsidRPr="000A1F6D">
      <w:rPr>
        <w:lang w:val="en-GB"/>
      </w:rPr>
      <w:t xml:space="preserve"> (461838)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1F99A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2FDFD9BC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777A1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15051BA1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42-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4784A"/>
    <w:rsid w:val="00063A1F"/>
    <w:rsid w:val="00074B97"/>
    <w:rsid w:val="00077CB2"/>
    <w:rsid w:val="00080E2C"/>
    <w:rsid w:val="00081366"/>
    <w:rsid w:val="000863B3"/>
    <w:rsid w:val="000A1F6D"/>
    <w:rsid w:val="000A4755"/>
    <w:rsid w:val="000A55AE"/>
    <w:rsid w:val="000B2E0C"/>
    <w:rsid w:val="000B3D0C"/>
    <w:rsid w:val="000E231E"/>
    <w:rsid w:val="001167B9"/>
    <w:rsid w:val="001225E1"/>
    <w:rsid w:val="001267A0"/>
    <w:rsid w:val="0015203F"/>
    <w:rsid w:val="00160C64"/>
    <w:rsid w:val="00164D75"/>
    <w:rsid w:val="0018169B"/>
    <w:rsid w:val="0019352B"/>
    <w:rsid w:val="001960D0"/>
    <w:rsid w:val="001A11F6"/>
    <w:rsid w:val="001F17E8"/>
    <w:rsid w:val="00204306"/>
    <w:rsid w:val="00232FD2"/>
    <w:rsid w:val="00257C4E"/>
    <w:rsid w:val="00261293"/>
    <w:rsid w:val="0026554E"/>
    <w:rsid w:val="002A4622"/>
    <w:rsid w:val="002A6F8F"/>
    <w:rsid w:val="002B17E5"/>
    <w:rsid w:val="002B3C4D"/>
    <w:rsid w:val="002C0EBF"/>
    <w:rsid w:val="002C28A4"/>
    <w:rsid w:val="002C6D4D"/>
    <w:rsid w:val="002D7E0A"/>
    <w:rsid w:val="002F3116"/>
    <w:rsid w:val="00315AFE"/>
    <w:rsid w:val="00347722"/>
    <w:rsid w:val="00350239"/>
    <w:rsid w:val="003606A6"/>
    <w:rsid w:val="00366398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712B9"/>
    <w:rsid w:val="00474460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505D6"/>
    <w:rsid w:val="00662565"/>
    <w:rsid w:val="00666ECD"/>
    <w:rsid w:val="00690C7B"/>
    <w:rsid w:val="006A4B45"/>
    <w:rsid w:val="006A6933"/>
    <w:rsid w:val="006D4724"/>
    <w:rsid w:val="006F5FA2"/>
    <w:rsid w:val="0070076C"/>
    <w:rsid w:val="00701BAE"/>
    <w:rsid w:val="00721F04"/>
    <w:rsid w:val="00730E95"/>
    <w:rsid w:val="007426B9"/>
    <w:rsid w:val="00754EB5"/>
    <w:rsid w:val="00764342"/>
    <w:rsid w:val="00774362"/>
    <w:rsid w:val="00786598"/>
    <w:rsid w:val="00790C74"/>
    <w:rsid w:val="007A04E8"/>
    <w:rsid w:val="007B2C34"/>
    <w:rsid w:val="00815379"/>
    <w:rsid w:val="00830086"/>
    <w:rsid w:val="0084434B"/>
    <w:rsid w:val="00851625"/>
    <w:rsid w:val="00857B0A"/>
    <w:rsid w:val="00863C0A"/>
    <w:rsid w:val="00882019"/>
    <w:rsid w:val="008A3120"/>
    <w:rsid w:val="008A4B97"/>
    <w:rsid w:val="008C5B8E"/>
    <w:rsid w:val="008C5DD5"/>
    <w:rsid w:val="008D1DA0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6438A"/>
    <w:rsid w:val="00A83B09"/>
    <w:rsid w:val="00A84541"/>
    <w:rsid w:val="00AE36A0"/>
    <w:rsid w:val="00B00294"/>
    <w:rsid w:val="00B03A01"/>
    <w:rsid w:val="00B23B66"/>
    <w:rsid w:val="00B3749C"/>
    <w:rsid w:val="00B41B8B"/>
    <w:rsid w:val="00B460C3"/>
    <w:rsid w:val="00B64FD0"/>
    <w:rsid w:val="00BA5BD0"/>
    <w:rsid w:val="00BB1D82"/>
    <w:rsid w:val="00BD51C5"/>
    <w:rsid w:val="00BF26E7"/>
    <w:rsid w:val="00C41F18"/>
    <w:rsid w:val="00C515A1"/>
    <w:rsid w:val="00C53FCA"/>
    <w:rsid w:val="00C76BAF"/>
    <w:rsid w:val="00C814B9"/>
    <w:rsid w:val="00C83B66"/>
    <w:rsid w:val="00CD516F"/>
    <w:rsid w:val="00CF4CE8"/>
    <w:rsid w:val="00D119A7"/>
    <w:rsid w:val="00D25FBA"/>
    <w:rsid w:val="00D32B28"/>
    <w:rsid w:val="00D42954"/>
    <w:rsid w:val="00D66EAC"/>
    <w:rsid w:val="00D730DF"/>
    <w:rsid w:val="00D738E8"/>
    <w:rsid w:val="00D772F0"/>
    <w:rsid w:val="00D77BDC"/>
    <w:rsid w:val="00D95522"/>
    <w:rsid w:val="00D9786C"/>
    <w:rsid w:val="00DC402B"/>
    <w:rsid w:val="00DE0932"/>
    <w:rsid w:val="00DE5D35"/>
    <w:rsid w:val="00E03A27"/>
    <w:rsid w:val="00E049F1"/>
    <w:rsid w:val="00E317A7"/>
    <w:rsid w:val="00E34C42"/>
    <w:rsid w:val="00E37A25"/>
    <w:rsid w:val="00E537FF"/>
    <w:rsid w:val="00E6539B"/>
    <w:rsid w:val="00E70A31"/>
    <w:rsid w:val="00E723A7"/>
    <w:rsid w:val="00E97016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90F"/>
    <w:rsid w:val="00FA3BBF"/>
    <w:rsid w:val="00FC41F8"/>
    <w:rsid w:val="00FD7AA3"/>
    <w:rsid w:val="00FF1C40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7781C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ECCHLbold">
    <w:name w:val="ECC HL bold"/>
    <w:basedOn w:val="Strong"/>
    <w:uiPriority w:val="1"/>
    <w:qFormat/>
    <w:rsid w:val="00882019"/>
    <w:rPr>
      <w:b/>
      <w:bCs/>
    </w:rPr>
  </w:style>
  <w:style w:type="character" w:styleId="Strong">
    <w:name w:val="Strong"/>
    <w:basedOn w:val="DefaultParagraphFont"/>
    <w:qFormat/>
    <w:rsid w:val="00882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R16-WRC19-C-0042!!MSW-F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3D1E99-9A4C-4BF7-9EF6-296ECFE68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CA59E-F15B-4628-BDB8-23A3DC0CF098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32a1a8c5-2265-4ebc-b7a0-2071e2c5c9b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35B0962-5114-4BE9-8450-800516D460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816B69-0D47-4EDC-A108-57859312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1275</Words>
  <Characters>6762</Characters>
  <Application>Microsoft Office Word</Application>
  <DocSecurity>0</DocSecurity>
  <Lines>112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R16-WRC19-C-0042!!MSW-F</vt:lpstr>
    </vt:vector>
  </TitlesOfParts>
  <Manager>Secrétariat général - Pool</Manager>
  <Company>Union internationale des télécommunications (UIT)</Company>
  <LinksUpToDate>false</LinksUpToDate>
  <CharactersWithSpaces>8018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R16-WRC19-C-0042!!MSW-F</dc:title>
  <dc:subject>Conférence mondiale des radiocommunications - 2019</dc:subject>
  <dc:creator>Documents Proposals Manager (DPM)</dc:creator>
  <cp:keywords>DPM_v2019.10.15.2_prod</cp:keywords>
  <dc:description/>
  <cp:lastModifiedBy>French1</cp:lastModifiedBy>
  <cp:revision>10</cp:revision>
  <cp:lastPrinted>2019-10-22T13:16:00Z</cp:lastPrinted>
  <dcterms:created xsi:type="dcterms:W3CDTF">2019-10-22T07:36:00Z</dcterms:created>
  <dcterms:modified xsi:type="dcterms:W3CDTF">2019-10-22T13:16:00Z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