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FB7E0C" w14:paraId="3806A8F2" w14:textId="77777777" w:rsidTr="0050008E">
        <w:trPr>
          <w:cantSplit/>
        </w:trPr>
        <w:tc>
          <w:tcPr>
            <w:tcW w:w="6911" w:type="dxa"/>
          </w:tcPr>
          <w:p w14:paraId="541D0CDC" w14:textId="77777777" w:rsidR="00BB1D82" w:rsidRPr="00FB7E0C" w:rsidRDefault="00851625" w:rsidP="00F31F88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FB7E0C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FB7E0C">
              <w:rPr>
                <w:rFonts w:ascii="Verdana" w:hAnsi="Verdana"/>
                <w:b/>
                <w:bCs/>
                <w:sz w:val="20"/>
              </w:rPr>
              <w:t>9</w:t>
            </w:r>
            <w:r w:rsidRPr="00FB7E0C">
              <w:rPr>
                <w:rFonts w:ascii="Verdana" w:hAnsi="Verdana"/>
                <w:b/>
                <w:bCs/>
                <w:sz w:val="20"/>
              </w:rPr>
              <w:t>)</w:t>
            </w:r>
            <w:r w:rsidRPr="00FB7E0C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FB7E0C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FB7E0C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FB7E0C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FB7E0C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FB7E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B7E0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FB7E0C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FB7E0C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FB7E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B7E0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FB7E0C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FB7E0C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FB7E0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79832A9C" w14:textId="77777777" w:rsidR="00BB1D82" w:rsidRPr="00FB7E0C" w:rsidRDefault="000A55AE" w:rsidP="00F31F88">
            <w:pPr>
              <w:spacing w:before="0"/>
              <w:jc w:val="right"/>
            </w:pPr>
            <w:r w:rsidRPr="00FB7E0C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4FFBAEBC" wp14:editId="056B3818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B7E0C" w14:paraId="6752CA8C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28C1292" w14:textId="77777777" w:rsidR="00BB1D82" w:rsidRPr="00FB7E0C" w:rsidRDefault="00BB1D82" w:rsidP="00F31F88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2B14FE6" w14:textId="77777777" w:rsidR="00BB1D82" w:rsidRPr="00FB7E0C" w:rsidRDefault="00BB1D82" w:rsidP="00F31F88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FB7E0C" w14:paraId="22CAD556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314C34" w14:textId="77777777" w:rsidR="00BB1D82" w:rsidRPr="00FB7E0C" w:rsidRDefault="00BB1D82" w:rsidP="00F31F8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4455495" w14:textId="77777777" w:rsidR="00BB1D82" w:rsidRPr="00FB7E0C" w:rsidRDefault="00BB1D82" w:rsidP="00F31F88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FB7E0C" w14:paraId="318EBF0B" w14:textId="77777777" w:rsidTr="00BB1D82">
        <w:trPr>
          <w:cantSplit/>
        </w:trPr>
        <w:tc>
          <w:tcPr>
            <w:tcW w:w="6911" w:type="dxa"/>
          </w:tcPr>
          <w:p w14:paraId="5A670BCC" w14:textId="77777777" w:rsidR="00BB1D82" w:rsidRPr="00FB7E0C" w:rsidRDefault="006D4724" w:rsidP="00F31F8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B7E0C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3E3C7CDB" w14:textId="77777777" w:rsidR="00BB1D82" w:rsidRPr="00FB7E0C" w:rsidRDefault="006D4724" w:rsidP="00F31F88">
            <w:pPr>
              <w:spacing w:before="0"/>
              <w:rPr>
                <w:rFonts w:ascii="Verdana" w:hAnsi="Verdana"/>
                <w:sz w:val="20"/>
              </w:rPr>
            </w:pPr>
            <w:r w:rsidRPr="00FB7E0C">
              <w:rPr>
                <w:rFonts w:ascii="Verdana" w:hAnsi="Verdana"/>
                <w:b/>
                <w:sz w:val="20"/>
              </w:rPr>
              <w:t>Document 31</w:t>
            </w:r>
            <w:r w:rsidR="00BB1D82" w:rsidRPr="00FB7E0C">
              <w:rPr>
                <w:rFonts w:ascii="Verdana" w:hAnsi="Verdana"/>
                <w:b/>
                <w:sz w:val="20"/>
              </w:rPr>
              <w:t>-</w:t>
            </w:r>
            <w:r w:rsidRPr="00FB7E0C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FB7E0C" w14:paraId="0EB87547" w14:textId="77777777" w:rsidTr="00BB1D82">
        <w:trPr>
          <w:cantSplit/>
        </w:trPr>
        <w:tc>
          <w:tcPr>
            <w:tcW w:w="6911" w:type="dxa"/>
          </w:tcPr>
          <w:p w14:paraId="4C43C889" w14:textId="77777777" w:rsidR="00690C7B" w:rsidRPr="00FB7E0C" w:rsidRDefault="00690C7B" w:rsidP="00F31F88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5F710ACE" w14:textId="77777777" w:rsidR="00690C7B" w:rsidRPr="00FB7E0C" w:rsidRDefault="00690C7B" w:rsidP="00F31F8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B7E0C">
              <w:rPr>
                <w:rFonts w:ascii="Verdana" w:hAnsi="Verdana"/>
                <w:b/>
                <w:sz w:val="20"/>
              </w:rPr>
              <w:t>27 septembre 2019</w:t>
            </w:r>
          </w:p>
        </w:tc>
      </w:tr>
      <w:tr w:rsidR="00690C7B" w:rsidRPr="00FB7E0C" w14:paraId="120860F7" w14:textId="77777777" w:rsidTr="00BB1D82">
        <w:trPr>
          <w:cantSplit/>
        </w:trPr>
        <w:tc>
          <w:tcPr>
            <w:tcW w:w="6911" w:type="dxa"/>
          </w:tcPr>
          <w:p w14:paraId="5577E29C" w14:textId="77777777" w:rsidR="00690C7B" w:rsidRPr="00FB7E0C" w:rsidRDefault="00690C7B" w:rsidP="00F31F8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33D4EE3" w14:textId="77777777" w:rsidR="00690C7B" w:rsidRPr="00FB7E0C" w:rsidRDefault="00690C7B" w:rsidP="00F31F8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B7E0C">
              <w:rPr>
                <w:rFonts w:ascii="Verdana" w:hAnsi="Verdana"/>
                <w:b/>
                <w:sz w:val="20"/>
              </w:rPr>
              <w:t>Original: espagnol</w:t>
            </w:r>
          </w:p>
        </w:tc>
      </w:tr>
      <w:tr w:rsidR="00690C7B" w:rsidRPr="00FB7E0C" w14:paraId="55069AD2" w14:textId="77777777" w:rsidTr="00C11970">
        <w:trPr>
          <w:cantSplit/>
        </w:trPr>
        <w:tc>
          <w:tcPr>
            <w:tcW w:w="10031" w:type="dxa"/>
            <w:gridSpan w:val="2"/>
          </w:tcPr>
          <w:p w14:paraId="667C9901" w14:textId="77777777" w:rsidR="00690C7B" w:rsidRPr="00FB7E0C" w:rsidRDefault="00690C7B" w:rsidP="00F31F88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FB7E0C" w14:paraId="18941C81" w14:textId="77777777" w:rsidTr="0050008E">
        <w:trPr>
          <w:cantSplit/>
        </w:trPr>
        <w:tc>
          <w:tcPr>
            <w:tcW w:w="10031" w:type="dxa"/>
            <w:gridSpan w:val="2"/>
          </w:tcPr>
          <w:p w14:paraId="796E53DC" w14:textId="77777777" w:rsidR="00690C7B" w:rsidRPr="00FB7E0C" w:rsidRDefault="00690C7B" w:rsidP="00F31F88">
            <w:pPr>
              <w:pStyle w:val="Source"/>
            </w:pPr>
            <w:bookmarkStart w:id="1" w:name="dsource" w:colFirst="0" w:colLast="0"/>
            <w:r w:rsidRPr="00FB7E0C">
              <w:t>Honduras (République du)</w:t>
            </w:r>
          </w:p>
        </w:tc>
      </w:tr>
      <w:tr w:rsidR="00690C7B" w:rsidRPr="00FB7E0C" w14:paraId="425B22D3" w14:textId="77777777" w:rsidTr="0050008E">
        <w:trPr>
          <w:cantSplit/>
        </w:trPr>
        <w:tc>
          <w:tcPr>
            <w:tcW w:w="10031" w:type="dxa"/>
            <w:gridSpan w:val="2"/>
          </w:tcPr>
          <w:p w14:paraId="051644D4" w14:textId="77777777" w:rsidR="00690C7B" w:rsidRPr="00FB7E0C" w:rsidRDefault="00690C7B" w:rsidP="00F31F88">
            <w:pPr>
              <w:pStyle w:val="Title1"/>
            </w:pPr>
            <w:bookmarkStart w:id="2" w:name="dtitle1" w:colFirst="0" w:colLast="0"/>
            <w:bookmarkEnd w:id="1"/>
            <w:r w:rsidRPr="00FB7E0C">
              <w:t>Propositions pour les travaux de la conférence</w:t>
            </w:r>
          </w:p>
        </w:tc>
      </w:tr>
      <w:tr w:rsidR="00690C7B" w:rsidRPr="00FB7E0C" w14:paraId="55CA25E8" w14:textId="77777777" w:rsidTr="0050008E">
        <w:trPr>
          <w:cantSplit/>
        </w:trPr>
        <w:tc>
          <w:tcPr>
            <w:tcW w:w="10031" w:type="dxa"/>
            <w:gridSpan w:val="2"/>
          </w:tcPr>
          <w:p w14:paraId="3D53E021" w14:textId="77777777" w:rsidR="00690C7B" w:rsidRPr="00FB7E0C" w:rsidRDefault="00690C7B" w:rsidP="00F31F88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FB7E0C" w14:paraId="435DCCF7" w14:textId="77777777" w:rsidTr="0050008E">
        <w:trPr>
          <w:cantSplit/>
        </w:trPr>
        <w:tc>
          <w:tcPr>
            <w:tcW w:w="10031" w:type="dxa"/>
            <w:gridSpan w:val="2"/>
          </w:tcPr>
          <w:p w14:paraId="471D1FE7" w14:textId="77777777" w:rsidR="00690C7B" w:rsidRPr="00FB7E0C" w:rsidRDefault="00690C7B" w:rsidP="00F31F88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FB7E0C">
              <w:rPr>
                <w:lang w:val="fr-FR"/>
              </w:rPr>
              <w:t>Point 1.14 de l'ordre du jour</w:t>
            </w:r>
            <w:bookmarkStart w:id="5" w:name="_GoBack"/>
            <w:bookmarkEnd w:id="5"/>
          </w:p>
        </w:tc>
      </w:tr>
    </w:tbl>
    <w:bookmarkEnd w:id="4"/>
    <w:p w14:paraId="008CF6BA" w14:textId="276C7FF6" w:rsidR="001C0E40" w:rsidRPr="00FB7E0C" w:rsidRDefault="00DE3F11" w:rsidP="00F31F88">
      <w:r w:rsidRPr="00FB7E0C">
        <w:t>1.14</w:t>
      </w:r>
      <w:r w:rsidRPr="00FB7E0C">
        <w:tab/>
        <w:t xml:space="preserve">examiner, sur la base des études de l'UIT-R conformément à la Résolution </w:t>
      </w:r>
      <w:r w:rsidRPr="00FB7E0C">
        <w:rPr>
          <w:b/>
          <w:bCs/>
        </w:rPr>
        <w:t>160 (CMR</w:t>
      </w:r>
      <w:r w:rsidR="00F31F88">
        <w:rPr>
          <w:b/>
          <w:bCs/>
        </w:rPr>
        <w:noBreakHyphen/>
      </w:r>
      <w:r w:rsidRPr="00FB7E0C">
        <w:rPr>
          <w:b/>
          <w:bCs/>
        </w:rPr>
        <w:t>15)</w:t>
      </w:r>
      <w:r w:rsidRPr="00FB7E0C">
        <w:t>, des mesures réglementaires appropriées pour les stations placées sur des plates-formes à haute altitude (HAPS), dans le cadre des attributions existantes au service fixe</w:t>
      </w:r>
      <w:r w:rsidR="00277575">
        <w:t>.</w:t>
      </w:r>
    </w:p>
    <w:p w14:paraId="3AE1ECA0" w14:textId="77777777" w:rsidR="003A583E" w:rsidRPr="00FB7E0C" w:rsidRDefault="003A583E" w:rsidP="00F31F88"/>
    <w:p w14:paraId="083F92AB" w14:textId="77777777" w:rsidR="0015203F" w:rsidRPr="00FB7E0C" w:rsidRDefault="0015203F" w:rsidP="00F31F8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B7E0C">
        <w:br w:type="page"/>
      </w:r>
    </w:p>
    <w:p w14:paraId="09EA4F37" w14:textId="77777777" w:rsidR="007F3F42" w:rsidRPr="00FB7E0C" w:rsidRDefault="00DE3F11" w:rsidP="00F31F88">
      <w:pPr>
        <w:pStyle w:val="ArtNo"/>
        <w:spacing w:before="0"/>
      </w:pPr>
      <w:bookmarkStart w:id="6" w:name="_Toc455752904"/>
      <w:bookmarkStart w:id="7" w:name="_Toc455756143"/>
      <w:r w:rsidRPr="00FB7E0C">
        <w:lastRenderedPageBreak/>
        <w:t xml:space="preserve">ARTICLE </w:t>
      </w:r>
      <w:r w:rsidRPr="00FB7E0C">
        <w:rPr>
          <w:rStyle w:val="href"/>
          <w:color w:val="000000"/>
        </w:rPr>
        <w:t>1</w:t>
      </w:r>
      <w:bookmarkEnd w:id="6"/>
      <w:bookmarkEnd w:id="7"/>
    </w:p>
    <w:p w14:paraId="7CEDA115" w14:textId="77777777" w:rsidR="007F3F42" w:rsidRPr="00FB7E0C" w:rsidRDefault="00DE3F11" w:rsidP="00F31F88">
      <w:pPr>
        <w:pStyle w:val="Arttitle"/>
      </w:pPr>
      <w:bookmarkStart w:id="8" w:name="_Toc455752905"/>
      <w:bookmarkStart w:id="9" w:name="_Toc455756144"/>
      <w:r w:rsidRPr="00FB7E0C">
        <w:t>Termes et définitions</w:t>
      </w:r>
      <w:bookmarkEnd w:id="8"/>
      <w:bookmarkEnd w:id="9"/>
    </w:p>
    <w:p w14:paraId="434993FF" w14:textId="77777777" w:rsidR="007F3F42" w:rsidRPr="00FB7E0C" w:rsidRDefault="00DE3F11" w:rsidP="00F31F88">
      <w:pPr>
        <w:pStyle w:val="Section1"/>
      </w:pPr>
      <w:r w:rsidRPr="00FB7E0C">
        <w:t>Section IV – Stations et systèmes radioélectriques</w:t>
      </w:r>
    </w:p>
    <w:p w14:paraId="78BF70BB" w14:textId="77777777" w:rsidR="0044064B" w:rsidRPr="00FB7E0C" w:rsidRDefault="00DE3F11" w:rsidP="00F31F88">
      <w:pPr>
        <w:pStyle w:val="Proposal"/>
      </w:pPr>
      <w:r w:rsidRPr="00FB7E0C">
        <w:t>(MOD)</w:t>
      </w:r>
      <w:r w:rsidRPr="00FB7E0C">
        <w:tab/>
        <w:t>HND/31/1</w:t>
      </w:r>
    </w:p>
    <w:p w14:paraId="6354A0A1" w14:textId="77777777" w:rsidR="007F3F42" w:rsidRPr="00FB7E0C" w:rsidRDefault="00DE3F11" w:rsidP="00F31F88">
      <w:r w:rsidRPr="00FB7E0C">
        <w:rPr>
          <w:rStyle w:val="Artdef"/>
        </w:rPr>
        <w:t>1.66A</w:t>
      </w:r>
      <w:r w:rsidRPr="00FB7E0C">
        <w:tab/>
      </w:r>
      <w:r w:rsidRPr="00FB7E0C">
        <w:tab/>
      </w:r>
      <w:r w:rsidRPr="00FB7E0C">
        <w:rPr>
          <w:i/>
          <w:iCs/>
        </w:rPr>
        <w:t>station placée sur une plate-forme à haute altitude</w:t>
      </w:r>
      <w:r w:rsidRPr="00FB7E0C">
        <w:t>:  </w:t>
      </w:r>
      <w:r w:rsidRPr="00FB7E0C">
        <w:rPr>
          <w:i/>
          <w:iCs/>
        </w:rPr>
        <w:t>Station</w:t>
      </w:r>
      <w:r w:rsidRPr="00FB7E0C">
        <w:t xml:space="preserve"> installée sur un objet placé à une altitude comprise entre 20 et 50 km et en un point spécifié, nominal, fixe par rapport à la Terre.</w:t>
      </w:r>
    </w:p>
    <w:p w14:paraId="40A33381" w14:textId="5771BAEC" w:rsidR="0044064B" w:rsidRPr="00FB7E0C" w:rsidRDefault="00DE3F11" w:rsidP="00F31F88">
      <w:pPr>
        <w:pStyle w:val="Reasons"/>
      </w:pPr>
      <w:r w:rsidRPr="00FB7E0C">
        <w:rPr>
          <w:b/>
        </w:rPr>
        <w:t>Motifs:</w:t>
      </w:r>
      <w:r w:rsidRPr="00FB7E0C">
        <w:tab/>
      </w:r>
      <w:r w:rsidR="00A26042" w:rsidRPr="00FB7E0C">
        <w:t xml:space="preserve">Conformément au numéro </w:t>
      </w:r>
      <w:r w:rsidR="00A26042" w:rsidRPr="00FB7E0C">
        <w:rPr>
          <w:b/>
          <w:bCs/>
        </w:rPr>
        <w:t>1.66A</w:t>
      </w:r>
      <w:r w:rsidR="00A26042" w:rsidRPr="00FB7E0C">
        <w:t xml:space="preserve"> du Règlement des radiocommunications, les stations HAPS sont définies de la façon suivante: «Station installée sur un objet placé à une altitude comprise entre 20 et 50 km et en un point spécifié, nominal, fixe par rapport à la Terre».</w:t>
      </w:r>
    </w:p>
    <w:p w14:paraId="0B2E1E65" w14:textId="488A2DCD" w:rsidR="000259C5" w:rsidRPr="00FB7E0C" w:rsidRDefault="000259C5" w:rsidP="00F31F88">
      <w:r w:rsidRPr="00FB7E0C">
        <w:t xml:space="preserve">Dans la version anglaise du Volume 1 du </w:t>
      </w:r>
      <w:r w:rsidRPr="00FB7E0C">
        <w:rPr>
          <w:color w:val="000000"/>
        </w:rPr>
        <w:t xml:space="preserve">Règlement des radiocommunications, la même formulation </w:t>
      </w:r>
      <w:r w:rsidR="004169CA">
        <w:rPr>
          <w:color w:val="000000"/>
        </w:rPr>
        <w:t>«</w:t>
      </w:r>
      <w:r w:rsidRPr="00FB7E0C">
        <w:rPr>
          <w:color w:val="000000"/>
        </w:rPr>
        <w:t>on an object</w:t>
      </w:r>
      <w:r w:rsidR="004169CA">
        <w:rPr>
          <w:color w:val="000000"/>
        </w:rPr>
        <w:t>»</w:t>
      </w:r>
      <w:r w:rsidRPr="00FB7E0C">
        <w:rPr>
          <w:color w:val="000000"/>
        </w:rPr>
        <w:t xml:space="preserve"> est utilisée dans les numéros </w:t>
      </w:r>
      <w:r w:rsidRPr="00FB7E0C">
        <w:rPr>
          <w:b/>
          <w:bCs/>
          <w:color w:val="000000"/>
        </w:rPr>
        <w:t>1.64</w:t>
      </w:r>
      <w:r w:rsidRPr="00FB7E0C">
        <w:rPr>
          <w:color w:val="000000"/>
        </w:rPr>
        <w:t xml:space="preserve"> et </w:t>
      </w:r>
      <w:r w:rsidRPr="00FB7E0C">
        <w:rPr>
          <w:b/>
          <w:bCs/>
          <w:color w:val="000000"/>
        </w:rPr>
        <w:t>1.66A</w:t>
      </w:r>
      <w:r w:rsidRPr="00FB7E0C">
        <w:rPr>
          <w:color w:val="000000"/>
        </w:rPr>
        <w:t>, comme on peut le constater ci-dessous:</w:t>
      </w:r>
    </w:p>
    <w:p w14:paraId="5EE07B78" w14:textId="297AF4DF" w:rsidR="000259C5" w:rsidRPr="000259C5" w:rsidRDefault="00277575" w:rsidP="00F31F88">
      <w:pPr>
        <w:rPr>
          <w:b/>
        </w:rPr>
      </w:pPr>
      <w:r>
        <w:t>«</w:t>
      </w:r>
      <w:r w:rsidR="000259C5" w:rsidRPr="000259C5">
        <w:rPr>
          <w:b/>
        </w:rPr>
        <w:t xml:space="preserve">1.64 </w:t>
      </w:r>
      <w:r w:rsidR="000259C5" w:rsidRPr="000259C5">
        <w:rPr>
          <w:b/>
          <w:bCs/>
        </w:rPr>
        <w:tab/>
      </w:r>
      <w:r w:rsidR="000259C5" w:rsidRPr="000259C5">
        <w:rPr>
          <w:b/>
          <w:bCs/>
        </w:rPr>
        <w:tab/>
      </w:r>
      <w:r w:rsidR="000259C5" w:rsidRPr="000259C5">
        <w:rPr>
          <w:i/>
          <w:iCs/>
        </w:rPr>
        <w:t xml:space="preserve">space station: </w:t>
      </w:r>
      <w:r w:rsidR="000259C5" w:rsidRPr="000259C5">
        <w:t xml:space="preserve">A </w:t>
      </w:r>
      <w:r w:rsidR="000259C5" w:rsidRPr="000259C5">
        <w:rPr>
          <w:i/>
          <w:iCs/>
        </w:rPr>
        <w:t xml:space="preserve">station </w:t>
      </w:r>
      <w:r w:rsidR="000259C5" w:rsidRPr="000259C5">
        <w:t>located on an object which is beyond, is intended to go beyond, or has been beyond, the major portion of the Earth’s atmosphere.</w:t>
      </w:r>
    </w:p>
    <w:p w14:paraId="41491823" w14:textId="3A01848D" w:rsidR="008A016D" w:rsidRPr="00FB7E0C" w:rsidRDefault="000259C5" w:rsidP="00F31F88">
      <w:r w:rsidRPr="00FB7E0C">
        <w:rPr>
          <w:b/>
        </w:rPr>
        <w:t>1.66A</w:t>
      </w:r>
      <w:r w:rsidRPr="00FB7E0C">
        <w:rPr>
          <w:b/>
          <w:bCs/>
        </w:rPr>
        <w:t xml:space="preserve"> </w:t>
      </w:r>
      <w:r w:rsidRPr="00FB7E0C">
        <w:rPr>
          <w:b/>
          <w:bCs/>
        </w:rPr>
        <w:tab/>
      </w:r>
      <w:r w:rsidRPr="00FB7E0C">
        <w:rPr>
          <w:b/>
          <w:bCs/>
        </w:rPr>
        <w:tab/>
      </w:r>
      <w:r w:rsidRPr="00FB7E0C">
        <w:rPr>
          <w:i/>
          <w:iCs/>
        </w:rPr>
        <w:t xml:space="preserve">high altitude platform station: </w:t>
      </w:r>
      <w:r w:rsidRPr="00FB7E0C">
        <w:t xml:space="preserve">A </w:t>
      </w:r>
      <w:r w:rsidRPr="00FB7E0C">
        <w:rPr>
          <w:i/>
          <w:iCs/>
        </w:rPr>
        <w:t xml:space="preserve">station </w:t>
      </w:r>
      <w:r w:rsidRPr="00FB7E0C">
        <w:t>located on an object at an altitude of 20 to 50 km and at a specified, nominal, fixed point relative to the Earth.</w:t>
      </w:r>
      <w:r w:rsidR="00277575">
        <w:t>»</w:t>
      </w:r>
    </w:p>
    <w:p w14:paraId="35D90A47" w14:textId="22982AB1" w:rsidR="000259C5" w:rsidRPr="00FB7E0C" w:rsidRDefault="00FB7E0C" w:rsidP="00F31F88">
      <w:r w:rsidRPr="00FB7E0C">
        <w:t xml:space="preserve">L'Administration du Honduras estime que, dans la version espagnole, le numéro </w:t>
      </w:r>
      <w:r w:rsidRPr="00FB7E0C">
        <w:rPr>
          <w:b/>
          <w:bCs/>
        </w:rPr>
        <w:t xml:space="preserve">1.66A </w:t>
      </w:r>
      <w:r w:rsidRPr="00FB7E0C">
        <w:t xml:space="preserve">devrait se lire </w:t>
      </w:r>
      <w:r w:rsidR="004169CA">
        <w:t>«</w:t>
      </w:r>
      <w:r w:rsidRPr="00FB7E0C">
        <w:rPr>
          <w:i/>
          <w:iCs/>
        </w:rPr>
        <w:t>Estación</w:t>
      </w:r>
      <w:r w:rsidRPr="00FB7E0C">
        <w:t xml:space="preserve"> situada en un objeto …</w:t>
      </w:r>
      <w:r w:rsidR="004169CA">
        <w:t>»</w:t>
      </w:r>
      <w:r w:rsidRPr="00FB7E0C">
        <w:t xml:space="preserve">, à l'instar de la version espagnole du numéro </w:t>
      </w:r>
      <w:r w:rsidRPr="00FB7E0C">
        <w:rPr>
          <w:b/>
          <w:bCs/>
        </w:rPr>
        <w:t>1.64</w:t>
      </w:r>
      <w:r w:rsidRPr="00FB7E0C">
        <w:t>.</w:t>
      </w:r>
    </w:p>
    <w:p w14:paraId="512A6035" w14:textId="46D12F8A" w:rsidR="00FB7E0C" w:rsidRPr="00FB7E0C" w:rsidRDefault="00FB7E0C" w:rsidP="00F31F88">
      <w:r w:rsidRPr="00FB7E0C">
        <w:t xml:space="preserve">Le mot </w:t>
      </w:r>
      <w:r w:rsidR="004169CA">
        <w:t>«</w:t>
      </w:r>
      <w:r w:rsidRPr="00FB7E0C">
        <w:t>sobre</w:t>
      </w:r>
      <w:r w:rsidR="004169CA">
        <w:t>»</w:t>
      </w:r>
      <w:r w:rsidRPr="00FB7E0C">
        <w:t xml:space="preserve"> qui figure dans le numéro </w:t>
      </w:r>
      <w:r w:rsidRPr="00FB7E0C">
        <w:rPr>
          <w:b/>
          <w:bCs/>
        </w:rPr>
        <w:t>1.66A</w:t>
      </w:r>
      <w:r w:rsidRPr="00FB7E0C">
        <w:t xml:space="preserve"> peut être source de confusion et conduire le lecteur à croire que l'émetteur/le récepteur est littéralement installé au sommet d'une plate-forme, alors que, selon nous</w:t>
      </w:r>
      <w:r w:rsidR="001175AB">
        <w:t>,</w:t>
      </w:r>
      <w:r w:rsidRPr="00FB7E0C">
        <w:t xml:space="preserve"> et compte tenu des exemples de plates-formes étudiés, l'émetteur/le récepteur est situé dans la partie basse de la plate-forme ou bien à un endroit où </w:t>
      </w:r>
      <w:r w:rsidR="00DB3205">
        <w:t xml:space="preserve">aucun obstacle ne </w:t>
      </w:r>
      <w:r w:rsidR="000F0134">
        <w:t>gêne</w:t>
      </w:r>
      <w:r w:rsidRPr="00FB7E0C">
        <w:t xml:space="preserve"> l'émission ou la réception de signaux radioélectriques en direction ou en provenance de la surface de la Terre, ce qui constitue l'objectif premier de ces stations.</w:t>
      </w:r>
    </w:p>
    <w:p w14:paraId="3979F69B" w14:textId="468BF25B" w:rsidR="00DB3205" w:rsidRDefault="00DB3205" w:rsidP="00F31F88">
      <w:r>
        <w:rPr>
          <w:u w:val="single"/>
        </w:rPr>
        <w:t>Note du Secrétariat</w:t>
      </w:r>
      <w:r w:rsidR="00DE3F11" w:rsidRPr="00FB7E0C">
        <w:t xml:space="preserve">: </w:t>
      </w:r>
      <w:r>
        <w:t>il est entendu que cette proposition de modification de forme</w:t>
      </w:r>
      <w:r w:rsidR="001175AB">
        <w:t xml:space="preserve"> – </w:t>
      </w:r>
      <w:r>
        <w:t xml:space="preserve">(MOD) </w:t>
      </w:r>
      <w:r w:rsidR="001175AB">
        <w:t xml:space="preserve">– du numéro </w:t>
      </w:r>
      <w:r w:rsidRPr="00DB3205">
        <w:rPr>
          <w:b/>
          <w:bCs/>
        </w:rPr>
        <w:t xml:space="preserve">1.66A </w:t>
      </w:r>
      <w:r>
        <w:t>du RR ne s'applique qu'à la version espagnole de cette disposition.</w:t>
      </w:r>
    </w:p>
    <w:p w14:paraId="2B2A7932" w14:textId="3933CF4F" w:rsidR="00DE3F11" w:rsidRPr="00FB7E0C" w:rsidRDefault="00DE3F11" w:rsidP="00F31F88">
      <w:pPr>
        <w:jc w:val="center"/>
      </w:pPr>
      <w:r w:rsidRPr="00FB7E0C">
        <w:t>______________</w:t>
      </w:r>
    </w:p>
    <w:sectPr w:rsidR="00DE3F11" w:rsidRPr="00FB7E0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31F88" w14:textId="77777777" w:rsidR="0070076C" w:rsidRDefault="0070076C">
      <w:r>
        <w:separator/>
      </w:r>
    </w:p>
  </w:endnote>
  <w:endnote w:type="continuationSeparator" w:id="0">
    <w:p w14:paraId="1B31E844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96061" w14:textId="4CF00A3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17D09">
      <w:rPr>
        <w:noProof/>
        <w:lang w:val="en-US"/>
      </w:rPr>
      <w:t>P:\FRA\ITU-R\CONF-R\CMR19\000\031F.docx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7D09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7D09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7F24" w14:textId="3D52760C" w:rsidR="00936D25" w:rsidRDefault="003A5694" w:rsidP="003A5694">
    <w:pPr>
      <w:pStyle w:val="Footer"/>
      <w:rPr>
        <w:lang w:val="en-US"/>
      </w:rPr>
    </w:pPr>
    <w:r w:rsidRPr="003A5694">
      <w:rPr>
        <w:lang w:val="en-US"/>
      </w:rPr>
      <w:fldChar w:fldCharType="begin"/>
    </w:r>
    <w:r w:rsidRPr="003A5694">
      <w:rPr>
        <w:lang w:val="en-US"/>
      </w:rPr>
      <w:instrText xml:space="preserve"> FILENAME \p  \* MERGEFORMAT </w:instrText>
    </w:r>
    <w:r w:rsidRPr="003A5694">
      <w:rPr>
        <w:lang w:val="en-US"/>
      </w:rPr>
      <w:fldChar w:fldCharType="separate"/>
    </w:r>
    <w:r w:rsidR="00417D09">
      <w:rPr>
        <w:lang w:val="en-US"/>
      </w:rPr>
      <w:t>P:\FRA\ITU-R\CONF-R\CMR19\000\031F.docx</w:t>
    </w:r>
    <w:r w:rsidRPr="003A5694">
      <w:rPr>
        <w:lang w:val="en-US"/>
      </w:rPr>
      <w:fldChar w:fldCharType="end"/>
    </w:r>
    <w:r w:rsidRPr="003A5694">
      <w:rPr>
        <w:lang w:val="en-US"/>
      </w:rPr>
      <w:t xml:space="preserve"> (</w:t>
    </w:r>
    <w:r>
      <w:rPr>
        <w:lang w:val="en-US"/>
      </w:rPr>
      <w:t>461575</w:t>
    </w:r>
    <w:r w:rsidRPr="003A5694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A951B" w14:textId="2A2729E3" w:rsidR="00936D25" w:rsidRDefault="00417D09" w:rsidP="003A5694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P:\FRA\ITU-R\CONF-R\CMR19\000\031F.docx</w:t>
    </w:r>
    <w:r>
      <w:fldChar w:fldCharType="end"/>
    </w:r>
    <w:r w:rsidR="003A5694">
      <w:t xml:space="preserve"> (461575)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F4543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2A07EE38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98D15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0C162883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31-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259C5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F0134"/>
    <w:rsid w:val="001167B9"/>
    <w:rsid w:val="001175AB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17F09"/>
    <w:rsid w:val="00232FD2"/>
    <w:rsid w:val="0026554E"/>
    <w:rsid w:val="00277575"/>
    <w:rsid w:val="00296075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694"/>
    <w:rsid w:val="003A583E"/>
    <w:rsid w:val="003E112B"/>
    <w:rsid w:val="003E1D1C"/>
    <w:rsid w:val="003E7B05"/>
    <w:rsid w:val="003F3719"/>
    <w:rsid w:val="003F6F2D"/>
    <w:rsid w:val="004169CA"/>
    <w:rsid w:val="00417D09"/>
    <w:rsid w:val="0044064B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B3B1C"/>
    <w:rsid w:val="005C3768"/>
    <w:rsid w:val="005C6C3F"/>
    <w:rsid w:val="00613635"/>
    <w:rsid w:val="0062093D"/>
    <w:rsid w:val="00637ECF"/>
    <w:rsid w:val="00647B59"/>
    <w:rsid w:val="00690C7B"/>
    <w:rsid w:val="006A189D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A016D"/>
    <w:rsid w:val="008A3120"/>
    <w:rsid w:val="008A4B97"/>
    <w:rsid w:val="008C5B8E"/>
    <w:rsid w:val="008C5DD5"/>
    <w:rsid w:val="008D41BE"/>
    <w:rsid w:val="008D58D3"/>
    <w:rsid w:val="008E3BC9"/>
    <w:rsid w:val="009155B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26042"/>
    <w:rsid w:val="00A37105"/>
    <w:rsid w:val="00A606C3"/>
    <w:rsid w:val="00A83B09"/>
    <w:rsid w:val="00A84541"/>
    <w:rsid w:val="00AE36A0"/>
    <w:rsid w:val="00B00294"/>
    <w:rsid w:val="00B04D93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B3205"/>
    <w:rsid w:val="00DC402B"/>
    <w:rsid w:val="00DE0932"/>
    <w:rsid w:val="00DE3F11"/>
    <w:rsid w:val="00DE4FC0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B20C4"/>
    <w:rsid w:val="00EC7615"/>
    <w:rsid w:val="00ED16AA"/>
    <w:rsid w:val="00ED6B8D"/>
    <w:rsid w:val="00EE3D7B"/>
    <w:rsid w:val="00EF662E"/>
    <w:rsid w:val="00F10064"/>
    <w:rsid w:val="00F148F1"/>
    <w:rsid w:val="00F31F88"/>
    <w:rsid w:val="00F711A7"/>
    <w:rsid w:val="00FA3BBF"/>
    <w:rsid w:val="00FB7E0C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6840CD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R16-WRC19-C-0031!!MSW-F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5BB544-B020-4235-A6A3-F579AC7E3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39F16-9817-4057-9CAA-B2B090C7A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75319D-8770-4F73-9278-8F3526BCE831}">
  <ds:schemaRefs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408</Words>
  <Characters>2151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R16-WRC19-C-0031!!MSW-F</vt:lpstr>
    </vt:vector>
  </TitlesOfParts>
  <Manager>Secrétariat général - Pool</Manager>
  <Company>Union internationale des télécommunications (UIT)</Company>
  <LinksUpToDate>false</LinksUpToDate>
  <CharactersWithSpaces>2547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R16-WRC19-C-0031!!MSW-F</dc:title>
  <dc:subject>Conférence mondiale des radiocommunications - 2019</dc:subject>
  <dc:creator>Documents Proposals Manager (DPM)</dc:creator>
  <cp:keywords>DPM_v2019.10.14.1_prod</cp:keywords>
  <dc:description/>
  <cp:lastModifiedBy>French</cp:lastModifiedBy>
  <cp:revision>8</cp:revision>
  <cp:lastPrinted>2019-10-23T15:12:00Z</cp:lastPrinted>
  <dcterms:created xsi:type="dcterms:W3CDTF">2019-10-21T08:42:00Z</dcterms:created>
  <dcterms:modified xsi:type="dcterms:W3CDTF">2019-10-23T15:12:00Z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