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A8297AF" w14:textId="77777777" w:rsidTr="0050008E">
        <w:trPr>
          <w:cantSplit/>
        </w:trPr>
        <w:tc>
          <w:tcPr>
            <w:tcW w:w="6911" w:type="dxa"/>
          </w:tcPr>
          <w:p w14:paraId="37B13ED0" w14:textId="77777777" w:rsidR="00BB1D82" w:rsidRPr="00930FFD" w:rsidRDefault="00851625" w:rsidP="00D51BDF">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25C39046" w14:textId="77777777" w:rsidR="00BB1D82" w:rsidRPr="002A6F8F" w:rsidRDefault="000A55AE" w:rsidP="00D51BDF">
            <w:pPr>
              <w:spacing w:before="0"/>
              <w:jc w:val="right"/>
              <w:rPr>
                <w:lang w:val="en-US"/>
              </w:rPr>
            </w:pPr>
            <w:r>
              <w:rPr>
                <w:rFonts w:ascii="Verdana" w:hAnsi="Verdana"/>
                <w:b/>
                <w:bCs/>
                <w:noProof/>
                <w:lang w:val="en-US" w:eastAsia="zh-CN"/>
              </w:rPr>
              <w:drawing>
                <wp:inline distT="0" distB="0" distL="0" distR="0" wp14:anchorId="15B16AB3" wp14:editId="52571C4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9463DC6" w14:textId="77777777" w:rsidTr="0050008E">
        <w:trPr>
          <w:cantSplit/>
        </w:trPr>
        <w:tc>
          <w:tcPr>
            <w:tcW w:w="6911" w:type="dxa"/>
            <w:tcBorders>
              <w:bottom w:val="single" w:sz="12" w:space="0" w:color="auto"/>
            </w:tcBorders>
          </w:tcPr>
          <w:p w14:paraId="5F01EEA3" w14:textId="77777777" w:rsidR="00BB1D82" w:rsidRPr="002A6F8F" w:rsidRDefault="00BB1D82" w:rsidP="00D51BDF">
            <w:pPr>
              <w:spacing w:before="0" w:after="48"/>
              <w:rPr>
                <w:b/>
                <w:smallCaps/>
                <w:szCs w:val="24"/>
                <w:lang w:val="en-US"/>
              </w:rPr>
            </w:pPr>
            <w:bookmarkStart w:id="0" w:name="dhead"/>
          </w:p>
        </w:tc>
        <w:tc>
          <w:tcPr>
            <w:tcW w:w="3120" w:type="dxa"/>
            <w:tcBorders>
              <w:bottom w:val="single" w:sz="12" w:space="0" w:color="auto"/>
            </w:tcBorders>
          </w:tcPr>
          <w:p w14:paraId="682CC9CA" w14:textId="77777777" w:rsidR="00BB1D82" w:rsidRPr="002A6F8F" w:rsidRDefault="00BB1D82" w:rsidP="00D51BDF">
            <w:pPr>
              <w:spacing w:before="0"/>
              <w:rPr>
                <w:rFonts w:ascii="Verdana" w:hAnsi="Verdana"/>
                <w:szCs w:val="24"/>
                <w:lang w:val="en-US"/>
              </w:rPr>
            </w:pPr>
          </w:p>
        </w:tc>
      </w:tr>
      <w:tr w:rsidR="00BB1D82" w:rsidRPr="002A6F8F" w14:paraId="0C7A4DDC" w14:textId="77777777" w:rsidTr="00BB1D82">
        <w:trPr>
          <w:cantSplit/>
        </w:trPr>
        <w:tc>
          <w:tcPr>
            <w:tcW w:w="6911" w:type="dxa"/>
            <w:tcBorders>
              <w:top w:val="single" w:sz="12" w:space="0" w:color="auto"/>
            </w:tcBorders>
          </w:tcPr>
          <w:p w14:paraId="36BCA448" w14:textId="77777777" w:rsidR="00BB1D82" w:rsidRPr="002A6F8F" w:rsidRDefault="00BB1D82" w:rsidP="00D51BDF">
            <w:pPr>
              <w:spacing w:before="0" w:after="48"/>
              <w:rPr>
                <w:rFonts w:ascii="Verdana" w:hAnsi="Verdana"/>
                <w:b/>
                <w:smallCaps/>
                <w:sz w:val="20"/>
                <w:lang w:val="en-US"/>
              </w:rPr>
            </w:pPr>
          </w:p>
        </w:tc>
        <w:tc>
          <w:tcPr>
            <w:tcW w:w="3120" w:type="dxa"/>
            <w:tcBorders>
              <w:top w:val="single" w:sz="12" w:space="0" w:color="auto"/>
            </w:tcBorders>
          </w:tcPr>
          <w:p w14:paraId="7DF71F57" w14:textId="77777777" w:rsidR="00BB1D82" w:rsidRPr="002A6F8F" w:rsidRDefault="00BB1D82" w:rsidP="00D51BDF">
            <w:pPr>
              <w:spacing w:before="0"/>
              <w:rPr>
                <w:rFonts w:ascii="Verdana" w:hAnsi="Verdana"/>
                <w:sz w:val="20"/>
                <w:lang w:val="en-US"/>
              </w:rPr>
            </w:pPr>
          </w:p>
        </w:tc>
      </w:tr>
      <w:tr w:rsidR="00BB1D82" w:rsidRPr="002A6F8F" w14:paraId="3FA2405F" w14:textId="77777777" w:rsidTr="00BB1D82">
        <w:trPr>
          <w:cantSplit/>
        </w:trPr>
        <w:tc>
          <w:tcPr>
            <w:tcW w:w="6911" w:type="dxa"/>
          </w:tcPr>
          <w:p w14:paraId="4B09B123" w14:textId="77777777" w:rsidR="00BB1D82" w:rsidRPr="00930FFD" w:rsidRDefault="006D4724" w:rsidP="00D51BDF">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4DDD58BE" w14:textId="77777777" w:rsidR="00BB1D82" w:rsidRPr="002A6F8F" w:rsidRDefault="006D4724" w:rsidP="00D51BDF">
            <w:pPr>
              <w:spacing w:before="0"/>
              <w:rPr>
                <w:rFonts w:ascii="Verdana" w:hAnsi="Verdana"/>
                <w:sz w:val="20"/>
                <w:lang w:val="en-US"/>
              </w:rPr>
            </w:pPr>
            <w:r>
              <w:rPr>
                <w:rFonts w:ascii="Verdana" w:hAnsi="Verdana"/>
                <w:b/>
                <w:sz w:val="20"/>
                <w:lang w:val="en-US"/>
              </w:rPr>
              <w:t>Addendum 7 au</w:t>
            </w:r>
            <w:r>
              <w:rPr>
                <w:rFonts w:ascii="Verdana" w:hAnsi="Verdana"/>
                <w:b/>
                <w:sz w:val="20"/>
                <w:lang w:val="en-US"/>
              </w:rPr>
              <w:br/>
              <w:t>Document 28</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21407D88" w14:textId="77777777" w:rsidTr="00BB1D82">
        <w:trPr>
          <w:cantSplit/>
        </w:trPr>
        <w:tc>
          <w:tcPr>
            <w:tcW w:w="6911" w:type="dxa"/>
          </w:tcPr>
          <w:p w14:paraId="4E8C6410" w14:textId="77777777" w:rsidR="00690C7B" w:rsidRPr="00930FFD" w:rsidRDefault="00690C7B" w:rsidP="00D51BDF">
            <w:pPr>
              <w:spacing w:before="0"/>
              <w:rPr>
                <w:rFonts w:ascii="Verdana" w:hAnsi="Verdana"/>
                <w:b/>
                <w:sz w:val="20"/>
                <w:lang w:val="en-US"/>
              </w:rPr>
            </w:pPr>
          </w:p>
        </w:tc>
        <w:tc>
          <w:tcPr>
            <w:tcW w:w="3120" w:type="dxa"/>
          </w:tcPr>
          <w:p w14:paraId="7AE794B2" w14:textId="77777777" w:rsidR="00690C7B" w:rsidRPr="002A6F8F" w:rsidRDefault="00690C7B" w:rsidP="00D51BDF">
            <w:pPr>
              <w:spacing w:before="0"/>
              <w:rPr>
                <w:rFonts w:ascii="Verdana" w:hAnsi="Verdana"/>
                <w:b/>
                <w:sz w:val="20"/>
                <w:lang w:val="en-US"/>
              </w:rPr>
            </w:pPr>
            <w:r w:rsidRPr="002A6F8F">
              <w:rPr>
                <w:rFonts w:ascii="Verdana" w:hAnsi="Verdana"/>
                <w:b/>
                <w:sz w:val="20"/>
                <w:lang w:val="en-US"/>
              </w:rPr>
              <w:t>27 septembre 2019</w:t>
            </w:r>
          </w:p>
        </w:tc>
      </w:tr>
      <w:tr w:rsidR="00690C7B" w:rsidRPr="002A6F8F" w14:paraId="70F7D233" w14:textId="77777777" w:rsidTr="00BB1D82">
        <w:trPr>
          <w:cantSplit/>
        </w:trPr>
        <w:tc>
          <w:tcPr>
            <w:tcW w:w="6911" w:type="dxa"/>
          </w:tcPr>
          <w:p w14:paraId="421C9077" w14:textId="77777777" w:rsidR="00690C7B" w:rsidRPr="002A6F8F" w:rsidRDefault="00690C7B" w:rsidP="00D51BDF">
            <w:pPr>
              <w:spacing w:before="0" w:after="48"/>
              <w:rPr>
                <w:rFonts w:ascii="Verdana" w:hAnsi="Verdana"/>
                <w:b/>
                <w:smallCaps/>
                <w:sz w:val="20"/>
                <w:lang w:val="en-US"/>
              </w:rPr>
            </w:pPr>
          </w:p>
        </w:tc>
        <w:tc>
          <w:tcPr>
            <w:tcW w:w="3120" w:type="dxa"/>
          </w:tcPr>
          <w:p w14:paraId="5CDEF8B3" w14:textId="77777777" w:rsidR="00690C7B" w:rsidRPr="002A6F8F" w:rsidRDefault="00690C7B" w:rsidP="00D51BDF">
            <w:pPr>
              <w:spacing w:before="0"/>
              <w:rPr>
                <w:rFonts w:ascii="Verdana" w:hAnsi="Verdana"/>
                <w:b/>
                <w:sz w:val="20"/>
                <w:lang w:val="en-US"/>
              </w:rPr>
            </w:pPr>
            <w:r w:rsidRPr="002A6F8F">
              <w:rPr>
                <w:rFonts w:ascii="Verdana" w:hAnsi="Verdana"/>
                <w:b/>
                <w:sz w:val="20"/>
                <w:lang w:val="en-US"/>
              </w:rPr>
              <w:t>Original: chinois</w:t>
            </w:r>
          </w:p>
        </w:tc>
      </w:tr>
      <w:tr w:rsidR="00690C7B" w:rsidRPr="002A6F8F" w14:paraId="594DA5B7" w14:textId="77777777" w:rsidTr="00C11970">
        <w:trPr>
          <w:cantSplit/>
        </w:trPr>
        <w:tc>
          <w:tcPr>
            <w:tcW w:w="10031" w:type="dxa"/>
            <w:gridSpan w:val="2"/>
          </w:tcPr>
          <w:p w14:paraId="6E47F34C" w14:textId="77777777" w:rsidR="00690C7B" w:rsidRPr="002A6F8F" w:rsidRDefault="00690C7B" w:rsidP="00D51BDF">
            <w:pPr>
              <w:spacing w:before="0"/>
              <w:rPr>
                <w:rFonts w:ascii="Verdana" w:hAnsi="Verdana"/>
                <w:b/>
                <w:sz w:val="20"/>
                <w:lang w:val="en-US"/>
              </w:rPr>
            </w:pPr>
          </w:p>
        </w:tc>
      </w:tr>
      <w:tr w:rsidR="00690C7B" w:rsidRPr="002A6F8F" w14:paraId="0169F97F" w14:textId="77777777" w:rsidTr="0050008E">
        <w:trPr>
          <w:cantSplit/>
        </w:trPr>
        <w:tc>
          <w:tcPr>
            <w:tcW w:w="10031" w:type="dxa"/>
            <w:gridSpan w:val="2"/>
          </w:tcPr>
          <w:p w14:paraId="12DB481B" w14:textId="77777777" w:rsidR="00690C7B" w:rsidRPr="002A6F8F" w:rsidRDefault="00690C7B" w:rsidP="00D51BDF">
            <w:pPr>
              <w:pStyle w:val="Source"/>
              <w:rPr>
                <w:lang w:val="en-US"/>
              </w:rPr>
            </w:pPr>
            <w:bookmarkStart w:id="1" w:name="dsource" w:colFirst="0" w:colLast="0"/>
            <w:r w:rsidRPr="002A6F8F">
              <w:rPr>
                <w:lang w:val="en-US"/>
              </w:rPr>
              <w:t>Chine (Répu</w:t>
            </w:r>
            <w:bookmarkStart w:id="2" w:name="_GoBack"/>
            <w:bookmarkEnd w:id="2"/>
            <w:r w:rsidRPr="002A6F8F">
              <w:rPr>
                <w:lang w:val="en-US"/>
              </w:rPr>
              <w:t>blique populaire de)</w:t>
            </w:r>
          </w:p>
        </w:tc>
      </w:tr>
      <w:tr w:rsidR="00690C7B" w:rsidRPr="002A6F8F" w14:paraId="4B098D9F" w14:textId="77777777" w:rsidTr="0050008E">
        <w:trPr>
          <w:cantSplit/>
        </w:trPr>
        <w:tc>
          <w:tcPr>
            <w:tcW w:w="10031" w:type="dxa"/>
            <w:gridSpan w:val="2"/>
          </w:tcPr>
          <w:p w14:paraId="59952DC4" w14:textId="77777777" w:rsidR="00690C7B" w:rsidRPr="002A5652" w:rsidRDefault="00690C7B" w:rsidP="00D51BDF">
            <w:pPr>
              <w:pStyle w:val="Title1"/>
            </w:pPr>
            <w:bookmarkStart w:id="3" w:name="dtitle1" w:colFirst="0" w:colLast="0"/>
            <w:bookmarkEnd w:id="1"/>
            <w:r w:rsidRPr="002A5652">
              <w:t>Propositions pour les travaux de la conférence</w:t>
            </w:r>
          </w:p>
        </w:tc>
      </w:tr>
      <w:tr w:rsidR="00690C7B" w:rsidRPr="002A6F8F" w14:paraId="15DCBB2D" w14:textId="77777777" w:rsidTr="0050008E">
        <w:trPr>
          <w:cantSplit/>
        </w:trPr>
        <w:tc>
          <w:tcPr>
            <w:tcW w:w="10031" w:type="dxa"/>
            <w:gridSpan w:val="2"/>
          </w:tcPr>
          <w:p w14:paraId="488AF4C3" w14:textId="77777777" w:rsidR="00690C7B" w:rsidRPr="002A5652" w:rsidRDefault="00690C7B" w:rsidP="00D51BDF">
            <w:pPr>
              <w:pStyle w:val="Title2"/>
            </w:pPr>
            <w:bookmarkStart w:id="4" w:name="dtitle2" w:colFirst="0" w:colLast="0"/>
            <w:bookmarkEnd w:id="3"/>
          </w:p>
        </w:tc>
      </w:tr>
      <w:tr w:rsidR="00690C7B" w14:paraId="7D5142ED" w14:textId="77777777" w:rsidTr="0050008E">
        <w:trPr>
          <w:cantSplit/>
        </w:trPr>
        <w:tc>
          <w:tcPr>
            <w:tcW w:w="10031" w:type="dxa"/>
            <w:gridSpan w:val="2"/>
          </w:tcPr>
          <w:p w14:paraId="50057B1F" w14:textId="77777777" w:rsidR="00690C7B" w:rsidRDefault="00690C7B" w:rsidP="00D51BDF">
            <w:pPr>
              <w:pStyle w:val="Agendaitem"/>
            </w:pPr>
            <w:bookmarkStart w:id="5" w:name="dtitle3" w:colFirst="0" w:colLast="0"/>
            <w:bookmarkEnd w:id="4"/>
            <w:r w:rsidRPr="006D4724">
              <w:t>Point 1.7 de l'ordre du jour</w:t>
            </w:r>
          </w:p>
        </w:tc>
      </w:tr>
    </w:tbl>
    <w:bookmarkEnd w:id="5"/>
    <w:p w14:paraId="3181892A" w14:textId="77777777" w:rsidR="001C0E40" w:rsidRPr="00404314" w:rsidRDefault="00465EFD" w:rsidP="00D51BDF">
      <w:r w:rsidRPr="009B46DD">
        <w:t>1.7</w:t>
      </w:r>
      <w:r w:rsidRPr="009B46DD">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9B46DD">
        <w:rPr>
          <w:b/>
          <w:bCs/>
        </w:rPr>
        <w:t>659 (CMR</w:t>
      </w:r>
      <w:r w:rsidRPr="009B46DD">
        <w:rPr>
          <w:b/>
          <w:bCs/>
        </w:rPr>
        <w:noBreakHyphen/>
        <w:t>15)</w:t>
      </w:r>
      <w:r w:rsidRPr="009B46DD">
        <w:t>;</w:t>
      </w:r>
    </w:p>
    <w:p w14:paraId="078DDE31" w14:textId="77777777" w:rsidR="006C7852" w:rsidRPr="002A5652" w:rsidRDefault="006C7852" w:rsidP="00D51BDF">
      <w:pPr>
        <w:pStyle w:val="Headingb"/>
        <w:outlineLvl w:val="0"/>
        <w:rPr>
          <w:lang w:eastAsia="zh-CN"/>
        </w:rPr>
      </w:pPr>
      <w:r w:rsidRPr="002A5652">
        <w:rPr>
          <w:lang w:eastAsia="zh-CN"/>
        </w:rPr>
        <w:t>Introduction</w:t>
      </w:r>
    </w:p>
    <w:p w14:paraId="30A69D9C" w14:textId="77777777" w:rsidR="006C7852" w:rsidRPr="00FA286A" w:rsidRDefault="006C7852" w:rsidP="00D51BDF">
      <w:pPr>
        <w:rPr>
          <w:lang w:val="fr-CH"/>
        </w:rPr>
      </w:pPr>
      <w:r w:rsidRPr="00FA286A">
        <w:rPr>
          <w:lang w:val="fr-CH"/>
        </w:rPr>
        <w:t xml:space="preserve">Conformément à la Résolution </w:t>
      </w:r>
      <w:r w:rsidRPr="00FA286A">
        <w:rPr>
          <w:b/>
          <w:bCs/>
          <w:lang w:val="fr-CH"/>
        </w:rPr>
        <w:t>659 (CMR-15)</w:t>
      </w:r>
      <w:r w:rsidRPr="00FA286A">
        <w:rPr>
          <w:lang w:val="fr-CH"/>
        </w:rPr>
        <w:t>, l'UIT-R a procédé à des études sur les besoins de spectre pour la télémesure, la poursuite et la télécommande (TT&amp;C) dans le service d'exploitation spatiale (SES) pour les satellites non géostationnaires associés à des missions de courte durée (non OSG SD), afin d'évaluer si les attributions existantes du service d'exploitation spatiale conviennent et, au besoin, d'envisager de nouvelles attributions.</w:t>
      </w:r>
    </w:p>
    <w:p w14:paraId="02F948AF" w14:textId="77777777" w:rsidR="006C7852" w:rsidRPr="00FA286A" w:rsidRDefault="006C7852" w:rsidP="00D51BDF">
      <w:pPr>
        <w:rPr>
          <w:lang w:val="fr-CH"/>
        </w:rPr>
      </w:pPr>
      <w:r w:rsidRPr="00FA286A">
        <w:rPr>
          <w:lang w:val="fr-CH"/>
        </w:rPr>
        <w:t>Des paramètres techniques types pour les fonctions TT&amp;C assurées par des satellites non OSG pour des missions de courte durée ont été élaborés en vue d'être utilisés dans les études.</w:t>
      </w:r>
    </w:p>
    <w:p w14:paraId="30662157" w14:textId="4EACE7DB" w:rsidR="006C7852" w:rsidRPr="00FA286A" w:rsidRDefault="006C7852" w:rsidP="00D51BDF">
      <w:pPr>
        <w:rPr>
          <w:lang w:val="fr-CH"/>
        </w:rPr>
      </w:pPr>
      <w:r w:rsidRPr="00FA286A">
        <w:rPr>
          <w:lang w:val="fr-CH"/>
        </w:rPr>
        <w:t>Il ressort des études que la quantité de spectre nécessaire aux systèmes non OSG SD est comprise entre 0,682</w:t>
      </w:r>
      <w:r w:rsidR="00D1127A">
        <w:rPr>
          <w:lang w:val="fr-CH"/>
        </w:rPr>
        <w:t> </w:t>
      </w:r>
      <w:r w:rsidRPr="00FA286A">
        <w:rPr>
          <w:lang w:val="fr-CH"/>
        </w:rPr>
        <w:t>MHz et 0,938</w:t>
      </w:r>
      <w:r w:rsidR="00D1127A">
        <w:rPr>
          <w:lang w:val="fr-CH"/>
        </w:rPr>
        <w:t> </w:t>
      </w:r>
      <w:r w:rsidRPr="00FA286A">
        <w:rPr>
          <w:lang w:val="fr-CH"/>
        </w:rPr>
        <w:t>MHz pour la liaison montante de la station terrienne non OSG SD (en fonction du scénario), et entre 0,625</w:t>
      </w:r>
      <w:r w:rsidR="00D1127A">
        <w:rPr>
          <w:lang w:val="fr-CH"/>
        </w:rPr>
        <w:t> </w:t>
      </w:r>
      <w:r w:rsidRPr="00FA286A">
        <w:rPr>
          <w:lang w:val="fr-CH"/>
        </w:rPr>
        <w:t>MHz et 2,5</w:t>
      </w:r>
      <w:r w:rsidR="00D1127A">
        <w:rPr>
          <w:lang w:val="fr-CH"/>
        </w:rPr>
        <w:t> </w:t>
      </w:r>
      <w:r w:rsidRPr="00FA286A">
        <w:rPr>
          <w:lang w:val="fr-CH"/>
        </w:rPr>
        <w:t>MHz pour la liaison descendante du satellite non OSG SD (en fonction du scénario).</w:t>
      </w:r>
    </w:p>
    <w:p w14:paraId="5919D030" w14:textId="77777777" w:rsidR="006C7852" w:rsidRPr="00FA286A" w:rsidRDefault="006C7852" w:rsidP="00D51BDF">
      <w:pPr>
        <w:rPr>
          <w:lang w:val="fr-CH"/>
        </w:rPr>
      </w:pPr>
      <w:r w:rsidRPr="00FA286A">
        <w:rPr>
          <w:lang w:val="fr-CH"/>
        </w:rPr>
        <w:t>En outre, des études techniques et réglementaires, notamment des études de compatibilité et</w:t>
      </w:r>
      <w:r w:rsidRPr="00FA286A">
        <w:t xml:space="preserve"> </w:t>
      </w:r>
      <w:r w:rsidRPr="00FA286A">
        <w:rPr>
          <w:lang w:val="fr-CH"/>
        </w:rPr>
        <w:t>de partage, ont été effectuées.</w:t>
      </w:r>
    </w:p>
    <w:p w14:paraId="4E549A27" w14:textId="1A541485" w:rsidR="006C7852" w:rsidRPr="00FA286A" w:rsidRDefault="006C7852" w:rsidP="00D51BDF">
      <w:pPr>
        <w:rPr>
          <w:lang w:val="fr-CH"/>
        </w:rPr>
      </w:pPr>
      <w:r w:rsidRPr="00FA286A">
        <w:rPr>
          <w:lang w:val="fr-CH"/>
        </w:rPr>
        <w:t xml:space="preserve">Quatre méthodes, assorties de textes réglementaires, ont été élaborées </w:t>
      </w:r>
      <w:r w:rsidR="002A5652" w:rsidRPr="002A5652">
        <w:rPr>
          <w:lang w:val="fr-CH"/>
        </w:rPr>
        <w:t xml:space="preserve">dans le </w:t>
      </w:r>
      <w:r w:rsidR="00D51BDF">
        <w:rPr>
          <w:lang w:val="fr-CH"/>
        </w:rPr>
        <w:t>R</w:t>
      </w:r>
      <w:r w:rsidR="002A5652" w:rsidRPr="002A5652">
        <w:rPr>
          <w:lang w:val="fr-CH"/>
        </w:rPr>
        <w:t xml:space="preserve">apport de la RPC </w:t>
      </w:r>
      <w:r w:rsidRPr="00FA286A">
        <w:rPr>
          <w:lang w:val="fr-CH"/>
        </w:rPr>
        <w:t xml:space="preserve">pour traiter ce point de l'ordre du jour. Selon les Méthodes B1 et B2, il est proposé de faire une nouvelle attribution (voir le point 3 du </w:t>
      </w:r>
      <w:r w:rsidRPr="00FA286A">
        <w:rPr>
          <w:i/>
          <w:iCs/>
          <w:lang w:val="fr-CH"/>
        </w:rPr>
        <w:t>invite</w:t>
      </w:r>
      <w:r w:rsidRPr="00FA286A">
        <w:rPr>
          <w:lang w:val="fr-CH"/>
        </w:rPr>
        <w:t xml:space="preserve"> de la Résolution </w:t>
      </w:r>
      <w:r w:rsidRPr="00FA286A">
        <w:rPr>
          <w:b/>
          <w:bCs/>
          <w:lang w:val="fr-CH"/>
        </w:rPr>
        <w:t>659 (CMR-15)</w:t>
      </w:r>
      <w:r w:rsidRPr="00FA286A">
        <w:rPr>
          <w:lang w:val="fr-CH"/>
        </w:rPr>
        <w:t>) et selon la Méthode</w:t>
      </w:r>
      <w:r w:rsidR="0081656A">
        <w:rPr>
          <w:lang w:val="fr-CH"/>
        </w:rPr>
        <w:t> </w:t>
      </w:r>
      <w:r w:rsidRPr="00FA286A">
        <w:rPr>
          <w:lang w:val="fr-CH"/>
        </w:rPr>
        <w:t xml:space="preserve">C, il est proposé d'utiliser les attributions existantes (voir le point 2 du </w:t>
      </w:r>
      <w:r w:rsidRPr="00FA286A">
        <w:rPr>
          <w:i/>
          <w:iCs/>
          <w:lang w:val="fr-CH"/>
        </w:rPr>
        <w:t>invite</w:t>
      </w:r>
      <w:r w:rsidRPr="00FA286A">
        <w:rPr>
          <w:lang w:val="fr-CH"/>
        </w:rPr>
        <w:t xml:space="preserve"> de la Résolution</w:t>
      </w:r>
      <w:r w:rsidR="00D1127A">
        <w:rPr>
          <w:lang w:val="fr-CH"/>
        </w:rPr>
        <w:t> </w:t>
      </w:r>
      <w:r w:rsidRPr="00FA286A">
        <w:rPr>
          <w:b/>
          <w:bCs/>
          <w:lang w:val="fr-CH"/>
        </w:rPr>
        <w:t>659 (CMR-15)</w:t>
      </w:r>
      <w:r w:rsidRPr="00FA286A">
        <w:rPr>
          <w:lang w:val="fr-CH"/>
        </w:rPr>
        <w:t>):</w:t>
      </w:r>
    </w:p>
    <w:p w14:paraId="1EAAA668" w14:textId="6612AC37" w:rsidR="006C7852" w:rsidRPr="00FA286A" w:rsidRDefault="006C7852" w:rsidP="00D51BDF">
      <w:pPr>
        <w:pStyle w:val="enumlev1"/>
        <w:rPr>
          <w:lang w:val="fr-CH"/>
        </w:rPr>
      </w:pPr>
      <w:r w:rsidRPr="00FA286A">
        <w:rPr>
          <w:lang w:val="fr-CH"/>
        </w:rPr>
        <w:t>–</w:t>
      </w:r>
      <w:r w:rsidRPr="00FA286A">
        <w:rPr>
          <w:lang w:val="fr-CH"/>
        </w:rPr>
        <w:tab/>
      </w:r>
      <w:r w:rsidRPr="00FA286A">
        <w:rPr>
          <w:color w:val="000000"/>
          <w:lang w:val="fr-CH"/>
        </w:rPr>
        <w:t>Dans la Méthode A, il est proposé de n'apporter aucune modification au Règlement des radiocommunications</w:t>
      </w:r>
      <w:r w:rsidR="002A5652">
        <w:rPr>
          <w:color w:val="000000"/>
          <w:lang w:val="fr-CH"/>
        </w:rPr>
        <w:t xml:space="preserve"> (RR)</w:t>
      </w:r>
      <w:r w:rsidRPr="00FA286A">
        <w:rPr>
          <w:color w:val="000000"/>
          <w:lang w:val="fr-CH"/>
        </w:rPr>
        <w:t>.</w:t>
      </w:r>
    </w:p>
    <w:p w14:paraId="13BEAE43" w14:textId="21930BA9" w:rsidR="006C7852" w:rsidRPr="00FA286A" w:rsidRDefault="006C7852" w:rsidP="00D51BDF">
      <w:pPr>
        <w:pStyle w:val="enumlev1"/>
        <w:rPr>
          <w:lang w:val="fr-CH"/>
        </w:rPr>
      </w:pPr>
      <w:r w:rsidRPr="00FA286A">
        <w:rPr>
          <w:lang w:val="fr-CH"/>
        </w:rPr>
        <w:t>–</w:t>
      </w:r>
      <w:r w:rsidRPr="00FA286A">
        <w:rPr>
          <w:lang w:val="fr-CH"/>
        </w:rPr>
        <w:tab/>
      </w:r>
      <w:r w:rsidRPr="00FA286A">
        <w:rPr>
          <w:color w:val="000000"/>
          <w:lang w:val="fr-CH"/>
        </w:rPr>
        <w:t>Dans</w:t>
      </w:r>
      <w:r w:rsidRPr="00FA286A">
        <w:rPr>
          <w:lang w:val="fr-CH"/>
        </w:rPr>
        <w:t xml:space="preserve"> la Méthode B1, il est proposé de faire une nouvelle attribution au SES (Terre vers espace) pour les systèmes non OSG SD dans la gamme de fréquences 403</w:t>
      </w:r>
      <w:r w:rsidR="00D1127A">
        <w:rPr>
          <w:lang w:val="fr-CH"/>
        </w:rPr>
        <w:noBreakHyphen/>
      </w:r>
      <w:r w:rsidRPr="00FA286A">
        <w:rPr>
          <w:lang w:val="fr-CH"/>
        </w:rPr>
        <w:t>404</w:t>
      </w:r>
      <w:r w:rsidR="00D1127A">
        <w:rPr>
          <w:lang w:val="fr-CH"/>
        </w:rPr>
        <w:t> </w:t>
      </w:r>
      <w:r w:rsidRPr="00FA286A">
        <w:rPr>
          <w:lang w:val="fr-CH"/>
        </w:rPr>
        <w:t>MHz.</w:t>
      </w:r>
    </w:p>
    <w:p w14:paraId="153008F3" w14:textId="6831ED4E" w:rsidR="006C7852" w:rsidRPr="00FA286A" w:rsidRDefault="006C7852" w:rsidP="00D51BDF">
      <w:pPr>
        <w:pStyle w:val="enumlev1"/>
        <w:rPr>
          <w:lang w:val="fr-CH"/>
        </w:rPr>
      </w:pPr>
      <w:r w:rsidRPr="00FA286A">
        <w:rPr>
          <w:lang w:val="fr-CH"/>
        </w:rPr>
        <w:lastRenderedPageBreak/>
        <w:t>–</w:t>
      </w:r>
      <w:r w:rsidRPr="00FA286A">
        <w:rPr>
          <w:lang w:val="fr-CH"/>
        </w:rPr>
        <w:tab/>
      </w:r>
      <w:r w:rsidRPr="00FA286A">
        <w:rPr>
          <w:color w:val="000000"/>
          <w:lang w:val="fr-CH"/>
        </w:rPr>
        <w:t>Dans</w:t>
      </w:r>
      <w:r w:rsidRPr="00FA286A">
        <w:rPr>
          <w:lang w:val="fr-CH"/>
        </w:rPr>
        <w:t xml:space="preserve"> la Méthode B2, il est proposé de faire une nouvelle attribution au SES (Terre vers espace) pour les systèmes non OSG SD dans la gamme de fréquences 404</w:t>
      </w:r>
      <w:r w:rsidR="00D1127A">
        <w:rPr>
          <w:lang w:val="fr-CH"/>
        </w:rPr>
        <w:noBreakHyphen/>
      </w:r>
      <w:r w:rsidRPr="00FA286A">
        <w:rPr>
          <w:lang w:val="fr-CH"/>
        </w:rPr>
        <w:t>405</w:t>
      </w:r>
      <w:r w:rsidR="00D1127A">
        <w:rPr>
          <w:lang w:val="fr-CH"/>
        </w:rPr>
        <w:t> </w:t>
      </w:r>
      <w:r w:rsidRPr="00FA286A">
        <w:rPr>
          <w:lang w:val="fr-CH"/>
        </w:rPr>
        <w:t>MHz.</w:t>
      </w:r>
    </w:p>
    <w:p w14:paraId="4B31FD7A" w14:textId="52FEB25A" w:rsidR="006C7852" w:rsidRPr="006C7852" w:rsidRDefault="006C7852" w:rsidP="00D51BDF">
      <w:pPr>
        <w:pStyle w:val="enumlev1"/>
        <w:rPr>
          <w:lang w:val="fr-CH"/>
        </w:rPr>
      </w:pPr>
      <w:r w:rsidRPr="00FA286A">
        <w:rPr>
          <w:lang w:val="fr-CH"/>
        </w:rPr>
        <w:t>–</w:t>
      </w:r>
      <w:r w:rsidRPr="00FA286A">
        <w:rPr>
          <w:lang w:val="fr-CH"/>
        </w:rPr>
        <w:tab/>
      </w:r>
      <w:r w:rsidRPr="00FA286A">
        <w:rPr>
          <w:color w:val="000000"/>
          <w:lang w:val="fr-CH"/>
        </w:rPr>
        <w:t>Dans</w:t>
      </w:r>
      <w:r w:rsidRPr="00FA286A">
        <w:rPr>
          <w:lang w:val="fr-CH"/>
        </w:rPr>
        <w:t xml:space="preserve"> la Méthode C, il est proposé d'utiliser l'attribution au SES dans la bande de fréquences 137</w:t>
      </w:r>
      <w:r w:rsidR="00D1127A">
        <w:rPr>
          <w:lang w:val="fr-CH"/>
        </w:rPr>
        <w:noBreakHyphen/>
      </w:r>
      <w:r w:rsidRPr="00FA286A">
        <w:rPr>
          <w:lang w:val="fr-CH"/>
        </w:rPr>
        <w:t>138</w:t>
      </w:r>
      <w:r w:rsidR="00D1127A">
        <w:rPr>
          <w:lang w:val="fr-CH"/>
        </w:rPr>
        <w:t> </w:t>
      </w:r>
      <w:r w:rsidRPr="00FA286A">
        <w:rPr>
          <w:lang w:val="fr-CH"/>
        </w:rPr>
        <w:t>MHz pour les liaisons descendantes et la bande 148</w:t>
      </w:r>
      <w:r w:rsidR="00D1127A">
        <w:rPr>
          <w:lang w:val="fr-CH"/>
        </w:rPr>
        <w:noBreakHyphen/>
      </w:r>
      <w:r w:rsidRPr="00FA286A">
        <w:rPr>
          <w:lang w:val="fr-CH"/>
        </w:rPr>
        <w:t>149,9</w:t>
      </w:r>
      <w:r w:rsidR="00D1127A">
        <w:rPr>
          <w:lang w:val="fr-CH"/>
        </w:rPr>
        <w:t> </w:t>
      </w:r>
      <w:r w:rsidRPr="00FA286A">
        <w:rPr>
          <w:lang w:val="fr-CH"/>
        </w:rPr>
        <w:t xml:space="preserve">MHz pour les liaisons montantes, et de prévoir des dispositions réglementaires associées appropriées dans le Règlement des radiocommunications pour les liaisons de télécommande destinées aux missions SD effectuées par des satellites </w:t>
      </w:r>
      <w:r w:rsidR="00E85F56">
        <w:rPr>
          <w:lang w:val="fr-CH"/>
        </w:rPr>
        <w:t xml:space="preserve">non </w:t>
      </w:r>
      <w:r w:rsidRPr="00FA286A">
        <w:rPr>
          <w:lang w:val="fr-CH"/>
        </w:rPr>
        <w:t>OSG.</w:t>
      </w:r>
    </w:p>
    <w:p w14:paraId="57D61D4A" w14:textId="77DC8762" w:rsidR="006C7852" w:rsidRPr="00D30E7E" w:rsidRDefault="006C7852" w:rsidP="00D51BDF">
      <w:pPr>
        <w:pStyle w:val="Headingb"/>
        <w:outlineLvl w:val="0"/>
        <w:rPr>
          <w:lang w:val="en-US" w:eastAsia="zh-CN"/>
        </w:rPr>
      </w:pPr>
      <w:r>
        <w:rPr>
          <w:lang w:val="en-US" w:eastAsia="zh-CN"/>
        </w:rPr>
        <w:t>Propos</w:t>
      </w:r>
      <w:r w:rsidR="002A5652">
        <w:rPr>
          <w:lang w:val="en-US" w:eastAsia="zh-CN"/>
        </w:rPr>
        <w:t>itions</w:t>
      </w:r>
    </w:p>
    <w:p w14:paraId="4C2E9645" w14:textId="514BA279" w:rsidR="006C7852" w:rsidRPr="00D6120B" w:rsidRDefault="002A5652" w:rsidP="00D51BDF">
      <w:pPr>
        <w:rPr>
          <w:lang w:eastAsia="zh-CN"/>
        </w:rPr>
      </w:pPr>
      <w:r w:rsidRPr="002A5652">
        <w:rPr>
          <w:lang w:eastAsia="zh-CN"/>
        </w:rPr>
        <w:t xml:space="preserve">La </w:t>
      </w:r>
      <w:r w:rsidR="006C7852" w:rsidRPr="002A5652">
        <w:rPr>
          <w:rFonts w:hint="eastAsia"/>
          <w:lang w:eastAsia="zh-CN"/>
        </w:rPr>
        <w:t>Chin</w:t>
      </w:r>
      <w:r w:rsidRPr="002A5652">
        <w:rPr>
          <w:lang w:eastAsia="zh-CN"/>
        </w:rPr>
        <w:t>e est favorable à</w:t>
      </w:r>
      <w:r>
        <w:rPr>
          <w:lang w:eastAsia="zh-CN"/>
        </w:rPr>
        <w:t xml:space="preserve"> l</w:t>
      </w:r>
      <w:r w:rsidR="0081656A">
        <w:rPr>
          <w:lang w:eastAsia="zh-CN"/>
        </w:rPr>
        <w:t>'</w:t>
      </w:r>
      <w:r>
        <w:rPr>
          <w:lang w:eastAsia="zh-CN"/>
        </w:rPr>
        <w:t xml:space="preserve">utilisation de </w:t>
      </w:r>
      <w:r w:rsidRPr="002A5652">
        <w:rPr>
          <w:lang w:eastAsia="zh-CN"/>
        </w:rPr>
        <w:t>l'attribution au SES dans la bande de fréquences</w:t>
      </w:r>
      <w:r>
        <w:rPr>
          <w:lang w:eastAsia="zh-CN"/>
        </w:rPr>
        <w:t xml:space="preserve"> </w:t>
      </w:r>
      <w:r w:rsidRPr="002A5652">
        <w:t>137</w:t>
      </w:r>
      <w:r w:rsidR="00D1127A">
        <w:noBreakHyphen/>
      </w:r>
      <w:r w:rsidRPr="002A5652">
        <w:t>138</w:t>
      </w:r>
      <w:r w:rsidR="00D1127A">
        <w:t> </w:t>
      </w:r>
      <w:r w:rsidRPr="002A5652">
        <w:t>MHz</w:t>
      </w:r>
      <w:r>
        <w:t xml:space="preserve"> </w:t>
      </w:r>
      <w:r w:rsidRPr="002A5652">
        <w:t>pour les liaisons descendantes et</w:t>
      </w:r>
      <w:r>
        <w:t xml:space="preserve"> dans</w:t>
      </w:r>
      <w:r w:rsidRPr="002A5652">
        <w:t xml:space="preserve"> la bande 148</w:t>
      </w:r>
      <w:r w:rsidR="00D1127A">
        <w:noBreakHyphen/>
      </w:r>
      <w:r w:rsidRPr="002A5652">
        <w:t>149,9</w:t>
      </w:r>
      <w:r w:rsidR="00D1127A">
        <w:t> </w:t>
      </w:r>
      <w:r w:rsidRPr="002A5652">
        <w:t>MHz pour les liaisons montantes</w:t>
      </w:r>
      <w:r w:rsidR="00E85F56" w:rsidRPr="00E85F56">
        <w:t xml:space="preserve"> destinées aux missions SD effectuées par des satellites non OSG</w:t>
      </w:r>
      <w:r w:rsidR="00E85F56">
        <w:t xml:space="preserve">. La Chine </w:t>
      </w:r>
      <w:r w:rsidR="00E85F56" w:rsidRPr="00E85F56">
        <w:t>n'est pas opposée</w:t>
      </w:r>
      <w:r w:rsidR="00E85F56">
        <w:t xml:space="preserve"> à la suppression de la </w:t>
      </w:r>
      <w:r w:rsidR="00E85F56" w:rsidRPr="00E85F56">
        <w:t xml:space="preserve">référence au numéro </w:t>
      </w:r>
      <w:r w:rsidR="00E85F56" w:rsidRPr="00D6120B">
        <w:rPr>
          <w:b/>
          <w:bCs/>
        </w:rPr>
        <w:t>9.21</w:t>
      </w:r>
      <w:r w:rsidR="00E85F56" w:rsidRPr="00E85F56">
        <w:t xml:space="preserve"> du RR dans le numéro </w:t>
      </w:r>
      <w:r w:rsidR="00E85F56" w:rsidRPr="00D6120B">
        <w:rPr>
          <w:b/>
          <w:bCs/>
        </w:rPr>
        <w:t>5.218</w:t>
      </w:r>
      <w:r w:rsidR="00E85F56" w:rsidRPr="00E85F56">
        <w:t xml:space="preserve"> du RR</w:t>
      </w:r>
      <w:r w:rsidR="006C7852" w:rsidRPr="00D6120B">
        <w:t>.</w:t>
      </w:r>
    </w:p>
    <w:p w14:paraId="5177EEE4" w14:textId="77777777" w:rsidR="003A583E" w:rsidRPr="00D6120B" w:rsidRDefault="003A583E" w:rsidP="00D51BDF"/>
    <w:p w14:paraId="01148A7B" w14:textId="77777777" w:rsidR="0015203F" w:rsidRPr="00D6120B" w:rsidRDefault="0015203F" w:rsidP="00D51BDF">
      <w:pPr>
        <w:tabs>
          <w:tab w:val="clear" w:pos="1134"/>
          <w:tab w:val="clear" w:pos="1871"/>
          <w:tab w:val="clear" w:pos="2268"/>
        </w:tabs>
        <w:overflowPunct/>
        <w:autoSpaceDE/>
        <w:autoSpaceDN/>
        <w:adjustRightInd/>
        <w:spacing w:before="0"/>
        <w:textAlignment w:val="auto"/>
      </w:pPr>
      <w:r w:rsidRPr="00D6120B">
        <w:br w:type="page"/>
      </w:r>
    </w:p>
    <w:p w14:paraId="0C114882" w14:textId="77777777" w:rsidR="000B0BD6" w:rsidRDefault="00465EFD" w:rsidP="00D51BDF">
      <w:pPr>
        <w:pStyle w:val="Proposal"/>
      </w:pPr>
      <w:r>
        <w:lastRenderedPageBreak/>
        <w:t>SUP</w:t>
      </w:r>
      <w:r>
        <w:tab/>
        <w:t>CHN/28A7/1</w:t>
      </w:r>
    </w:p>
    <w:p w14:paraId="0E176312" w14:textId="77777777" w:rsidR="004A4B52" w:rsidRPr="00730563" w:rsidRDefault="00465EFD" w:rsidP="00D51BDF">
      <w:pPr>
        <w:pStyle w:val="ResNo"/>
        <w:rPr>
          <w:lang w:val="fr-CH"/>
        </w:rPr>
      </w:pPr>
      <w:r>
        <w:rPr>
          <w:lang w:val="fr-CH"/>
        </w:rPr>
        <w:t xml:space="preserve">RÉSOLUTION </w:t>
      </w:r>
      <w:r w:rsidRPr="006B2F52">
        <w:rPr>
          <w:rStyle w:val="href"/>
        </w:rPr>
        <w:t>659</w:t>
      </w:r>
      <w:r w:rsidRPr="00730563">
        <w:rPr>
          <w:lang w:val="fr-CH"/>
        </w:rPr>
        <w:t xml:space="preserve"> (</w:t>
      </w:r>
      <w:r>
        <w:rPr>
          <w:lang w:val="fr-CH"/>
        </w:rPr>
        <w:t>CMR-15</w:t>
      </w:r>
      <w:r w:rsidRPr="00730563">
        <w:rPr>
          <w:lang w:val="fr-CH"/>
        </w:rPr>
        <w:t>)</w:t>
      </w:r>
    </w:p>
    <w:p w14:paraId="6A92004F" w14:textId="0CC8523B" w:rsidR="004A4B52" w:rsidRPr="00730563" w:rsidRDefault="00465EFD" w:rsidP="00D51BDF">
      <w:pPr>
        <w:pStyle w:val="Restitle"/>
        <w:rPr>
          <w:lang w:val="fr-CH"/>
        </w:rPr>
      </w:pPr>
      <w:bookmarkStart w:id="6" w:name="_Toc450208773"/>
      <w:r>
        <w:rPr>
          <w:lang w:val="fr-CH"/>
        </w:rPr>
        <w:t>E</w:t>
      </w:r>
      <w:r w:rsidRPr="00730563">
        <w:rPr>
          <w:lang w:val="fr-CH"/>
        </w:rPr>
        <w:t xml:space="preserve">tudes </w:t>
      </w:r>
      <w:r>
        <w:rPr>
          <w:lang w:val="fr-CH"/>
        </w:rPr>
        <w:t>visant à répondre aux besoins du service d'exploitation spatiale pour les satellites non géostationnaires associés à des missions de courte durée</w:t>
      </w:r>
      <w:bookmarkEnd w:id="6"/>
    </w:p>
    <w:p w14:paraId="2D67B858" w14:textId="4048FACE" w:rsidR="006C7852" w:rsidRDefault="00465EFD" w:rsidP="00D1127A">
      <w:pPr>
        <w:pStyle w:val="Reasons"/>
      </w:pPr>
      <w:r w:rsidRPr="00D6120B">
        <w:rPr>
          <w:b/>
        </w:rPr>
        <w:t>Motifs:</w:t>
      </w:r>
      <w:r w:rsidRPr="00D6120B">
        <w:tab/>
      </w:r>
      <w:r w:rsidR="00D6120B" w:rsidRPr="00D6120B">
        <w:t xml:space="preserve">Les travaux associés à la Résolution </w:t>
      </w:r>
      <w:r w:rsidR="00D6120B" w:rsidRPr="00D6120B">
        <w:rPr>
          <w:rFonts w:hint="eastAsia"/>
          <w:b/>
        </w:rPr>
        <w:t>659</w:t>
      </w:r>
      <w:r w:rsidR="00D6120B" w:rsidRPr="00D6120B">
        <w:rPr>
          <w:b/>
        </w:rPr>
        <w:t xml:space="preserve"> </w:t>
      </w:r>
      <w:r w:rsidR="00D6120B" w:rsidRPr="00D6120B">
        <w:rPr>
          <w:b/>
          <w:bCs/>
        </w:rPr>
        <w:t>(CMR-15)</w:t>
      </w:r>
      <w:r w:rsidR="00D6120B" w:rsidRPr="00D6120B">
        <w:t xml:space="preserve"> ont été achevés</w:t>
      </w:r>
      <w:r w:rsidR="006C7852" w:rsidRPr="00D6120B">
        <w:t>.</w:t>
      </w:r>
    </w:p>
    <w:p w14:paraId="4ACA95C4" w14:textId="77777777" w:rsidR="00D1127A" w:rsidRPr="00D6120B" w:rsidRDefault="00D1127A" w:rsidP="0081656A"/>
    <w:p w14:paraId="41171404" w14:textId="4E64A03B" w:rsidR="006C7852" w:rsidRPr="00D6120B" w:rsidRDefault="006C7852" w:rsidP="00D51BDF">
      <w:pPr>
        <w:jc w:val="center"/>
        <w:rPr>
          <w:lang w:val="en-GB"/>
        </w:rPr>
      </w:pPr>
      <w:r w:rsidRPr="00D6120B">
        <w:rPr>
          <w:lang w:val="en-GB"/>
        </w:rPr>
        <w:t>______________</w:t>
      </w:r>
    </w:p>
    <w:sectPr w:rsidR="006C7852" w:rsidRPr="00D6120B">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6F9A0" w14:textId="77777777" w:rsidR="0070076C" w:rsidRDefault="0070076C">
      <w:r>
        <w:separator/>
      </w:r>
    </w:p>
  </w:endnote>
  <w:endnote w:type="continuationSeparator" w:id="0">
    <w:p w14:paraId="4EFEDA0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8FAB" w14:textId="77C21920" w:rsidR="00936D25" w:rsidRDefault="00936D25">
    <w:pPr>
      <w:rPr>
        <w:lang w:val="en-US"/>
      </w:rPr>
    </w:pPr>
    <w:r>
      <w:fldChar w:fldCharType="begin"/>
    </w:r>
    <w:r>
      <w:rPr>
        <w:lang w:val="en-US"/>
      </w:rPr>
      <w:instrText xml:space="preserve"> FILENAME \p  \* MERGEFORMAT </w:instrText>
    </w:r>
    <w:r>
      <w:fldChar w:fldCharType="separate"/>
    </w:r>
    <w:r w:rsidR="008E37EC">
      <w:rPr>
        <w:noProof/>
        <w:lang w:val="en-US"/>
      </w:rPr>
      <w:t>P:\FRA\ITU-R\CONF-R\CMR19\000\028ADD07F.docx</w:t>
    </w:r>
    <w:r>
      <w:fldChar w:fldCharType="end"/>
    </w:r>
    <w:r>
      <w:rPr>
        <w:lang w:val="en-US"/>
      </w:rPr>
      <w:tab/>
    </w:r>
    <w:r>
      <w:fldChar w:fldCharType="begin"/>
    </w:r>
    <w:r>
      <w:instrText xml:space="preserve"> SAVEDATE \@ DD.MM.YY </w:instrText>
    </w:r>
    <w:r>
      <w:fldChar w:fldCharType="separate"/>
    </w:r>
    <w:r w:rsidR="008E37EC">
      <w:rPr>
        <w:noProof/>
      </w:rPr>
      <w:t>25.10.19</w:t>
    </w:r>
    <w:r>
      <w:fldChar w:fldCharType="end"/>
    </w:r>
    <w:r>
      <w:rPr>
        <w:lang w:val="en-US"/>
      </w:rPr>
      <w:tab/>
    </w:r>
    <w:r>
      <w:fldChar w:fldCharType="begin"/>
    </w:r>
    <w:r>
      <w:instrText xml:space="preserve"> PRINTDATE \@ DD.MM.YY </w:instrText>
    </w:r>
    <w:r>
      <w:fldChar w:fldCharType="separate"/>
    </w:r>
    <w:r w:rsidR="008E37EC">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B0FE" w14:textId="0E94B9CC" w:rsidR="00936D25" w:rsidRDefault="0090792E" w:rsidP="00465EFD">
    <w:pPr>
      <w:pStyle w:val="Footer"/>
      <w:rPr>
        <w:lang w:val="en-US"/>
      </w:rPr>
    </w:pPr>
    <w:r>
      <w:fldChar w:fldCharType="begin"/>
    </w:r>
    <w:r w:rsidRPr="002A5652">
      <w:rPr>
        <w:lang w:val="en-GB"/>
      </w:rPr>
      <w:instrText xml:space="preserve"> FILENAME \p  \* MERGEFORMAT </w:instrText>
    </w:r>
    <w:r>
      <w:fldChar w:fldCharType="separate"/>
    </w:r>
    <w:r w:rsidR="008E37EC">
      <w:rPr>
        <w:lang w:val="en-GB"/>
      </w:rPr>
      <w:t>P:\FRA\ITU-R\CONF-R\CMR19\000\028ADD07F.docx</w:t>
    </w:r>
    <w:r>
      <w:fldChar w:fldCharType="end"/>
    </w:r>
    <w:r w:rsidR="00465EFD" w:rsidRPr="002A5652">
      <w:rPr>
        <w:lang w:val="en-GB"/>
      </w:rPr>
      <w:t xml:space="preserve"> (461519)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2315" w14:textId="2C066314" w:rsidR="00936D25" w:rsidRDefault="0090792E" w:rsidP="00465EFD">
    <w:pPr>
      <w:pStyle w:val="Footer"/>
      <w:rPr>
        <w:lang w:val="en-US"/>
      </w:rPr>
    </w:pPr>
    <w:r>
      <w:fldChar w:fldCharType="begin"/>
    </w:r>
    <w:r w:rsidRPr="002A5652">
      <w:rPr>
        <w:lang w:val="en-GB"/>
      </w:rPr>
      <w:instrText xml:space="preserve"> FILENAME \p  \* MERGEFORMAT </w:instrText>
    </w:r>
    <w:r>
      <w:fldChar w:fldCharType="separate"/>
    </w:r>
    <w:r w:rsidR="008E37EC">
      <w:rPr>
        <w:lang w:val="en-GB"/>
      </w:rPr>
      <w:t>P:\FRA\ITU-R\CONF-R\CMR19\000\028ADD07F.docx</w:t>
    </w:r>
    <w:r>
      <w:fldChar w:fldCharType="end"/>
    </w:r>
    <w:r w:rsidR="00465EFD" w:rsidRPr="002A5652">
      <w:rPr>
        <w:lang w:val="en-GB"/>
      </w:rPr>
      <w:t xml:space="preserve"> (461519)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EC64" w14:textId="77777777" w:rsidR="0070076C" w:rsidRDefault="0070076C">
      <w:r>
        <w:rPr>
          <w:b/>
        </w:rPr>
        <w:t>_______________</w:t>
      </w:r>
    </w:p>
  </w:footnote>
  <w:footnote w:type="continuationSeparator" w:id="0">
    <w:p w14:paraId="658AE3B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B15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B03B14B" w14:textId="77777777" w:rsidR="004F1F8E" w:rsidRDefault="004F1F8E" w:rsidP="00FD7AA3">
    <w:pPr>
      <w:pStyle w:val="Header"/>
    </w:pPr>
    <w:r>
      <w:t>CMR1</w:t>
    </w:r>
    <w:r w:rsidR="00FD7AA3">
      <w:t>9</w:t>
    </w:r>
    <w:r>
      <w:t>/</w:t>
    </w:r>
    <w:r w:rsidR="006A4B45">
      <w:t>28(Add.7)-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0BD6"/>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5652"/>
    <w:rsid w:val="002A6F8F"/>
    <w:rsid w:val="002B17E5"/>
    <w:rsid w:val="002C0EBF"/>
    <w:rsid w:val="002C28A4"/>
    <w:rsid w:val="002D6696"/>
    <w:rsid w:val="002D7E0A"/>
    <w:rsid w:val="00315AFE"/>
    <w:rsid w:val="00331E73"/>
    <w:rsid w:val="003606A6"/>
    <w:rsid w:val="0036650C"/>
    <w:rsid w:val="00393ACD"/>
    <w:rsid w:val="003A583E"/>
    <w:rsid w:val="003E112B"/>
    <w:rsid w:val="003E1D1C"/>
    <w:rsid w:val="003E7B05"/>
    <w:rsid w:val="003F3719"/>
    <w:rsid w:val="003F6F2D"/>
    <w:rsid w:val="00465EFD"/>
    <w:rsid w:val="00466211"/>
    <w:rsid w:val="00483196"/>
    <w:rsid w:val="004834A9"/>
    <w:rsid w:val="004D01FC"/>
    <w:rsid w:val="004E28C3"/>
    <w:rsid w:val="004F1F8E"/>
    <w:rsid w:val="00512A32"/>
    <w:rsid w:val="005343DA"/>
    <w:rsid w:val="00560874"/>
    <w:rsid w:val="00586CF2"/>
    <w:rsid w:val="005A7C75"/>
    <w:rsid w:val="005B0387"/>
    <w:rsid w:val="005C3768"/>
    <w:rsid w:val="005C6C3F"/>
    <w:rsid w:val="00613635"/>
    <w:rsid w:val="0062093D"/>
    <w:rsid w:val="00637ECF"/>
    <w:rsid w:val="00647B59"/>
    <w:rsid w:val="00690C7B"/>
    <w:rsid w:val="006A4B45"/>
    <w:rsid w:val="006C7852"/>
    <w:rsid w:val="006D4724"/>
    <w:rsid w:val="006F5FA2"/>
    <w:rsid w:val="0070076C"/>
    <w:rsid w:val="00701BAE"/>
    <w:rsid w:val="00721F04"/>
    <w:rsid w:val="00730E95"/>
    <w:rsid w:val="007426B9"/>
    <w:rsid w:val="00762144"/>
    <w:rsid w:val="00764342"/>
    <w:rsid w:val="00774362"/>
    <w:rsid w:val="00786598"/>
    <w:rsid w:val="00790C74"/>
    <w:rsid w:val="007A04E8"/>
    <w:rsid w:val="007B2C34"/>
    <w:rsid w:val="0081656A"/>
    <w:rsid w:val="00830086"/>
    <w:rsid w:val="00851625"/>
    <w:rsid w:val="00863C0A"/>
    <w:rsid w:val="008A3120"/>
    <w:rsid w:val="008A4B97"/>
    <w:rsid w:val="008C5B8E"/>
    <w:rsid w:val="008C5DD5"/>
    <w:rsid w:val="008D41BE"/>
    <w:rsid w:val="008D58D3"/>
    <w:rsid w:val="008E37EC"/>
    <w:rsid w:val="008E3BC9"/>
    <w:rsid w:val="0090792E"/>
    <w:rsid w:val="00923064"/>
    <w:rsid w:val="00930FFD"/>
    <w:rsid w:val="00936D25"/>
    <w:rsid w:val="00941EA5"/>
    <w:rsid w:val="00954C4A"/>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D516F"/>
    <w:rsid w:val="00D06E4C"/>
    <w:rsid w:val="00D1127A"/>
    <w:rsid w:val="00D119A7"/>
    <w:rsid w:val="00D25FBA"/>
    <w:rsid w:val="00D32B28"/>
    <w:rsid w:val="00D42954"/>
    <w:rsid w:val="00D51BDF"/>
    <w:rsid w:val="00D6120B"/>
    <w:rsid w:val="00D66EAC"/>
    <w:rsid w:val="00D730DF"/>
    <w:rsid w:val="00D772F0"/>
    <w:rsid w:val="00D77BDC"/>
    <w:rsid w:val="00DC402B"/>
    <w:rsid w:val="00DE0932"/>
    <w:rsid w:val="00E03A27"/>
    <w:rsid w:val="00E049F1"/>
    <w:rsid w:val="00E37A25"/>
    <w:rsid w:val="00E537FF"/>
    <w:rsid w:val="00E6539B"/>
    <w:rsid w:val="00E70A31"/>
    <w:rsid w:val="00E723A7"/>
    <w:rsid w:val="00E85F56"/>
    <w:rsid w:val="00EA3F38"/>
    <w:rsid w:val="00EA5AB6"/>
    <w:rsid w:val="00EC7615"/>
    <w:rsid w:val="00ED16AA"/>
    <w:rsid w:val="00ED6B8D"/>
    <w:rsid w:val="00EE3D7B"/>
    <w:rsid w:val="00EF662E"/>
    <w:rsid w:val="00EF7347"/>
    <w:rsid w:val="00F10064"/>
    <w:rsid w:val="00F148F1"/>
    <w:rsid w:val="00F50181"/>
    <w:rsid w:val="00F711A7"/>
    <w:rsid w:val="00F9253C"/>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5DF52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numlev1Char">
    <w:name w:val="enumlev1 Char"/>
    <w:basedOn w:val="DefaultParagraphFont"/>
    <w:link w:val="enumlev1"/>
    <w:qFormat/>
    <w:rsid w:val="006C785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056046D-DAC1-48D1-9FB0-AE74558E2B7F}">
  <ds:schemaRefs>
    <ds:schemaRef ds:uri="32a1a8c5-2265-4ebc-b7a0-2071e2c5c9bb"/>
    <ds:schemaRef ds:uri="http://www.w3.org/XML/1998/namespace"/>
    <ds:schemaRef ds:uri="http://purl.org/dc/dcmitype/"/>
    <ds:schemaRef ds:uri="996b2e75-67fd-4955-a3b0-5ab9934cb50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D2690C3-E109-4F58-A4DC-503D7472E9B1}">
  <ds:schemaRefs>
    <ds:schemaRef ds:uri="http://schemas.microsoft.com/sharepoint/v3/contenttype/forms"/>
  </ds:schemaRefs>
</ds:datastoreItem>
</file>

<file path=customXml/itemProps4.xml><?xml version="1.0" encoding="utf-8"?>
<ds:datastoreItem xmlns:ds="http://schemas.openxmlformats.org/officeDocument/2006/customXml" ds:itemID="{D1CA2AE4-E87C-4694-A963-571AD299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583</Words>
  <Characters>3143</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R16-WRC19-C-0028!A7!MSW-F</vt:lpstr>
    </vt:vector>
  </TitlesOfParts>
  <Manager>Secrétariat général - Pool</Manager>
  <Company>Union internationale des télécommunications (UIT)</Company>
  <LinksUpToDate>false</LinksUpToDate>
  <CharactersWithSpaces>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R16-WRC19-C-0028!A7!MSW-F</dc:title>
  <dc:subject>Conférence mondiale des radiocommunications - 2019</dc:subject>
  <dc:creator>Documents Proposals Manager (DPM)</dc:creator>
  <cp:keywords>DPM_v2019.10.15.2_prod</cp:keywords>
  <dc:description/>
  <cp:lastModifiedBy>French</cp:lastModifiedBy>
  <cp:revision>7</cp:revision>
  <cp:lastPrinted>2019-10-25T07:46:00Z</cp:lastPrinted>
  <dcterms:created xsi:type="dcterms:W3CDTF">2019-10-25T05:58:00Z</dcterms:created>
  <dcterms:modified xsi:type="dcterms:W3CDTF">2019-10-25T07:50:00Z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