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F6678" w14:paraId="41D9F106" w14:textId="77777777" w:rsidTr="001302BD">
        <w:trPr>
          <w:cantSplit/>
        </w:trPr>
        <w:tc>
          <w:tcPr>
            <w:tcW w:w="6911" w:type="dxa"/>
          </w:tcPr>
          <w:p w14:paraId="36D7BBF8" w14:textId="77777777" w:rsidR="0090121B" w:rsidRPr="00FF6678" w:rsidRDefault="005D46FB" w:rsidP="00E744C4">
            <w:pPr>
              <w:spacing w:before="400" w:after="48"/>
              <w:rPr>
                <w:rFonts w:ascii="Verdana" w:hAnsi="Verdana"/>
                <w:position w:val="6"/>
                <w:lang w:val="es-ES"/>
              </w:rPr>
            </w:pPr>
            <w:r w:rsidRPr="00FF6678">
              <w:rPr>
                <w:rFonts w:ascii="Verdana" w:hAnsi="Verdana" w:cs="Times"/>
                <w:b/>
                <w:position w:val="6"/>
                <w:sz w:val="20"/>
                <w:lang w:val="es-ES"/>
              </w:rPr>
              <w:t>Conferencia Mundial de Radiocomunicaciones (CMR-1</w:t>
            </w:r>
            <w:r w:rsidR="00C44E9E" w:rsidRPr="00FF6678">
              <w:rPr>
                <w:rFonts w:ascii="Verdana" w:hAnsi="Verdana" w:cs="Times"/>
                <w:b/>
                <w:position w:val="6"/>
                <w:sz w:val="20"/>
                <w:lang w:val="es-ES"/>
              </w:rPr>
              <w:t>9</w:t>
            </w:r>
            <w:r w:rsidRPr="00FF6678">
              <w:rPr>
                <w:rFonts w:ascii="Verdana" w:hAnsi="Verdana" w:cs="Times"/>
                <w:b/>
                <w:position w:val="6"/>
                <w:sz w:val="20"/>
                <w:lang w:val="es-ES"/>
              </w:rPr>
              <w:t>)</w:t>
            </w:r>
            <w:r w:rsidRPr="00FF6678">
              <w:rPr>
                <w:rFonts w:ascii="Verdana" w:hAnsi="Verdana" w:cs="Times"/>
                <w:b/>
                <w:position w:val="6"/>
                <w:sz w:val="20"/>
                <w:lang w:val="es-ES"/>
              </w:rPr>
              <w:br/>
            </w:r>
            <w:r w:rsidR="006124AD" w:rsidRPr="00FF6678">
              <w:rPr>
                <w:rFonts w:ascii="Verdana" w:hAnsi="Verdana"/>
                <w:b/>
                <w:bCs/>
                <w:position w:val="6"/>
                <w:sz w:val="17"/>
                <w:szCs w:val="17"/>
                <w:lang w:val="es-ES"/>
              </w:rPr>
              <w:t>Sharm el-Sheikh (Egipto)</w:t>
            </w:r>
            <w:r w:rsidRPr="00FF6678">
              <w:rPr>
                <w:rFonts w:ascii="Verdana" w:hAnsi="Verdana"/>
                <w:b/>
                <w:bCs/>
                <w:position w:val="6"/>
                <w:sz w:val="17"/>
                <w:szCs w:val="17"/>
                <w:lang w:val="es-ES"/>
              </w:rPr>
              <w:t>, 2</w:t>
            </w:r>
            <w:r w:rsidR="00C44E9E" w:rsidRPr="00FF6678">
              <w:rPr>
                <w:rFonts w:ascii="Verdana" w:hAnsi="Verdana"/>
                <w:b/>
                <w:bCs/>
                <w:position w:val="6"/>
                <w:sz w:val="17"/>
                <w:szCs w:val="17"/>
                <w:lang w:val="es-ES"/>
              </w:rPr>
              <w:t xml:space="preserve">8 de octubre </w:t>
            </w:r>
            <w:r w:rsidR="00DE1C31" w:rsidRPr="00FF6678">
              <w:rPr>
                <w:rFonts w:ascii="Verdana" w:hAnsi="Verdana"/>
                <w:b/>
                <w:bCs/>
                <w:position w:val="6"/>
                <w:sz w:val="17"/>
                <w:szCs w:val="17"/>
                <w:lang w:val="es-ES"/>
              </w:rPr>
              <w:t>–</w:t>
            </w:r>
            <w:r w:rsidR="00C44E9E" w:rsidRPr="00FF6678">
              <w:rPr>
                <w:rFonts w:ascii="Verdana" w:hAnsi="Verdana"/>
                <w:b/>
                <w:bCs/>
                <w:position w:val="6"/>
                <w:sz w:val="17"/>
                <w:szCs w:val="17"/>
                <w:lang w:val="es-ES"/>
              </w:rPr>
              <w:t xml:space="preserve"> </w:t>
            </w:r>
            <w:r w:rsidRPr="00FF6678">
              <w:rPr>
                <w:rFonts w:ascii="Verdana" w:hAnsi="Verdana"/>
                <w:b/>
                <w:bCs/>
                <w:position w:val="6"/>
                <w:sz w:val="17"/>
                <w:szCs w:val="17"/>
                <w:lang w:val="es-ES"/>
              </w:rPr>
              <w:t>2</w:t>
            </w:r>
            <w:r w:rsidR="00C44E9E" w:rsidRPr="00FF6678">
              <w:rPr>
                <w:rFonts w:ascii="Verdana" w:hAnsi="Verdana"/>
                <w:b/>
                <w:bCs/>
                <w:position w:val="6"/>
                <w:sz w:val="17"/>
                <w:szCs w:val="17"/>
                <w:lang w:val="es-ES"/>
              </w:rPr>
              <w:t>2</w:t>
            </w:r>
            <w:r w:rsidRPr="00FF6678">
              <w:rPr>
                <w:rFonts w:ascii="Verdana" w:hAnsi="Verdana"/>
                <w:b/>
                <w:bCs/>
                <w:position w:val="6"/>
                <w:sz w:val="17"/>
                <w:szCs w:val="17"/>
                <w:lang w:val="es-ES"/>
              </w:rPr>
              <w:t xml:space="preserve"> de noviembre de 201</w:t>
            </w:r>
            <w:r w:rsidR="00C44E9E" w:rsidRPr="00FF6678">
              <w:rPr>
                <w:rFonts w:ascii="Verdana" w:hAnsi="Verdana"/>
                <w:b/>
                <w:bCs/>
                <w:position w:val="6"/>
                <w:sz w:val="17"/>
                <w:szCs w:val="17"/>
                <w:lang w:val="es-ES"/>
              </w:rPr>
              <w:t>9</w:t>
            </w:r>
          </w:p>
        </w:tc>
        <w:tc>
          <w:tcPr>
            <w:tcW w:w="3120" w:type="dxa"/>
          </w:tcPr>
          <w:p w14:paraId="0D52F050" w14:textId="77777777" w:rsidR="0090121B" w:rsidRPr="00FF6678" w:rsidRDefault="00DA71A3" w:rsidP="00E744C4">
            <w:pPr>
              <w:spacing w:before="0"/>
              <w:jc w:val="right"/>
              <w:rPr>
                <w:lang w:val="es-ES"/>
              </w:rPr>
            </w:pPr>
            <w:bookmarkStart w:id="0" w:name="ditulogo"/>
            <w:bookmarkEnd w:id="0"/>
            <w:r w:rsidRPr="00FF6678">
              <w:rPr>
                <w:rFonts w:ascii="Verdana" w:hAnsi="Verdana"/>
                <w:b/>
                <w:bCs/>
                <w:noProof/>
                <w:szCs w:val="24"/>
                <w:lang w:val="es-ES" w:eastAsia="zh-CN"/>
              </w:rPr>
              <w:drawing>
                <wp:inline distT="0" distB="0" distL="0" distR="0" wp14:anchorId="0DF5F4F0" wp14:editId="2FC2618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FF6678" w14:paraId="362D5AE8" w14:textId="77777777" w:rsidTr="001302BD">
        <w:trPr>
          <w:cantSplit/>
        </w:trPr>
        <w:tc>
          <w:tcPr>
            <w:tcW w:w="6911" w:type="dxa"/>
            <w:tcBorders>
              <w:bottom w:val="single" w:sz="12" w:space="0" w:color="auto"/>
            </w:tcBorders>
          </w:tcPr>
          <w:p w14:paraId="6100435A" w14:textId="77777777" w:rsidR="0090121B" w:rsidRPr="00FF6678" w:rsidRDefault="0090121B" w:rsidP="00E744C4">
            <w:pPr>
              <w:spacing w:before="0" w:after="48"/>
              <w:rPr>
                <w:b/>
                <w:smallCaps/>
                <w:szCs w:val="24"/>
                <w:lang w:val="es-ES"/>
              </w:rPr>
            </w:pPr>
            <w:bookmarkStart w:id="1" w:name="dhead"/>
          </w:p>
        </w:tc>
        <w:tc>
          <w:tcPr>
            <w:tcW w:w="3120" w:type="dxa"/>
            <w:tcBorders>
              <w:bottom w:val="single" w:sz="12" w:space="0" w:color="auto"/>
            </w:tcBorders>
          </w:tcPr>
          <w:p w14:paraId="6224BB2B" w14:textId="77777777" w:rsidR="0090121B" w:rsidRPr="00FF6678" w:rsidRDefault="0090121B" w:rsidP="00E744C4">
            <w:pPr>
              <w:spacing w:before="0"/>
              <w:rPr>
                <w:rFonts w:ascii="Verdana" w:hAnsi="Verdana"/>
                <w:szCs w:val="24"/>
                <w:lang w:val="es-ES"/>
              </w:rPr>
            </w:pPr>
          </w:p>
        </w:tc>
      </w:tr>
      <w:tr w:rsidR="0090121B" w:rsidRPr="00FF6678" w14:paraId="061137B5" w14:textId="77777777" w:rsidTr="0090121B">
        <w:trPr>
          <w:cantSplit/>
        </w:trPr>
        <w:tc>
          <w:tcPr>
            <w:tcW w:w="6911" w:type="dxa"/>
            <w:tcBorders>
              <w:top w:val="single" w:sz="12" w:space="0" w:color="auto"/>
            </w:tcBorders>
          </w:tcPr>
          <w:p w14:paraId="05053A8B" w14:textId="77777777" w:rsidR="0090121B" w:rsidRPr="00FF6678" w:rsidRDefault="0090121B" w:rsidP="00E744C4">
            <w:pPr>
              <w:spacing w:before="0" w:after="48"/>
              <w:rPr>
                <w:rFonts w:ascii="Verdana" w:hAnsi="Verdana"/>
                <w:b/>
                <w:smallCaps/>
                <w:sz w:val="20"/>
                <w:lang w:val="es-ES"/>
              </w:rPr>
            </w:pPr>
          </w:p>
        </w:tc>
        <w:tc>
          <w:tcPr>
            <w:tcW w:w="3120" w:type="dxa"/>
            <w:tcBorders>
              <w:top w:val="single" w:sz="12" w:space="0" w:color="auto"/>
            </w:tcBorders>
          </w:tcPr>
          <w:p w14:paraId="34A3AC2E" w14:textId="77777777" w:rsidR="0090121B" w:rsidRPr="00FF6678" w:rsidRDefault="0090121B" w:rsidP="00E744C4">
            <w:pPr>
              <w:spacing w:before="0"/>
              <w:rPr>
                <w:rFonts w:ascii="Verdana" w:hAnsi="Verdana"/>
                <w:sz w:val="20"/>
                <w:lang w:val="es-ES"/>
              </w:rPr>
            </w:pPr>
          </w:p>
        </w:tc>
      </w:tr>
      <w:tr w:rsidR="0090121B" w:rsidRPr="00FF6678" w14:paraId="4B24A0A6" w14:textId="77777777" w:rsidTr="0090121B">
        <w:trPr>
          <w:cantSplit/>
        </w:trPr>
        <w:tc>
          <w:tcPr>
            <w:tcW w:w="6911" w:type="dxa"/>
          </w:tcPr>
          <w:p w14:paraId="5D92C9CF" w14:textId="77777777" w:rsidR="0090121B" w:rsidRPr="00FF6678" w:rsidRDefault="001E7D42" w:rsidP="00E744C4">
            <w:pPr>
              <w:pStyle w:val="Committee"/>
              <w:framePr w:hSpace="0" w:wrap="auto" w:hAnchor="text" w:yAlign="inline"/>
              <w:spacing w:line="240" w:lineRule="auto"/>
              <w:rPr>
                <w:sz w:val="18"/>
                <w:szCs w:val="18"/>
                <w:lang w:val="es-ES"/>
              </w:rPr>
            </w:pPr>
            <w:r w:rsidRPr="00FF6678">
              <w:rPr>
                <w:sz w:val="18"/>
                <w:szCs w:val="18"/>
                <w:lang w:val="es-ES"/>
              </w:rPr>
              <w:t>SESIÓN PLENARIA</w:t>
            </w:r>
          </w:p>
        </w:tc>
        <w:tc>
          <w:tcPr>
            <w:tcW w:w="3120" w:type="dxa"/>
          </w:tcPr>
          <w:p w14:paraId="6354E6BC" w14:textId="77777777" w:rsidR="0090121B" w:rsidRPr="00FF6678" w:rsidRDefault="00AE658F" w:rsidP="00E744C4">
            <w:pPr>
              <w:spacing w:before="0"/>
              <w:rPr>
                <w:rFonts w:ascii="Verdana" w:hAnsi="Verdana"/>
                <w:sz w:val="18"/>
                <w:szCs w:val="18"/>
                <w:lang w:val="es-ES"/>
              </w:rPr>
            </w:pPr>
            <w:r w:rsidRPr="00FF6678">
              <w:rPr>
                <w:rFonts w:ascii="Verdana" w:hAnsi="Verdana"/>
                <w:b/>
                <w:sz w:val="18"/>
                <w:szCs w:val="18"/>
                <w:lang w:val="es-ES"/>
              </w:rPr>
              <w:t>Addéndum 22 al</w:t>
            </w:r>
            <w:r w:rsidRPr="00FF6678">
              <w:rPr>
                <w:rFonts w:ascii="Verdana" w:hAnsi="Verdana"/>
                <w:b/>
                <w:sz w:val="18"/>
                <w:szCs w:val="18"/>
                <w:lang w:val="es-ES"/>
              </w:rPr>
              <w:br/>
              <w:t>Documento 28</w:t>
            </w:r>
            <w:r w:rsidR="0090121B" w:rsidRPr="00FF6678">
              <w:rPr>
                <w:rFonts w:ascii="Verdana" w:hAnsi="Verdana"/>
                <w:b/>
                <w:sz w:val="18"/>
                <w:szCs w:val="18"/>
                <w:lang w:val="es-ES"/>
              </w:rPr>
              <w:t>-</w:t>
            </w:r>
            <w:r w:rsidRPr="00FF6678">
              <w:rPr>
                <w:rFonts w:ascii="Verdana" w:hAnsi="Verdana"/>
                <w:b/>
                <w:sz w:val="18"/>
                <w:szCs w:val="18"/>
                <w:lang w:val="es-ES"/>
              </w:rPr>
              <w:t>S</w:t>
            </w:r>
          </w:p>
        </w:tc>
      </w:tr>
      <w:bookmarkEnd w:id="1"/>
      <w:tr w:rsidR="000A5B9A" w:rsidRPr="00FF6678" w14:paraId="4540CA25" w14:textId="77777777" w:rsidTr="0090121B">
        <w:trPr>
          <w:cantSplit/>
        </w:trPr>
        <w:tc>
          <w:tcPr>
            <w:tcW w:w="6911" w:type="dxa"/>
          </w:tcPr>
          <w:p w14:paraId="5733DECA" w14:textId="77777777" w:rsidR="000A5B9A" w:rsidRPr="00FF6678" w:rsidRDefault="000A5B9A" w:rsidP="00E744C4">
            <w:pPr>
              <w:spacing w:before="0" w:after="48"/>
              <w:rPr>
                <w:rFonts w:ascii="Verdana" w:hAnsi="Verdana"/>
                <w:b/>
                <w:smallCaps/>
                <w:sz w:val="18"/>
                <w:szCs w:val="18"/>
                <w:lang w:val="es-ES"/>
              </w:rPr>
            </w:pPr>
          </w:p>
        </w:tc>
        <w:tc>
          <w:tcPr>
            <w:tcW w:w="3120" w:type="dxa"/>
          </w:tcPr>
          <w:p w14:paraId="7BF6C717" w14:textId="77777777" w:rsidR="000A5B9A" w:rsidRPr="00FF6678" w:rsidRDefault="000A5B9A" w:rsidP="00E744C4">
            <w:pPr>
              <w:spacing w:before="0"/>
              <w:rPr>
                <w:rFonts w:ascii="Verdana" w:hAnsi="Verdana"/>
                <w:b/>
                <w:sz w:val="18"/>
                <w:szCs w:val="18"/>
                <w:lang w:val="es-ES"/>
              </w:rPr>
            </w:pPr>
            <w:r w:rsidRPr="00FF6678">
              <w:rPr>
                <w:rFonts w:ascii="Verdana" w:hAnsi="Verdana"/>
                <w:b/>
                <w:sz w:val="18"/>
                <w:szCs w:val="18"/>
                <w:lang w:val="es-ES"/>
              </w:rPr>
              <w:t>27 de septiembre de 2019</w:t>
            </w:r>
          </w:p>
        </w:tc>
      </w:tr>
      <w:tr w:rsidR="000A5B9A" w:rsidRPr="00FF6678" w14:paraId="4DC0B359" w14:textId="77777777" w:rsidTr="0090121B">
        <w:trPr>
          <w:cantSplit/>
        </w:trPr>
        <w:tc>
          <w:tcPr>
            <w:tcW w:w="6911" w:type="dxa"/>
          </w:tcPr>
          <w:p w14:paraId="6197D2F8" w14:textId="77777777" w:rsidR="000A5B9A" w:rsidRPr="00FF6678" w:rsidRDefault="000A5B9A" w:rsidP="00E744C4">
            <w:pPr>
              <w:spacing w:before="0" w:after="48"/>
              <w:rPr>
                <w:rFonts w:ascii="Verdana" w:hAnsi="Verdana"/>
                <w:b/>
                <w:smallCaps/>
                <w:sz w:val="18"/>
                <w:szCs w:val="18"/>
                <w:lang w:val="es-ES"/>
              </w:rPr>
            </w:pPr>
          </w:p>
        </w:tc>
        <w:tc>
          <w:tcPr>
            <w:tcW w:w="3120" w:type="dxa"/>
          </w:tcPr>
          <w:p w14:paraId="188552A8" w14:textId="77777777" w:rsidR="000A5B9A" w:rsidRPr="00FF6678" w:rsidRDefault="000A5B9A" w:rsidP="00E744C4">
            <w:pPr>
              <w:spacing w:before="0"/>
              <w:rPr>
                <w:rFonts w:ascii="Verdana" w:hAnsi="Verdana"/>
                <w:b/>
                <w:sz w:val="18"/>
                <w:szCs w:val="18"/>
                <w:lang w:val="es-ES"/>
              </w:rPr>
            </w:pPr>
            <w:r w:rsidRPr="00FF6678">
              <w:rPr>
                <w:rFonts w:ascii="Verdana" w:hAnsi="Verdana"/>
                <w:b/>
                <w:sz w:val="18"/>
                <w:szCs w:val="18"/>
                <w:lang w:val="es-ES"/>
              </w:rPr>
              <w:t>Original: chino</w:t>
            </w:r>
          </w:p>
        </w:tc>
      </w:tr>
      <w:tr w:rsidR="000A5B9A" w:rsidRPr="00FF6678" w14:paraId="356F360B" w14:textId="77777777" w:rsidTr="001302BD">
        <w:trPr>
          <w:cantSplit/>
        </w:trPr>
        <w:tc>
          <w:tcPr>
            <w:tcW w:w="10031" w:type="dxa"/>
            <w:gridSpan w:val="2"/>
          </w:tcPr>
          <w:p w14:paraId="74AD3FA3" w14:textId="77777777" w:rsidR="000A5B9A" w:rsidRPr="00FF6678" w:rsidRDefault="000A5B9A" w:rsidP="00E744C4">
            <w:pPr>
              <w:spacing w:before="0"/>
              <w:rPr>
                <w:rFonts w:ascii="Verdana" w:hAnsi="Verdana"/>
                <w:b/>
                <w:sz w:val="18"/>
                <w:szCs w:val="22"/>
                <w:lang w:val="es-ES"/>
              </w:rPr>
            </w:pPr>
          </w:p>
        </w:tc>
      </w:tr>
      <w:tr w:rsidR="000A5B9A" w:rsidRPr="00FF6678" w14:paraId="6E9FF63E" w14:textId="77777777" w:rsidTr="001302BD">
        <w:trPr>
          <w:cantSplit/>
        </w:trPr>
        <w:tc>
          <w:tcPr>
            <w:tcW w:w="10031" w:type="dxa"/>
            <w:gridSpan w:val="2"/>
          </w:tcPr>
          <w:p w14:paraId="06791825" w14:textId="77777777" w:rsidR="000A5B9A" w:rsidRPr="00FF6678" w:rsidRDefault="000A5B9A" w:rsidP="00E744C4">
            <w:pPr>
              <w:pStyle w:val="Source"/>
              <w:rPr>
                <w:lang w:val="es-ES"/>
              </w:rPr>
            </w:pPr>
            <w:bookmarkStart w:id="2" w:name="dsource" w:colFirst="0" w:colLast="0"/>
            <w:r w:rsidRPr="00FF6678">
              <w:rPr>
                <w:lang w:val="es-ES"/>
              </w:rPr>
              <w:t>China (República Popular de)</w:t>
            </w:r>
          </w:p>
        </w:tc>
      </w:tr>
      <w:tr w:rsidR="000A5B9A" w:rsidRPr="00FF6678" w14:paraId="3A943172" w14:textId="77777777" w:rsidTr="001302BD">
        <w:trPr>
          <w:cantSplit/>
        </w:trPr>
        <w:tc>
          <w:tcPr>
            <w:tcW w:w="10031" w:type="dxa"/>
            <w:gridSpan w:val="2"/>
          </w:tcPr>
          <w:p w14:paraId="09B68836" w14:textId="7F044D08" w:rsidR="000A5B9A" w:rsidRPr="00FF6678" w:rsidRDefault="000A5B9A" w:rsidP="00E744C4">
            <w:pPr>
              <w:pStyle w:val="Title1"/>
              <w:rPr>
                <w:lang w:val="es-ES"/>
              </w:rPr>
            </w:pPr>
            <w:bookmarkStart w:id="3" w:name="dtitle1" w:colFirst="0" w:colLast="0"/>
            <w:bookmarkEnd w:id="2"/>
          </w:p>
        </w:tc>
      </w:tr>
      <w:tr w:rsidR="000A5B9A" w:rsidRPr="00FF6678" w14:paraId="5AC4491F" w14:textId="77777777" w:rsidTr="001302BD">
        <w:trPr>
          <w:cantSplit/>
        </w:trPr>
        <w:tc>
          <w:tcPr>
            <w:tcW w:w="10031" w:type="dxa"/>
            <w:gridSpan w:val="2"/>
          </w:tcPr>
          <w:p w14:paraId="2CBFD58F" w14:textId="46F3C90D" w:rsidR="00B717FA" w:rsidRPr="00FF6678" w:rsidRDefault="003D5F62" w:rsidP="00E744C4">
            <w:pPr>
              <w:pStyle w:val="Title1"/>
              <w:rPr>
                <w:lang w:val="es-ES"/>
              </w:rPr>
            </w:pPr>
            <w:bookmarkStart w:id="4" w:name="dtitle2" w:colFirst="0" w:colLast="0"/>
            <w:bookmarkEnd w:id="3"/>
            <w:r w:rsidRPr="00FF6678">
              <w:rPr>
                <w:lang w:val="es-ES"/>
              </w:rPr>
              <w:t xml:space="preserve">notificación con arreglo al número </w:t>
            </w:r>
            <w:r w:rsidR="00B717FA" w:rsidRPr="00FF6678">
              <w:rPr>
                <w:lang w:val="es-ES"/>
              </w:rPr>
              <w:t xml:space="preserve">14.6 </w:t>
            </w:r>
            <w:r w:rsidRPr="00FF6678">
              <w:rPr>
                <w:lang w:val="es-ES"/>
              </w:rPr>
              <w:t xml:space="preserve">del reglamento de radiocomunicaciones relativa a la decisión de la 81ª reunión de la junta de radiocomunicaciones sobre la cancelación de algunas asignaciones de frecuencias a las redes de </w:t>
            </w:r>
            <w:r w:rsidR="000F5137">
              <w:rPr>
                <w:lang w:val="es-ES"/>
              </w:rPr>
              <w:br/>
            </w:r>
            <w:r w:rsidRPr="00FF6678">
              <w:rPr>
                <w:lang w:val="es-ES"/>
              </w:rPr>
              <w:t xml:space="preserve">satélites </w:t>
            </w:r>
            <w:r w:rsidR="00B717FA" w:rsidRPr="00FF6678">
              <w:rPr>
                <w:lang w:val="es-ES"/>
              </w:rPr>
              <w:t xml:space="preserve">ASIASAT-AK, ASIASAT-AK1 </w:t>
            </w:r>
            <w:r w:rsidRPr="00FF6678">
              <w:rPr>
                <w:lang w:val="es-ES"/>
              </w:rPr>
              <w:t xml:space="preserve">y </w:t>
            </w:r>
            <w:r w:rsidR="00B717FA" w:rsidRPr="00FF6678">
              <w:rPr>
                <w:lang w:val="es-ES"/>
              </w:rPr>
              <w:t>ASIASAT-AKX</w:t>
            </w:r>
          </w:p>
          <w:p w14:paraId="6239B43C" w14:textId="3FE64C3E" w:rsidR="000A5B9A" w:rsidRPr="00FF6678" w:rsidRDefault="00B717FA" w:rsidP="00E744C4">
            <w:pPr>
              <w:pStyle w:val="Title2"/>
              <w:rPr>
                <w:lang w:val="es-ES"/>
              </w:rPr>
            </w:pPr>
            <w:r w:rsidRPr="00FF6678">
              <w:rPr>
                <w:lang w:val="es-ES"/>
              </w:rPr>
              <w:t>(</w:t>
            </w:r>
            <w:r w:rsidR="00CE3A6B" w:rsidRPr="00FF6678">
              <w:rPr>
                <w:lang w:val="es-ES"/>
              </w:rPr>
              <w:t>para debate en el marco del punto</w:t>
            </w:r>
            <w:r w:rsidRPr="00FF6678">
              <w:rPr>
                <w:lang w:val="es-ES"/>
              </w:rPr>
              <w:t xml:space="preserve"> 9.2</w:t>
            </w:r>
            <w:r w:rsidR="00CE3A6B" w:rsidRPr="00FF6678">
              <w:rPr>
                <w:lang w:val="es-ES"/>
              </w:rPr>
              <w:t xml:space="preserve"> del orden del día</w:t>
            </w:r>
            <w:r w:rsidRPr="00FF6678">
              <w:rPr>
                <w:lang w:val="es-ES"/>
              </w:rPr>
              <w:t>)</w:t>
            </w:r>
          </w:p>
        </w:tc>
      </w:tr>
      <w:tr w:rsidR="000A5B9A" w:rsidRPr="00FF6678" w14:paraId="310E2B2D" w14:textId="77777777" w:rsidTr="001302BD">
        <w:trPr>
          <w:cantSplit/>
        </w:trPr>
        <w:tc>
          <w:tcPr>
            <w:tcW w:w="10031" w:type="dxa"/>
            <w:gridSpan w:val="2"/>
          </w:tcPr>
          <w:p w14:paraId="3736169C" w14:textId="4FD2AA83" w:rsidR="000A5B9A" w:rsidRPr="00FF6678" w:rsidRDefault="000A5B9A" w:rsidP="00E744C4">
            <w:pPr>
              <w:pStyle w:val="Agendaitem"/>
              <w:rPr>
                <w:lang w:val="es-ES"/>
              </w:rPr>
            </w:pPr>
            <w:bookmarkStart w:id="5" w:name="dtitle3" w:colFirst="0" w:colLast="0"/>
            <w:bookmarkEnd w:id="4"/>
          </w:p>
        </w:tc>
      </w:tr>
    </w:tbl>
    <w:bookmarkEnd w:id="5"/>
    <w:p w14:paraId="3E25437A" w14:textId="176430D5" w:rsidR="00B717FA" w:rsidRPr="00FF6678" w:rsidRDefault="007050BD" w:rsidP="00E744C4">
      <w:pPr>
        <w:pStyle w:val="Heading1"/>
        <w:rPr>
          <w:lang w:val="es-ES"/>
        </w:rPr>
      </w:pPr>
      <w:r w:rsidRPr="00FF6678">
        <w:rPr>
          <w:lang w:val="es-ES"/>
        </w:rPr>
        <w:t>1</w:t>
      </w:r>
      <w:r w:rsidRPr="00FF6678">
        <w:rPr>
          <w:lang w:val="es-ES"/>
        </w:rPr>
        <w:tab/>
      </w:r>
      <w:r w:rsidR="00CE3A6B" w:rsidRPr="00FF6678">
        <w:rPr>
          <w:lang w:val="es-ES"/>
        </w:rPr>
        <w:t>Antecedentes</w:t>
      </w:r>
    </w:p>
    <w:p w14:paraId="369A7291" w14:textId="77F23AC8" w:rsidR="00B717FA" w:rsidRPr="00FF6678" w:rsidRDefault="00D67729" w:rsidP="00E744C4">
      <w:pPr>
        <w:rPr>
          <w:lang w:val="es-ES"/>
        </w:rPr>
      </w:pPr>
      <w:r w:rsidRPr="00FF6678">
        <w:rPr>
          <w:lang w:val="es-ES"/>
        </w:rPr>
        <w:t xml:space="preserve">En la </w:t>
      </w:r>
      <w:r w:rsidR="00B717FA" w:rsidRPr="00FF6678">
        <w:rPr>
          <w:lang w:val="es-ES"/>
        </w:rPr>
        <w:t>81</w:t>
      </w:r>
      <w:r w:rsidRPr="00FF6678">
        <w:rPr>
          <w:lang w:val="es-ES"/>
        </w:rPr>
        <w:t>ª reunión de la Junta de Radiocomunicaciones (en adelante, la «Junta» o la «RRB»</w:t>
      </w:r>
      <w:r w:rsidR="00B717FA" w:rsidRPr="00FF6678">
        <w:rPr>
          <w:lang w:val="es-ES"/>
        </w:rPr>
        <w:t xml:space="preserve">) </w:t>
      </w:r>
      <w:r w:rsidRPr="00FF6678">
        <w:rPr>
          <w:lang w:val="es-ES"/>
        </w:rPr>
        <w:t>se examinó un documento de la Oficina de Radiocomunicaciones (en adelante, la «Oficina») sobre la validez de algunas asignaciones de la banda C y Ku a las redes de satélites chinas</w:t>
      </w:r>
      <w:r w:rsidR="00B717FA" w:rsidRPr="00FF6678">
        <w:rPr>
          <w:lang w:val="es-ES"/>
        </w:rPr>
        <w:t xml:space="preserve"> ASIASAT-AK, ASIASAT-AK1 </w:t>
      </w:r>
      <w:r w:rsidRPr="00FF6678">
        <w:rPr>
          <w:lang w:val="es-ES"/>
        </w:rPr>
        <w:t xml:space="preserve">y </w:t>
      </w:r>
      <w:r w:rsidR="00B717FA" w:rsidRPr="00FF6678">
        <w:rPr>
          <w:lang w:val="es-ES"/>
        </w:rPr>
        <w:t>ASIASAT-AKX.</w:t>
      </w:r>
    </w:p>
    <w:p w14:paraId="5E29F6F2" w14:textId="6D674E89" w:rsidR="00B717FA" w:rsidRPr="00FF6678" w:rsidRDefault="00D67729" w:rsidP="00E744C4">
      <w:pPr>
        <w:rPr>
          <w:lang w:val="es-ES"/>
        </w:rPr>
      </w:pPr>
      <w:r w:rsidRPr="00FF6678">
        <w:rPr>
          <w:lang w:val="es-ES"/>
        </w:rPr>
        <w:t xml:space="preserve">Este proceso fue el resultado de la notificación y puesta en servicio, por parte de China, de otra red de satélites </w:t>
      </w:r>
      <w:r w:rsidR="00B717FA" w:rsidRPr="00FF6678">
        <w:rPr>
          <w:lang w:val="es-ES"/>
        </w:rPr>
        <w:t xml:space="preserve">(ASIASAT-AAA) </w:t>
      </w:r>
      <w:r w:rsidRPr="00FF6678">
        <w:rPr>
          <w:lang w:val="es-ES"/>
        </w:rPr>
        <w:t xml:space="preserve">en la banda Ka, junto con el lanzamiento del nuevo satélite </w:t>
      </w:r>
      <w:r w:rsidR="00B717FA" w:rsidRPr="00FF6678">
        <w:rPr>
          <w:lang w:val="es-ES"/>
        </w:rPr>
        <w:t>AsiaSat</w:t>
      </w:r>
      <w:r w:rsidR="001302BD" w:rsidRPr="00FF6678">
        <w:rPr>
          <w:lang w:val="es-ES"/>
        </w:rPr>
        <w:t> </w:t>
      </w:r>
      <w:r w:rsidR="00B717FA" w:rsidRPr="00FF6678">
        <w:rPr>
          <w:lang w:val="es-ES"/>
        </w:rPr>
        <w:t xml:space="preserve">9, </w:t>
      </w:r>
      <w:r w:rsidRPr="00FF6678">
        <w:rPr>
          <w:lang w:val="es-ES"/>
        </w:rPr>
        <w:t xml:space="preserve">tras lo cual la Oficina decidió, </w:t>
      </w:r>
      <w:r w:rsidR="001302BD" w:rsidRPr="00FF6678">
        <w:rPr>
          <w:lang w:val="es-ES"/>
        </w:rPr>
        <w:t>por</w:t>
      </w:r>
      <w:r w:rsidRPr="00FF6678">
        <w:rPr>
          <w:lang w:val="es-ES"/>
        </w:rPr>
        <w:t xml:space="preserve"> iniciativa propia, iniciar una investigación sobre el uso durante los tres últimos años de TODAS las demás redes de satélites chinas en esta posición orbital para TODAS las bandas de frecuencias, aunque no se había informado a la Oficina de ningún cambio en el uso de su situación reglamentaria. Se considera que se trata de un nuev</w:t>
      </w:r>
      <w:r w:rsidR="004C540B" w:rsidRPr="00FF6678">
        <w:rPr>
          <w:lang w:val="es-ES"/>
        </w:rPr>
        <w:t>o</w:t>
      </w:r>
      <w:r w:rsidRPr="00FF6678">
        <w:rPr>
          <w:lang w:val="es-ES"/>
        </w:rPr>
        <w:t xml:space="preserve"> </w:t>
      </w:r>
      <w:r w:rsidR="004C540B" w:rsidRPr="00FF6678">
        <w:rPr>
          <w:lang w:val="es-ES"/>
        </w:rPr>
        <w:t xml:space="preserve">procedimiento </w:t>
      </w:r>
      <w:r w:rsidRPr="00FF6678">
        <w:rPr>
          <w:lang w:val="es-ES"/>
        </w:rPr>
        <w:t>adoptad</w:t>
      </w:r>
      <w:r w:rsidR="004C540B" w:rsidRPr="00FF6678">
        <w:rPr>
          <w:lang w:val="es-ES"/>
        </w:rPr>
        <w:t>o</w:t>
      </w:r>
      <w:r w:rsidRPr="00FF6678">
        <w:rPr>
          <w:lang w:val="es-ES"/>
        </w:rPr>
        <w:t xml:space="preserve"> por la Oficina</w:t>
      </w:r>
      <w:r w:rsidR="00B717FA" w:rsidRPr="00FF6678">
        <w:rPr>
          <w:lang w:val="es-ES"/>
        </w:rPr>
        <w:t>.</w:t>
      </w:r>
    </w:p>
    <w:p w14:paraId="5483EA11" w14:textId="2A5B80CA" w:rsidR="00363A65" w:rsidRPr="00FF6678" w:rsidRDefault="004333C9" w:rsidP="00E744C4">
      <w:pPr>
        <w:rPr>
          <w:lang w:val="es-ES"/>
        </w:rPr>
      </w:pPr>
      <w:r w:rsidRPr="00FF6678">
        <w:rPr>
          <w:lang w:val="es-ES"/>
        </w:rPr>
        <w:t xml:space="preserve">La Oficina y la Junta habían documentado y reconocido ampliamente que las asignaciones a </w:t>
      </w:r>
      <w:r w:rsidR="007050BD" w:rsidRPr="00FF6678">
        <w:rPr>
          <w:lang w:val="es-ES"/>
        </w:rPr>
        <w:t xml:space="preserve">ASIASAT-AK, ASIASAT-AK1 </w:t>
      </w:r>
      <w:r w:rsidRPr="00FF6678">
        <w:rPr>
          <w:lang w:val="es-ES"/>
        </w:rPr>
        <w:t xml:space="preserve">y </w:t>
      </w:r>
      <w:r w:rsidR="007050BD" w:rsidRPr="00FF6678">
        <w:rPr>
          <w:lang w:val="es-ES"/>
        </w:rPr>
        <w:t xml:space="preserve">ASIASAT-AKX </w:t>
      </w:r>
      <w:r w:rsidRPr="00FF6678">
        <w:rPr>
          <w:lang w:val="es-ES"/>
        </w:rPr>
        <w:t xml:space="preserve">en cuestión </w:t>
      </w:r>
      <w:r w:rsidR="001302BD" w:rsidRPr="00FF6678">
        <w:rPr>
          <w:lang w:val="es-ES"/>
        </w:rPr>
        <w:t xml:space="preserve">llevaban </w:t>
      </w:r>
      <w:r w:rsidR="00B67D55" w:rsidRPr="00FF6678">
        <w:rPr>
          <w:lang w:val="es-ES"/>
        </w:rPr>
        <w:t xml:space="preserve">mucho tiempo </w:t>
      </w:r>
      <w:r w:rsidR="001302BD" w:rsidRPr="00FF6678">
        <w:rPr>
          <w:lang w:val="es-ES"/>
        </w:rPr>
        <w:t xml:space="preserve">inscritas </w:t>
      </w:r>
      <w:r w:rsidR="00B67D55" w:rsidRPr="00FF6678">
        <w:rPr>
          <w:lang w:val="es-ES"/>
        </w:rPr>
        <w:t>en el Registro Internacional</w:t>
      </w:r>
      <w:r w:rsidR="00D16B8B" w:rsidRPr="00FF6678">
        <w:rPr>
          <w:lang w:val="es-ES"/>
        </w:rPr>
        <w:t xml:space="preserve"> de Frecuencias</w:t>
      </w:r>
      <w:r w:rsidR="00B67D55" w:rsidRPr="00FF6678">
        <w:rPr>
          <w:lang w:val="es-ES"/>
        </w:rPr>
        <w:t xml:space="preserve">, estaban operativas ANTES de que la Oficina iniciase la investigación en virtud del número </w:t>
      </w:r>
      <w:r w:rsidR="00B67D55" w:rsidRPr="00FF6678">
        <w:rPr>
          <w:b/>
          <w:bCs/>
          <w:lang w:val="es-ES"/>
        </w:rPr>
        <w:t>13.6</w:t>
      </w:r>
      <w:r w:rsidR="00B67D55" w:rsidRPr="00FF6678">
        <w:rPr>
          <w:lang w:val="es-ES"/>
        </w:rPr>
        <w:t xml:space="preserve"> el 8 noviembre de 2017 y continuaban funcionando con normalidad</w:t>
      </w:r>
      <w:r w:rsidR="007050BD" w:rsidRPr="00FF6678">
        <w:rPr>
          <w:lang w:val="es-ES"/>
        </w:rPr>
        <w:t xml:space="preserve">. </w:t>
      </w:r>
      <w:r w:rsidR="00B67D55" w:rsidRPr="00FF6678">
        <w:rPr>
          <w:lang w:val="es-ES"/>
        </w:rPr>
        <w:t xml:space="preserve">También se tuvo en cuenta que se habían satisfecho todos los requisitos de coordinación </w:t>
      </w:r>
      <w:r w:rsidR="001302BD" w:rsidRPr="00FF6678">
        <w:rPr>
          <w:lang w:val="es-ES"/>
        </w:rPr>
        <w:t xml:space="preserve">de las asignaciones de frecuencias </w:t>
      </w:r>
      <w:r w:rsidR="00B67D55" w:rsidRPr="00FF6678">
        <w:rPr>
          <w:lang w:val="es-ES"/>
        </w:rPr>
        <w:t xml:space="preserve">y que no se habían recibido quejas de otras </w:t>
      </w:r>
      <w:r w:rsidR="008D2DCF" w:rsidRPr="00FF6678">
        <w:rPr>
          <w:lang w:val="es-ES"/>
        </w:rPr>
        <w:t xml:space="preserve">Administraciones </w:t>
      </w:r>
      <w:r w:rsidR="00B67D55" w:rsidRPr="00FF6678">
        <w:rPr>
          <w:lang w:val="es-ES"/>
        </w:rPr>
        <w:t>en relación con la coordinación, el funcionamiento, la interferencia o la validez de estas asignaciones</w:t>
      </w:r>
      <w:r w:rsidR="007050BD" w:rsidRPr="00FF6678">
        <w:rPr>
          <w:lang w:val="es-ES"/>
        </w:rPr>
        <w:t>.</w:t>
      </w:r>
    </w:p>
    <w:p w14:paraId="2854AA5F" w14:textId="62EB171F" w:rsidR="007050BD" w:rsidRPr="00FF6678" w:rsidRDefault="001C48D4" w:rsidP="00E744C4">
      <w:pPr>
        <w:rPr>
          <w:lang w:val="es-ES"/>
        </w:rPr>
      </w:pPr>
      <w:r w:rsidRPr="00FF6678">
        <w:rPr>
          <w:lang w:val="es-ES"/>
        </w:rPr>
        <w:lastRenderedPageBreak/>
        <w:t xml:space="preserve">Pese a lo anterior, se decidió suprimir las asignaciones a </w:t>
      </w:r>
      <w:r w:rsidR="007050BD" w:rsidRPr="00FF6678">
        <w:rPr>
          <w:lang w:val="es-ES"/>
        </w:rPr>
        <w:t xml:space="preserve">ASIASAT-AK, ASIASAT-AK1 </w:t>
      </w:r>
      <w:r w:rsidRPr="00FF6678">
        <w:rPr>
          <w:lang w:val="es-ES"/>
        </w:rPr>
        <w:t xml:space="preserve">y </w:t>
      </w:r>
      <w:r w:rsidR="007050BD" w:rsidRPr="00FF6678">
        <w:rPr>
          <w:lang w:val="es-ES"/>
        </w:rPr>
        <w:t xml:space="preserve">ASIASAT-AKX </w:t>
      </w:r>
      <w:r w:rsidRPr="00FF6678">
        <w:rPr>
          <w:lang w:val="es-ES"/>
        </w:rPr>
        <w:t xml:space="preserve">en cuestión sobre la base de que, </w:t>
      </w:r>
      <w:bookmarkStart w:id="6" w:name="_Hlk22580599"/>
      <w:r w:rsidRPr="00FF6678">
        <w:rPr>
          <w:lang w:val="es-ES"/>
        </w:rPr>
        <w:t>en el momento del lanzamiento de</w:t>
      </w:r>
      <w:r w:rsidR="001302BD" w:rsidRPr="00FF6678">
        <w:rPr>
          <w:lang w:val="es-ES"/>
        </w:rPr>
        <w:t>l</w:t>
      </w:r>
      <w:r w:rsidRPr="00FF6678">
        <w:rPr>
          <w:lang w:val="es-ES"/>
        </w:rPr>
        <w:t xml:space="preserve"> AsiaSat 9, las asignaciones de frecuencias llevaban más de 21 meses en desuso</w:t>
      </w:r>
      <w:r w:rsidR="007050BD" w:rsidRPr="00FF6678">
        <w:rPr>
          <w:lang w:val="es-ES"/>
        </w:rPr>
        <w:t xml:space="preserve"> </w:t>
      </w:r>
      <w:bookmarkEnd w:id="6"/>
      <w:r w:rsidR="007050BD" w:rsidRPr="00FF6678">
        <w:rPr>
          <w:lang w:val="es-ES"/>
        </w:rPr>
        <w:t>(</w:t>
      </w:r>
      <w:r w:rsidRPr="00FF6678">
        <w:rPr>
          <w:lang w:val="es-ES"/>
        </w:rPr>
        <w:t>la cancelación no entraría en vigor hasta el último día de la CMR</w:t>
      </w:r>
      <w:r w:rsidR="007050BD" w:rsidRPr="00FF6678">
        <w:rPr>
          <w:lang w:val="es-ES"/>
        </w:rPr>
        <w:t>-19).</w:t>
      </w:r>
    </w:p>
    <w:p w14:paraId="5318C1CC" w14:textId="47378FC1" w:rsidR="007050BD" w:rsidRPr="00FF6678" w:rsidRDefault="001C48D4" w:rsidP="00E744C4">
      <w:pPr>
        <w:rPr>
          <w:lang w:val="es-ES"/>
        </w:rPr>
      </w:pPr>
      <w:r w:rsidRPr="00FF6678">
        <w:rPr>
          <w:lang w:val="es-ES"/>
        </w:rPr>
        <w:t xml:space="preserve">La cancelación de las asignaciones en cuestión se aleja de los principios </w:t>
      </w:r>
      <w:r w:rsidR="001302BD" w:rsidRPr="00FF6678">
        <w:rPr>
          <w:lang w:val="es-ES"/>
        </w:rPr>
        <w:t xml:space="preserve">arraigados </w:t>
      </w:r>
      <w:r w:rsidRPr="00FF6678">
        <w:rPr>
          <w:lang w:val="es-ES"/>
        </w:rPr>
        <w:t xml:space="preserve">que se han dado a conocer a las Administraciones a lo largo de los años, </w:t>
      </w:r>
      <w:r w:rsidR="001302BD" w:rsidRPr="00FF6678">
        <w:rPr>
          <w:lang w:val="es-ES"/>
        </w:rPr>
        <w:t xml:space="preserve">y por última vez </w:t>
      </w:r>
      <w:r w:rsidRPr="00FF6678">
        <w:rPr>
          <w:lang w:val="es-ES"/>
        </w:rPr>
        <w:t xml:space="preserve">en Cartas Circulares (por ejemplo, </w:t>
      </w:r>
      <w:r w:rsidR="007050BD" w:rsidRPr="00FF6678">
        <w:rPr>
          <w:lang w:val="es-ES"/>
        </w:rPr>
        <w:t xml:space="preserve">CR/436 </w:t>
      </w:r>
      <w:r w:rsidRPr="00FF6678">
        <w:rPr>
          <w:lang w:val="es-ES"/>
        </w:rPr>
        <w:t>de septiembre de</w:t>
      </w:r>
      <w:r w:rsidR="007050BD" w:rsidRPr="00FF6678">
        <w:rPr>
          <w:lang w:val="es-ES"/>
        </w:rPr>
        <w:t xml:space="preserve"> 2018) </w:t>
      </w:r>
      <w:r w:rsidRPr="00FF6678">
        <w:rPr>
          <w:lang w:val="es-ES"/>
        </w:rPr>
        <w:t xml:space="preserve">y el Informe de la </w:t>
      </w:r>
      <w:r w:rsidR="007050BD" w:rsidRPr="00FF6678">
        <w:rPr>
          <w:lang w:val="es-ES"/>
        </w:rPr>
        <w:t xml:space="preserve">RRB </w:t>
      </w:r>
      <w:r w:rsidRPr="00FF6678">
        <w:rPr>
          <w:lang w:val="es-ES"/>
        </w:rPr>
        <w:t>para la CMR</w:t>
      </w:r>
      <w:r w:rsidR="007050BD" w:rsidRPr="00FF6678">
        <w:rPr>
          <w:lang w:val="es-ES"/>
        </w:rPr>
        <w:t>-15 (</w:t>
      </w:r>
      <w:r w:rsidRPr="00FF6678">
        <w:rPr>
          <w:lang w:val="es-ES"/>
        </w:rPr>
        <w:t>que fue aprobado posteriormente por la CMR</w:t>
      </w:r>
      <w:r w:rsidR="007050BD" w:rsidRPr="00FF6678">
        <w:rPr>
          <w:lang w:val="es-ES"/>
        </w:rPr>
        <w:t>-15)</w:t>
      </w:r>
      <w:r w:rsidRPr="00FF6678">
        <w:rPr>
          <w:lang w:val="es-ES"/>
        </w:rPr>
        <w:t>, y de las decisiones tomadas previamente en casos similares (precedencia). Aunque se reconoce</w:t>
      </w:r>
      <w:r w:rsidR="001712AE" w:rsidRPr="00FF6678">
        <w:rPr>
          <w:lang w:val="es-ES"/>
        </w:rPr>
        <w:t xml:space="preserve"> que cada caso individual es distinto y </w:t>
      </w:r>
      <w:r w:rsidR="001302BD" w:rsidRPr="00FF6678">
        <w:rPr>
          <w:lang w:val="es-ES"/>
        </w:rPr>
        <w:t xml:space="preserve">debe </w:t>
      </w:r>
      <w:r w:rsidR="001712AE" w:rsidRPr="00FF6678">
        <w:rPr>
          <w:lang w:val="es-ES"/>
        </w:rPr>
        <w:t>ser considerado por sí mismo, los principios subyacentes y l</w:t>
      </w:r>
      <w:r w:rsidR="004C540B" w:rsidRPr="00FF6678">
        <w:rPr>
          <w:lang w:val="es-ES"/>
        </w:rPr>
        <w:t>os</w:t>
      </w:r>
      <w:r w:rsidR="001712AE" w:rsidRPr="00FF6678">
        <w:rPr>
          <w:lang w:val="es-ES"/>
        </w:rPr>
        <w:t xml:space="preserve"> </w:t>
      </w:r>
      <w:r w:rsidR="004C540B" w:rsidRPr="00FF6678">
        <w:rPr>
          <w:lang w:val="es-ES"/>
        </w:rPr>
        <w:t>procedimiento</w:t>
      </w:r>
      <w:r w:rsidR="001712AE" w:rsidRPr="00FF6678">
        <w:rPr>
          <w:lang w:val="es-ES"/>
        </w:rPr>
        <w:t>s aplicad</w:t>
      </w:r>
      <w:r w:rsidR="004C540B" w:rsidRPr="00FF6678">
        <w:rPr>
          <w:lang w:val="es-ES"/>
        </w:rPr>
        <w:t>o</w:t>
      </w:r>
      <w:r w:rsidR="001712AE" w:rsidRPr="00FF6678">
        <w:rPr>
          <w:lang w:val="es-ES"/>
        </w:rPr>
        <w:t>s al examinar cada caso deben ser coherentes</w:t>
      </w:r>
      <w:r w:rsidR="007050BD" w:rsidRPr="00FF6678">
        <w:rPr>
          <w:lang w:val="es-ES"/>
        </w:rPr>
        <w:t>.</w:t>
      </w:r>
    </w:p>
    <w:p w14:paraId="77CF8D4B" w14:textId="460B3CCA" w:rsidR="007050BD" w:rsidRPr="00FF6678" w:rsidRDefault="00D16B8B" w:rsidP="00E744C4">
      <w:pPr>
        <w:rPr>
          <w:lang w:val="es-ES"/>
        </w:rPr>
      </w:pPr>
      <w:r w:rsidRPr="00FF6678">
        <w:rPr>
          <w:lang w:val="es-ES"/>
        </w:rPr>
        <w:t>La decisión relativa a las asignaciones en cuestión se aborda en el Informe del Director</w:t>
      </w:r>
      <w:r w:rsidR="007050BD" w:rsidRPr="00FF6678">
        <w:rPr>
          <w:lang w:val="es-ES"/>
        </w:rPr>
        <w:t xml:space="preserve"> (</w:t>
      </w:r>
      <w:hyperlink r:id="rId13" w:history="1">
        <w:r w:rsidR="0067298F" w:rsidRPr="00FF6678">
          <w:rPr>
            <w:rStyle w:val="Hyperlink"/>
            <w:lang w:val="es-ES"/>
          </w:rPr>
          <w:t>CMR19/4</w:t>
        </w:r>
      </w:hyperlink>
      <w:r w:rsidR="007050BD" w:rsidRPr="00FF6678">
        <w:rPr>
          <w:lang w:val="es-ES"/>
        </w:rPr>
        <w:t>, Add</w:t>
      </w:r>
      <w:r w:rsidRPr="00FF6678">
        <w:rPr>
          <w:lang w:val="es-ES"/>
        </w:rPr>
        <w:t>.</w:t>
      </w:r>
      <w:r w:rsidR="007050BD" w:rsidRPr="00FF6678">
        <w:rPr>
          <w:lang w:val="es-ES"/>
        </w:rPr>
        <w:t xml:space="preserve"> 3</w:t>
      </w:r>
      <w:r w:rsidRPr="00FF6678">
        <w:rPr>
          <w:lang w:val="es-ES"/>
        </w:rPr>
        <w:t>,</w:t>
      </w:r>
      <w:r w:rsidR="007050BD" w:rsidRPr="00FF6678">
        <w:rPr>
          <w:lang w:val="es-ES"/>
        </w:rPr>
        <w:t xml:space="preserve"> Sec</w:t>
      </w:r>
      <w:r w:rsidRPr="00FF6678">
        <w:rPr>
          <w:lang w:val="es-ES"/>
        </w:rPr>
        <w:t>ción</w:t>
      </w:r>
      <w:r w:rsidR="007050BD" w:rsidRPr="00FF6678">
        <w:rPr>
          <w:lang w:val="es-ES"/>
        </w:rPr>
        <w:t xml:space="preserve"> 6.2) </w:t>
      </w:r>
      <w:r w:rsidRPr="00FF6678">
        <w:rPr>
          <w:lang w:val="es-ES"/>
        </w:rPr>
        <w:t xml:space="preserve">y se examinará en el marco del punto </w:t>
      </w:r>
      <w:r w:rsidR="007050BD" w:rsidRPr="00FF6678">
        <w:rPr>
          <w:lang w:val="es-ES"/>
        </w:rPr>
        <w:t>9.2</w:t>
      </w:r>
      <w:r w:rsidRPr="00FF6678">
        <w:rPr>
          <w:lang w:val="es-ES"/>
        </w:rPr>
        <w:t xml:space="preserve"> del orden del día</w:t>
      </w:r>
      <w:r w:rsidR="007050BD" w:rsidRPr="00FF6678">
        <w:rPr>
          <w:lang w:val="es-ES"/>
        </w:rPr>
        <w:t xml:space="preserve">. </w:t>
      </w:r>
      <w:r w:rsidRPr="00FF6678">
        <w:rPr>
          <w:lang w:val="es-ES"/>
        </w:rPr>
        <w:t xml:space="preserve">La presente comunicación ofrece información adicional y explica los motivos por los que esta Administración solicita respetuosamente a la CMR-R19 que se </w:t>
      </w:r>
      <w:r w:rsidR="007C4C68" w:rsidRPr="00FF6678">
        <w:rPr>
          <w:b/>
          <w:bCs/>
          <w:u w:val="single"/>
          <w:lang w:val="es-ES"/>
        </w:rPr>
        <w:t>mantengan</w:t>
      </w:r>
      <w:r w:rsidRPr="00FF6678">
        <w:rPr>
          <w:lang w:val="es-ES"/>
        </w:rPr>
        <w:t xml:space="preserve"> las asignaciones a </w:t>
      </w:r>
      <w:r w:rsidR="007050BD" w:rsidRPr="00FF6678">
        <w:rPr>
          <w:lang w:val="es-ES"/>
        </w:rPr>
        <w:t xml:space="preserve">ASIASAT-AK, ASIASAT-AK1 </w:t>
      </w:r>
      <w:r w:rsidRPr="00FF6678">
        <w:rPr>
          <w:lang w:val="es-ES"/>
        </w:rPr>
        <w:t xml:space="preserve">y </w:t>
      </w:r>
      <w:r w:rsidR="007050BD" w:rsidRPr="00FF6678">
        <w:rPr>
          <w:lang w:val="es-ES"/>
        </w:rPr>
        <w:t xml:space="preserve">ASIASAT-AKX </w:t>
      </w:r>
      <w:r w:rsidRPr="00FF6678">
        <w:rPr>
          <w:lang w:val="es-ES"/>
        </w:rPr>
        <w:t>en cuestión en el Registro Internacional de Frecuencias</w:t>
      </w:r>
      <w:r w:rsidR="007050BD" w:rsidRPr="00FF6678">
        <w:rPr>
          <w:lang w:val="es-ES"/>
        </w:rPr>
        <w:t>.</w:t>
      </w:r>
    </w:p>
    <w:p w14:paraId="706C5C72" w14:textId="75367655" w:rsidR="007050BD" w:rsidRPr="00FF6678" w:rsidRDefault="007050BD" w:rsidP="00E744C4">
      <w:pPr>
        <w:pStyle w:val="Heading1"/>
        <w:rPr>
          <w:lang w:val="es-ES"/>
        </w:rPr>
      </w:pPr>
      <w:r w:rsidRPr="00FF6678">
        <w:rPr>
          <w:lang w:val="es-ES"/>
        </w:rPr>
        <w:t>2</w:t>
      </w:r>
      <w:r w:rsidRPr="00FF6678">
        <w:rPr>
          <w:lang w:val="es-ES"/>
        </w:rPr>
        <w:tab/>
      </w:r>
      <w:r w:rsidR="00DC20DD" w:rsidRPr="00FF6678">
        <w:rPr>
          <w:lang w:val="es-ES"/>
        </w:rPr>
        <w:t xml:space="preserve">Es necesario tomar una </w:t>
      </w:r>
      <w:r w:rsidR="00794CF9" w:rsidRPr="00FF6678">
        <w:rPr>
          <w:lang w:val="es-ES"/>
        </w:rPr>
        <w:t>decisión sobre los principios aplicables respecto del número</w:t>
      </w:r>
      <w:r w:rsidRPr="00FF6678">
        <w:rPr>
          <w:lang w:val="es-ES"/>
        </w:rPr>
        <w:t> 13.6</w:t>
      </w:r>
      <w:r w:rsidR="00794CF9" w:rsidRPr="00FF6678">
        <w:rPr>
          <w:lang w:val="es-ES"/>
        </w:rPr>
        <w:t xml:space="preserve"> del RR</w:t>
      </w:r>
    </w:p>
    <w:p w14:paraId="08237854" w14:textId="2B0BCAA9" w:rsidR="007050BD" w:rsidRPr="00FF6678" w:rsidRDefault="00BB148F" w:rsidP="00E744C4">
      <w:pPr>
        <w:rPr>
          <w:lang w:val="es-ES"/>
        </w:rPr>
      </w:pPr>
      <w:r w:rsidRPr="00FF6678">
        <w:rPr>
          <w:lang w:val="es-ES"/>
        </w:rPr>
        <w:t xml:space="preserve">El caso de las asignaciones a </w:t>
      </w:r>
      <w:r w:rsidR="007050BD" w:rsidRPr="00FF6678">
        <w:rPr>
          <w:lang w:val="es-ES"/>
        </w:rPr>
        <w:t xml:space="preserve">ASIASAT-AK, ASIASAT-AK1 </w:t>
      </w:r>
      <w:r w:rsidRPr="00FF6678">
        <w:rPr>
          <w:lang w:val="es-ES"/>
        </w:rPr>
        <w:t xml:space="preserve">y </w:t>
      </w:r>
      <w:r w:rsidR="007050BD" w:rsidRPr="00FF6678">
        <w:rPr>
          <w:lang w:val="es-ES"/>
        </w:rPr>
        <w:t xml:space="preserve">ASIASAT-AKX </w:t>
      </w:r>
      <w:r w:rsidRPr="00FF6678">
        <w:rPr>
          <w:lang w:val="es-ES"/>
        </w:rPr>
        <w:t>no es único</w:t>
      </w:r>
      <w:r w:rsidR="0067298F" w:rsidRPr="00FF6678">
        <w:rPr>
          <w:lang w:val="es-ES"/>
        </w:rPr>
        <w:t>. De hecho, c</w:t>
      </w:r>
      <w:r w:rsidR="0007675A" w:rsidRPr="00FF6678">
        <w:rPr>
          <w:lang w:val="es-ES"/>
        </w:rPr>
        <w:t xml:space="preserve">on el nuevo criterio que está aplicando la </w:t>
      </w:r>
      <w:r w:rsidRPr="00FF6678">
        <w:rPr>
          <w:lang w:val="es-ES"/>
        </w:rPr>
        <w:t>Oficina</w:t>
      </w:r>
      <w:r w:rsidR="0007675A" w:rsidRPr="00FF6678">
        <w:rPr>
          <w:lang w:val="es-ES"/>
        </w:rPr>
        <w:t xml:space="preserve"> </w:t>
      </w:r>
      <w:r w:rsidR="00E744C4" w:rsidRPr="00E744C4">
        <w:rPr>
          <w:lang w:val="es-ES"/>
        </w:rPr>
        <w:t>–</w:t>
      </w:r>
      <w:r w:rsidRPr="00FF6678">
        <w:rPr>
          <w:lang w:val="es-ES"/>
        </w:rPr>
        <w:t xml:space="preserve">siempre que recibe una comunicación (por ejemplo, Notificación o Resolución 49) de una Administración sobre </w:t>
      </w:r>
      <w:r w:rsidR="0007675A" w:rsidRPr="00FF6678">
        <w:rPr>
          <w:lang w:val="es-ES"/>
        </w:rPr>
        <w:t xml:space="preserve">cualquier </w:t>
      </w:r>
      <w:r w:rsidRPr="00FF6678">
        <w:rPr>
          <w:lang w:val="es-ES"/>
        </w:rPr>
        <w:t xml:space="preserve">banda de frecuencias </w:t>
      </w:r>
      <w:r w:rsidR="0007675A" w:rsidRPr="00FF6678">
        <w:rPr>
          <w:lang w:val="es-ES"/>
        </w:rPr>
        <w:t xml:space="preserve">en </w:t>
      </w:r>
      <w:r w:rsidRPr="00FF6678">
        <w:rPr>
          <w:lang w:val="es-ES"/>
        </w:rPr>
        <w:t xml:space="preserve">una posición orbital, </w:t>
      </w:r>
      <w:r w:rsidR="0007675A" w:rsidRPr="00FF6678">
        <w:rPr>
          <w:lang w:val="es-ES"/>
        </w:rPr>
        <w:t xml:space="preserve">investigar </w:t>
      </w:r>
      <w:r w:rsidRPr="00FF6678">
        <w:rPr>
          <w:lang w:val="es-ES"/>
        </w:rPr>
        <w:t xml:space="preserve">todas las asignaciones de los tres últimos años de </w:t>
      </w:r>
      <w:r w:rsidR="0007675A" w:rsidRPr="00FF6678">
        <w:rPr>
          <w:lang w:val="es-ES"/>
        </w:rPr>
        <w:t xml:space="preserve">todas </w:t>
      </w:r>
      <w:r w:rsidRPr="00FF6678">
        <w:rPr>
          <w:lang w:val="es-ES"/>
        </w:rPr>
        <w:t xml:space="preserve">las redes de satélites que funcionan en </w:t>
      </w:r>
      <w:r w:rsidR="0007675A" w:rsidRPr="00FF6678">
        <w:rPr>
          <w:lang w:val="es-ES"/>
        </w:rPr>
        <w:t xml:space="preserve">todas </w:t>
      </w:r>
      <w:r w:rsidRPr="00FF6678">
        <w:rPr>
          <w:lang w:val="es-ES"/>
        </w:rPr>
        <w:t xml:space="preserve">las bandas de frecuencias de esa </w:t>
      </w:r>
      <w:r w:rsidR="0007675A" w:rsidRPr="00FF6678">
        <w:rPr>
          <w:lang w:val="es-ES"/>
        </w:rPr>
        <w:t>A</w:t>
      </w:r>
      <w:r w:rsidRPr="00FF6678">
        <w:rPr>
          <w:lang w:val="es-ES"/>
        </w:rPr>
        <w:t>dministración y en esa posición orbital</w:t>
      </w:r>
      <w:r w:rsidR="00E744C4" w:rsidRPr="00E744C4">
        <w:rPr>
          <w:lang w:val="es-ES"/>
        </w:rPr>
        <w:t>–</w:t>
      </w:r>
      <w:r w:rsidR="0007675A" w:rsidRPr="00FF6678">
        <w:rPr>
          <w:lang w:val="es-ES"/>
        </w:rPr>
        <w:t>, es de esperar que se produzcan muchos casos de este tipo en el futuro.</w:t>
      </w:r>
    </w:p>
    <w:p w14:paraId="53CBEC2E" w14:textId="0A0DCC35" w:rsidR="007050BD" w:rsidRPr="00FF6678" w:rsidRDefault="008724A4" w:rsidP="00E744C4">
      <w:pPr>
        <w:rPr>
          <w:lang w:val="es-ES"/>
        </w:rPr>
      </w:pPr>
      <w:r w:rsidRPr="00FF6678">
        <w:rPr>
          <w:lang w:val="es-ES"/>
        </w:rPr>
        <w:t>Cabe destacar también que el Informe de la RRB a la CMR</w:t>
      </w:r>
      <w:r w:rsidR="007050BD" w:rsidRPr="00FF6678">
        <w:rPr>
          <w:lang w:val="es-ES"/>
        </w:rPr>
        <w:t xml:space="preserve">-19 </w:t>
      </w:r>
      <w:r w:rsidRPr="00FF6678">
        <w:rPr>
          <w:lang w:val="es-ES"/>
        </w:rPr>
        <w:t xml:space="preserve">sobre la Resolución </w:t>
      </w:r>
      <w:r w:rsidR="007050BD" w:rsidRPr="00FF6678">
        <w:rPr>
          <w:b/>
          <w:lang w:val="es-ES"/>
        </w:rPr>
        <w:t>80 (Rev.</w:t>
      </w:r>
      <w:r w:rsidRPr="00FF6678">
        <w:rPr>
          <w:b/>
          <w:lang w:val="es-ES"/>
        </w:rPr>
        <w:t>CMR</w:t>
      </w:r>
      <w:r w:rsidR="007050BD" w:rsidRPr="00FF6678">
        <w:rPr>
          <w:b/>
          <w:lang w:val="es-ES"/>
        </w:rPr>
        <w:t>-07)</w:t>
      </w:r>
      <w:r w:rsidR="007050BD" w:rsidRPr="00FF6678">
        <w:rPr>
          <w:lang w:val="es-ES"/>
        </w:rPr>
        <w:t xml:space="preserve"> (</w:t>
      </w:r>
      <w:r w:rsidRPr="00FF6678">
        <w:rPr>
          <w:lang w:val="es-ES"/>
        </w:rPr>
        <w:t>véase</w:t>
      </w:r>
      <w:r w:rsidR="007050BD" w:rsidRPr="00FF6678">
        <w:rPr>
          <w:lang w:val="es-ES"/>
        </w:rPr>
        <w:t xml:space="preserve"> </w:t>
      </w:r>
      <w:hyperlink r:id="rId14" w:history="1">
        <w:r w:rsidR="0067298F" w:rsidRPr="00FF6678">
          <w:rPr>
            <w:rStyle w:val="Hyperlink"/>
            <w:lang w:val="es-ES"/>
          </w:rPr>
          <w:t>CMR-1</w:t>
        </w:r>
        <w:r w:rsidR="0067298F" w:rsidRPr="00FF6678">
          <w:rPr>
            <w:rStyle w:val="Hyperlink"/>
            <w:lang w:val="es-ES"/>
          </w:rPr>
          <w:t>9</w:t>
        </w:r>
        <w:r w:rsidR="0067298F" w:rsidRPr="00FF6678">
          <w:rPr>
            <w:rStyle w:val="Hyperlink"/>
            <w:lang w:val="es-ES"/>
          </w:rPr>
          <w:t xml:space="preserve"> Doc. 15</w:t>
        </w:r>
      </w:hyperlink>
      <w:r w:rsidR="007050BD" w:rsidRPr="00FF6678">
        <w:rPr>
          <w:lang w:val="es-ES"/>
        </w:rPr>
        <w:t xml:space="preserve">, </w:t>
      </w:r>
      <w:r w:rsidRPr="00FF6678">
        <w:rPr>
          <w:lang w:val="es-ES"/>
        </w:rPr>
        <w:t>Sección</w:t>
      </w:r>
      <w:r w:rsidR="007050BD" w:rsidRPr="00FF6678">
        <w:rPr>
          <w:lang w:val="es-ES"/>
        </w:rPr>
        <w:t xml:space="preserve"> 4.7)</w:t>
      </w:r>
      <w:r w:rsidRPr="00FF6678">
        <w:rPr>
          <w:lang w:val="es-ES"/>
        </w:rPr>
        <w:t xml:space="preserve"> se ocupa de manera general del caso de las asignaciones </w:t>
      </w:r>
      <w:r w:rsidR="00AD6D2E" w:rsidRPr="00FF6678">
        <w:rPr>
          <w:lang w:val="es-ES"/>
        </w:rPr>
        <w:t xml:space="preserve">a </w:t>
      </w:r>
      <w:r w:rsidR="007050BD" w:rsidRPr="00FF6678">
        <w:rPr>
          <w:lang w:val="es-ES"/>
        </w:rPr>
        <w:t xml:space="preserve">ASIASAT-AK, ASIASAT-AK1 </w:t>
      </w:r>
      <w:r w:rsidRPr="00FF6678">
        <w:rPr>
          <w:lang w:val="es-ES"/>
        </w:rPr>
        <w:t xml:space="preserve">y </w:t>
      </w:r>
      <w:r w:rsidR="007050BD" w:rsidRPr="00FF6678">
        <w:rPr>
          <w:lang w:val="es-ES"/>
        </w:rPr>
        <w:t xml:space="preserve">ASIASAT-AKX </w:t>
      </w:r>
      <w:r w:rsidRPr="00FF6678">
        <w:rPr>
          <w:lang w:val="es-ES"/>
        </w:rPr>
        <w:t xml:space="preserve">y de otro caso planteado con arreglo al número </w:t>
      </w:r>
      <w:r w:rsidR="007050BD" w:rsidRPr="00FF6678">
        <w:rPr>
          <w:b/>
          <w:lang w:val="es-ES"/>
        </w:rPr>
        <w:t>13.6</w:t>
      </w:r>
      <w:r w:rsidR="007050BD" w:rsidRPr="00FF6678">
        <w:rPr>
          <w:lang w:val="es-ES"/>
        </w:rPr>
        <w:t xml:space="preserve"> </w:t>
      </w:r>
      <w:r w:rsidRPr="00FF6678">
        <w:rPr>
          <w:lang w:val="es-ES"/>
        </w:rPr>
        <w:t>del RR. En esa sección, la RRB invita a la CMR-19 a considerar la posibilidad de proporcionar orientaciones a la Junta para que las tome en consideración al tratar los problemas e inquietudes arriba señalados</w:t>
      </w:r>
      <w:r w:rsidR="007050BD" w:rsidRPr="00FF6678">
        <w:rPr>
          <w:lang w:val="es-ES"/>
        </w:rPr>
        <w:t>.</w:t>
      </w:r>
    </w:p>
    <w:p w14:paraId="51308D5B" w14:textId="299E4E1B" w:rsidR="007050BD" w:rsidRPr="00FF6678" w:rsidRDefault="00AD6D2E" w:rsidP="00E744C4">
      <w:pPr>
        <w:rPr>
          <w:lang w:val="es-ES"/>
        </w:rPr>
      </w:pPr>
      <w:r w:rsidRPr="00FF6678">
        <w:rPr>
          <w:lang w:val="es-ES"/>
        </w:rPr>
        <w:t xml:space="preserve">Además, en el Informe del Director </w:t>
      </w:r>
      <w:r w:rsidR="007050BD" w:rsidRPr="00FF6678">
        <w:rPr>
          <w:lang w:val="es-ES"/>
        </w:rPr>
        <w:t>(</w:t>
      </w:r>
      <w:hyperlink r:id="rId15" w:history="1">
        <w:r w:rsidR="0067298F" w:rsidRPr="00FF6678">
          <w:rPr>
            <w:rStyle w:val="Hyperlink"/>
            <w:lang w:val="es-ES"/>
          </w:rPr>
          <w:t>CMR1</w:t>
        </w:r>
        <w:r w:rsidR="0067298F" w:rsidRPr="00FF6678">
          <w:rPr>
            <w:rStyle w:val="Hyperlink"/>
            <w:lang w:val="es-ES"/>
          </w:rPr>
          <w:t>9</w:t>
        </w:r>
        <w:r w:rsidR="0067298F" w:rsidRPr="00FF6678">
          <w:rPr>
            <w:rStyle w:val="Hyperlink"/>
            <w:lang w:val="es-ES"/>
          </w:rPr>
          <w:t>/4</w:t>
        </w:r>
      </w:hyperlink>
      <w:r w:rsidR="007050BD" w:rsidRPr="00FF6678">
        <w:rPr>
          <w:lang w:val="es-ES"/>
        </w:rPr>
        <w:t>, Add</w:t>
      </w:r>
      <w:r w:rsidRPr="00FF6678">
        <w:rPr>
          <w:lang w:val="es-ES"/>
        </w:rPr>
        <w:t>.</w:t>
      </w:r>
      <w:r w:rsidR="007050BD" w:rsidRPr="00FF6678">
        <w:rPr>
          <w:lang w:val="es-ES"/>
        </w:rPr>
        <w:t xml:space="preserve"> 3</w:t>
      </w:r>
      <w:r w:rsidRPr="00FF6678">
        <w:rPr>
          <w:lang w:val="es-ES"/>
        </w:rPr>
        <w:t>,</w:t>
      </w:r>
      <w:r w:rsidR="007050BD" w:rsidRPr="00FF6678">
        <w:rPr>
          <w:lang w:val="es-ES"/>
        </w:rPr>
        <w:t xml:space="preserve"> </w:t>
      </w:r>
      <w:r w:rsidRPr="00FF6678">
        <w:rPr>
          <w:lang w:val="es-ES"/>
        </w:rPr>
        <w:t xml:space="preserve">Sección </w:t>
      </w:r>
      <w:r w:rsidR="007050BD" w:rsidRPr="00FF6678">
        <w:rPr>
          <w:lang w:val="es-ES"/>
        </w:rPr>
        <w:t xml:space="preserve">6.2) </w:t>
      </w:r>
      <w:r w:rsidRPr="00FF6678">
        <w:rPr>
          <w:lang w:val="es-ES"/>
        </w:rPr>
        <w:t xml:space="preserve">se llama la atención sobre las asignaciones a </w:t>
      </w:r>
      <w:r w:rsidR="007050BD" w:rsidRPr="00FF6678">
        <w:rPr>
          <w:lang w:val="es-ES"/>
        </w:rPr>
        <w:t xml:space="preserve">ASIASAT-AK, ASIASAT-AK1 </w:t>
      </w:r>
      <w:r w:rsidRPr="00FF6678">
        <w:rPr>
          <w:lang w:val="es-ES"/>
        </w:rPr>
        <w:t>y</w:t>
      </w:r>
      <w:r w:rsidR="007050BD" w:rsidRPr="00FF6678">
        <w:rPr>
          <w:lang w:val="es-ES"/>
        </w:rPr>
        <w:t xml:space="preserve"> ASIASAT-AKX </w:t>
      </w:r>
      <w:r w:rsidRPr="00FF6678">
        <w:rPr>
          <w:lang w:val="es-ES"/>
        </w:rPr>
        <w:t>y sobre otro caso más</w:t>
      </w:r>
      <w:r w:rsidR="007050BD" w:rsidRPr="00FF6678">
        <w:rPr>
          <w:lang w:val="es-ES"/>
        </w:rPr>
        <w:t>.</w:t>
      </w:r>
    </w:p>
    <w:p w14:paraId="4EABC46F" w14:textId="013A25E4" w:rsidR="007050BD" w:rsidRPr="00FF6678" w:rsidRDefault="00AD6D2E" w:rsidP="00E744C4">
      <w:pPr>
        <w:rPr>
          <w:lang w:val="es-ES"/>
        </w:rPr>
      </w:pPr>
      <w:r w:rsidRPr="00FF6678">
        <w:rPr>
          <w:lang w:val="es-ES"/>
        </w:rPr>
        <w:t>Por consiguiente, en estos documentos se solicita asesoramiento sobre los principios aplicables cuando la Oficina investig</w:t>
      </w:r>
      <w:r w:rsidR="00F76986" w:rsidRPr="00FF6678">
        <w:rPr>
          <w:lang w:val="es-ES"/>
        </w:rPr>
        <w:t>a</w:t>
      </w:r>
      <w:r w:rsidRPr="00FF6678">
        <w:rPr>
          <w:lang w:val="es-ES"/>
        </w:rPr>
        <w:t xml:space="preserve"> casos en virtud del número </w:t>
      </w:r>
      <w:r w:rsidR="007050BD" w:rsidRPr="00FF6678">
        <w:rPr>
          <w:b/>
          <w:lang w:val="es-ES"/>
        </w:rPr>
        <w:t>13.6</w:t>
      </w:r>
      <w:r w:rsidRPr="00FF6678">
        <w:rPr>
          <w:bCs/>
          <w:lang w:val="es-ES"/>
        </w:rPr>
        <w:t xml:space="preserve"> del RR</w:t>
      </w:r>
      <w:r w:rsidR="007050BD" w:rsidRPr="00FF6678">
        <w:rPr>
          <w:lang w:val="es-ES"/>
        </w:rPr>
        <w:t xml:space="preserve">, </w:t>
      </w:r>
      <w:r w:rsidR="006C6B45" w:rsidRPr="00FF6678">
        <w:rPr>
          <w:lang w:val="es-ES"/>
        </w:rPr>
        <w:t xml:space="preserve">sobre los fundamentos para esa investigación y sobre la manera en que la RRB debería </w:t>
      </w:r>
      <w:r w:rsidR="00F76986" w:rsidRPr="00FF6678">
        <w:rPr>
          <w:lang w:val="es-ES"/>
        </w:rPr>
        <w:t>examinar estos casos</w:t>
      </w:r>
      <w:r w:rsidR="007050BD" w:rsidRPr="00FF6678">
        <w:rPr>
          <w:lang w:val="es-ES"/>
        </w:rPr>
        <w:t>.</w:t>
      </w:r>
    </w:p>
    <w:p w14:paraId="2E9BB124" w14:textId="320AEEDE" w:rsidR="007050BD" w:rsidRPr="00FF6678" w:rsidRDefault="00566928" w:rsidP="00E744C4">
      <w:pPr>
        <w:rPr>
          <w:lang w:val="es-ES"/>
        </w:rPr>
      </w:pPr>
      <w:r w:rsidRPr="00FF6678">
        <w:rPr>
          <w:lang w:val="es-ES"/>
        </w:rPr>
        <w:t xml:space="preserve">Al considerar las directrices para la aplicación del número </w:t>
      </w:r>
      <w:r w:rsidR="007050BD" w:rsidRPr="00FF6678">
        <w:rPr>
          <w:b/>
          <w:lang w:val="es-ES"/>
        </w:rPr>
        <w:t>13.6</w:t>
      </w:r>
      <w:r w:rsidRPr="00FF6678">
        <w:rPr>
          <w:bCs/>
          <w:lang w:val="es-ES"/>
        </w:rPr>
        <w:t xml:space="preserve"> del RR</w:t>
      </w:r>
      <w:r w:rsidR="007050BD" w:rsidRPr="00FF6678">
        <w:rPr>
          <w:lang w:val="es-ES"/>
        </w:rPr>
        <w:t xml:space="preserve">, </w:t>
      </w:r>
      <w:r w:rsidRPr="00FF6678">
        <w:rPr>
          <w:lang w:val="es-ES"/>
        </w:rPr>
        <w:t xml:space="preserve">algunas de las cuestiones que </w:t>
      </w:r>
      <w:r w:rsidR="00F76986" w:rsidRPr="00FF6678">
        <w:rPr>
          <w:lang w:val="es-ES"/>
        </w:rPr>
        <w:t>podría</w:t>
      </w:r>
      <w:r w:rsidRPr="00FF6678">
        <w:rPr>
          <w:lang w:val="es-ES"/>
        </w:rPr>
        <w:t xml:space="preserve"> </w:t>
      </w:r>
      <w:r w:rsidR="00E8006B" w:rsidRPr="00FF6678">
        <w:rPr>
          <w:lang w:val="es-ES"/>
        </w:rPr>
        <w:t xml:space="preserve">examinar </w:t>
      </w:r>
      <w:r w:rsidRPr="00FF6678">
        <w:rPr>
          <w:lang w:val="es-ES"/>
        </w:rPr>
        <w:t>la CMR-19 son</w:t>
      </w:r>
      <w:r w:rsidR="007050BD" w:rsidRPr="00FF6678">
        <w:rPr>
          <w:lang w:val="es-ES"/>
        </w:rPr>
        <w:t>:</w:t>
      </w:r>
    </w:p>
    <w:p w14:paraId="25E76B40" w14:textId="2F9180CE" w:rsidR="007050BD" w:rsidRPr="00FF6678" w:rsidRDefault="007050BD" w:rsidP="00E744C4">
      <w:pPr>
        <w:pStyle w:val="enumlev1"/>
        <w:rPr>
          <w:lang w:val="es-ES"/>
        </w:rPr>
      </w:pPr>
      <w:r w:rsidRPr="00FF6678">
        <w:rPr>
          <w:lang w:val="es-ES"/>
        </w:rPr>
        <w:t>•</w:t>
      </w:r>
      <w:r w:rsidRPr="00FF6678">
        <w:rPr>
          <w:lang w:val="es-ES"/>
        </w:rPr>
        <w:tab/>
      </w:r>
      <w:r w:rsidR="00566928" w:rsidRPr="00FF6678">
        <w:rPr>
          <w:lang w:val="es-ES"/>
        </w:rPr>
        <w:t xml:space="preserve">Tras recibir las comunicaciones de una </w:t>
      </w:r>
      <w:r w:rsidR="008D2DCF" w:rsidRPr="00FF6678">
        <w:rPr>
          <w:lang w:val="es-ES"/>
        </w:rPr>
        <w:t xml:space="preserve">Administración </w:t>
      </w:r>
      <w:r w:rsidR="00566928" w:rsidRPr="00FF6678">
        <w:rPr>
          <w:lang w:val="es-ES"/>
        </w:rPr>
        <w:t xml:space="preserve">para una red en una banda de frecuencias, </w:t>
      </w:r>
      <w:r w:rsidR="00214E07" w:rsidRPr="00FF6678">
        <w:rPr>
          <w:lang w:val="es-ES"/>
        </w:rPr>
        <w:t>¿debería la Oficina iniciar la investigación de otras redes de satélites ya inscritas, incluidas otras bandas de frecuencias de esa Administración en la misma posición orbital</w:t>
      </w:r>
      <w:r w:rsidRPr="00FF6678">
        <w:rPr>
          <w:lang w:val="es-ES"/>
        </w:rPr>
        <w:t>?</w:t>
      </w:r>
    </w:p>
    <w:p w14:paraId="3A0A406E" w14:textId="4E07C3F0" w:rsidR="007050BD" w:rsidRPr="00FF6678" w:rsidRDefault="007050BD" w:rsidP="00E744C4">
      <w:pPr>
        <w:pStyle w:val="enumlev1"/>
        <w:rPr>
          <w:lang w:val="es-ES"/>
        </w:rPr>
      </w:pPr>
      <w:r w:rsidRPr="00FF6678">
        <w:rPr>
          <w:lang w:val="es-ES"/>
        </w:rPr>
        <w:t>•</w:t>
      </w:r>
      <w:r w:rsidRPr="00FF6678">
        <w:rPr>
          <w:lang w:val="es-ES"/>
        </w:rPr>
        <w:tab/>
      </w:r>
      <w:r w:rsidR="00E8006B" w:rsidRPr="00FF6678">
        <w:rPr>
          <w:lang w:val="es-ES"/>
        </w:rPr>
        <w:t>Si</w:t>
      </w:r>
      <w:r w:rsidR="00214E07" w:rsidRPr="00FF6678">
        <w:rPr>
          <w:lang w:val="es-ES"/>
        </w:rPr>
        <w:t xml:space="preserve"> el examen </w:t>
      </w:r>
      <w:r w:rsidR="00E8006B" w:rsidRPr="00FF6678">
        <w:rPr>
          <w:lang w:val="es-ES"/>
        </w:rPr>
        <w:t xml:space="preserve">es </w:t>
      </w:r>
      <w:r w:rsidR="00214E07" w:rsidRPr="00FF6678">
        <w:rPr>
          <w:lang w:val="es-ES"/>
        </w:rPr>
        <w:t>retrospectivo, ¿</w:t>
      </w:r>
      <w:r w:rsidR="00E8006B" w:rsidRPr="00FF6678">
        <w:rPr>
          <w:lang w:val="es-ES"/>
        </w:rPr>
        <w:t xml:space="preserve">es adecuado </w:t>
      </w:r>
      <w:r w:rsidR="00214E07" w:rsidRPr="00FF6678">
        <w:rPr>
          <w:lang w:val="es-ES"/>
        </w:rPr>
        <w:t>el per</w:t>
      </w:r>
      <w:r w:rsidR="00147906">
        <w:rPr>
          <w:lang w:val="es-ES"/>
        </w:rPr>
        <w:t>i</w:t>
      </w:r>
      <w:r w:rsidR="00214E07" w:rsidRPr="00FF6678">
        <w:rPr>
          <w:lang w:val="es-ES"/>
        </w:rPr>
        <w:t xml:space="preserve">odo de investigación de los tres años </w:t>
      </w:r>
      <w:r w:rsidR="00652C74" w:rsidRPr="00FF6678">
        <w:rPr>
          <w:lang w:val="es-ES"/>
        </w:rPr>
        <w:t>previos</w:t>
      </w:r>
      <w:r w:rsidR="00E8006B" w:rsidRPr="00FF6678">
        <w:rPr>
          <w:lang w:val="es-ES"/>
        </w:rPr>
        <w:t xml:space="preserve"> que utiliza la Oficina</w:t>
      </w:r>
      <w:r w:rsidRPr="00FF6678">
        <w:rPr>
          <w:lang w:val="es-ES"/>
        </w:rPr>
        <w:t>?</w:t>
      </w:r>
    </w:p>
    <w:p w14:paraId="36568F0F" w14:textId="5E6F05F0" w:rsidR="007050BD" w:rsidRPr="00FF6678" w:rsidRDefault="007050BD" w:rsidP="00E744C4">
      <w:pPr>
        <w:pStyle w:val="enumlev1"/>
        <w:rPr>
          <w:lang w:val="es-ES"/>
        </w:rPr>
      </w:pPr>
      <w:r w:rsidRPr="00FF6678">
        <w:rPr>
          <w:lang w:val="es-ES"/>
        </w:rPr>
        <w:t>•</w:t>
      </w:r>
      <w:r w:rsidRPr="00FF6678">
        <w:rPr>
          <w:lang w:val="es-ES"/>
        </w:rPr>
        <w:tab/>
      </w:r>
      <w:r w:rsidR="001C7274" w:rsidRPr="00FF6678">
        <w:rPr>
          <w:lang w:val="es-ES"/>
        </w:rPr>
        <w:t>¿La Junta debería examinar la situación en el momento en que se considera el caso, la situación en el momento en que se inicia el número</w:t>
      </w:r>
      <w:r w:rsidRPr="00FF6678">
        <w:rPr>
          <w:lang w:val="es-ES"/>
        </w:rPr>
        <w:t xml:space="preserve"> </w:t>
      </w:r>
      <w:r w:rsidRPr="00FF6678">
        <w:rPr>
          <w:b/>
          <w:lang w:val="es-ES"/>
        </w:rPr>
        <w:t>13.6</w:t>
      </w:r>
      <w:r w:rsidRPr="00FF6678">
        <w:rPr>
          <w:lang w:val="es-ES"/>
        </w:rPr>
        <w:t xml:space="preserve"> </w:t>
      </w:r>
      <w:r w:rsidR="001C7274" w:rsidRPr="00FF6678">
        <w:rPr>
          <w:lang w:val="es-ES"/>
        </w:rPr>
        <w:t>del RR o la situación anterior</w:t>
      </w:r>
      <w:r w:rsidRPr="00FF6678">
        <w:rPr>
          <w:lang w:val="es-ES"/>
        </w:rPr>
        <w:t>?</w:t>
      </w:r>
    </w:p>
    <w:p w14:paraId="31BAF6C9" w14:textId="388B32F2" w:rsidR="007050BD" w:rsidRPr="00FF6678" w:rsidRDefault="007050BD" w:rsidP="00E744C4">
      <w:pPr>
        <w:pStyle w:val="enumlev1"/>
        <w:rPr>
          <w:lang w:val="es-ES"/>
        </w:rPr>
      </w:pPr>
      <w:r w:rsidRPr="00FF6678">
        <w:rPr>
          <w:lang w:val="es-ES"/>
        </w:rPr>
        <w:lastRenderedPageBreak/>
        <w:t>•</w:t>
      </w:r>
      <w:r w:rsidRPr="00FF6678">
        <w:rPr>
          <w:lang w:val="es-ES"/>
        </w:rPr>
        <w:tab/>
      </w:r>
      <w:r w:rsidR="00652C74" w:rsidRPr="00FF6678">
        <w:rPr>
          <w:lang w:val="es-ES"/>
        </w:rPr>
        <w:t xml:space="preserve">Si </w:t>
      </w:r>
      <w:r w:rsidR="001C7274" w:rsidRPr="00FF6678">
        <w:rPr>
          <w:lang w:val="es-ES"/>
        </w:rPr>
        <w:t xml:space="preserve">el examen </w:t>
      </w:r>
      <w:r w:rsidR="00652C74" w:rsidRPr="00FF6678">
        <w:rPr>
          <w:lang w:val="es-ES"/>
        </w:rPr>
        <w:t xml:space="preserve">es </w:t>
      </w:r>
      <w:r w:rsidR="001C7274" w:rsidRPr="00FF6678">
        <w:rPr>
          <w:lang w:val="es-ES"/>
        </w:rPr>
        <w:t>retrospectivo, ¿es adecuado el per</w:t>
      </w:r>
      <w:r w:rsidR="00147906">
        <w:rPr>
          <w:lang w:val="es-ES"/>
        </w:rPr>
        <w:t>i</w:t>
      </w:r>
      <w:r w:rsidR="001C7274" w:rsidRPr="00FF6678">
        <w:rPr>
          <w:lang w:val="es-ES"/>
        </w:rPr>
        <w:t>odo de los 21 meses previos?</w:t>
      </w:r>
    </w:p>
    <w:p w14:paraId="6C9A49AB" w14:textId="70E80ACD" w:rsidR="007050BD" w:rsidRPr="00FF6678" w:rsidRDefault="007050BD" w:rsidP="00E744C4">
      <w:pPr>
        <w:pStyle w:val="enumlev1"/>
        <w:rPr>
          <w:lang w:val="es-ES"/>
        </w:rPr>
      </w:pPr>
      <w:r w:rsidRPr="00FF6678">
        <w:rPr>
          <w:lang w:val="es-ES"/>
        </w:rPr>
        <w:t>•</w:t>
      </w:r>
      <w:r w:rsidRPr="00FF6678">
        <w:rPr>
          <w:lang w:val="es-ES"/>
        </w:rPr>
        <w:tab/>
      </w:r>
      <w:r w:rsidR="001C7274" w:rsidRPr="00FF6678">
        <w:rPr>
          <w:lang w:val="es-ES"/>
        </w:rPr>
        <w:t xml:space="preserve">¿Cómo </w:t>
      </w:r>
      <w:r w:rsidR="00BB1F0B" w:rsidRPr="00FF6678">
        <w:rPr>
          <w:lang w:val="es-ES"/>
        </w:rPr>
        <w:t xml:space="preserve">se puede </w:t>
      </w:r>
      <w:r w:rsidR="001C7274" w:rsidRPr="00FF6678">
        <w:rPr>
          <w:lang w:val="es-ES"/>
        </w:rPr>
        <w:t>garantizar que el Registro Internacional de Frecuencias refleja los satélites reales en funcionamiento</w:t>
      </w:r>
      <w:r w:rsidRPr="00FF6678">
        <w:rPr>
          <w:lang w:val="es-ES"/>
        </w:rPr>
        <w:t>?</w:t>
      </w:r>
    </w:p>
    <w:p w14:paraId="76091E5A" w14:textId="4068941C" w:rsidR="007050BD" w:rsidRPr="00FF6678" w:rsidRDefault="007050BD" w:rsidP="00E744C4">
      <w:pPr>
        <w:pStyle w:val="enumlev1"/>
        <w:rPr>
          <w:lang w:val="es-ES"/>
        </w:rPr>
      </w:pPr>
      <w:r w:rsidRPr="00FF6678">
        <w:rPr>
          <w:lang w:val="es-ES"/>
        </w:rPr>
        <w:t>•</w:t>
      </w:r>
      <w:r w:rsidRPr="00FF6678">
        <w:rPr>
          <w:lang w:val="es-ES"/>
        </w:rPr>
        <w:tab/>
      </w:r>
      <w:r w:rsidR="001C7274" w:rsidRPr="00FF6678">
        <w:rPr>
          <w:lang w:val="es-ES"/>
        </w:rPr>
        <w:t xml:space="preserve">¿La Oficina y/o la RRB debería utilizar los nuevos principios para la aplicación del número </w:t>
      </w:r>
      <w:r w:rsidRPr="00FF6678">
        <w:rPr>
          <w:b/>
          <w:lang w:val="es-ES"/>
        </w:rPr>
        <w:t>13.6</w:t>
      </w:r>
      <w:r w:rsidRPr="00FF6678">
        <w:rPr>
          <w:lang w:val="es-ES"/>
        </w:rPr>
        <w:t xml:space="preserve"> </w:t>
      </w:r>
      <w:r w:rsidR="001C7274" w:rsidRPr="00FF6678">
        <w:rPr>
          <w:lang w:val="es-ES"/>
        </w:rPr>
        <w:t xml:space="preserve">del RR en los casos planteados antes de </w:t>
      </w:r>
      <w:r w:rsidR="006257AE" w:rsidRPr="00FF6678">
        <w:rPr>
          <w:lang w:val="es-ES"/>
        </w:rPr>
        <w:t xml:space="preserve">que se publicaran y </w:t>
      </w:r>
      <w:r w:rsidR="00C73AE1" w:rsidRPr="00FF6678">
        <w:rPr>
          <w:lang w:val="es-ES"/>
        </w:rPr>
        <w:t>dieran a conocer</w:t>
      </w:r>
      <w:r w:rsidR="006257AE" w:rsidRPr="00FF6678">
        <w:rPr>
          <w:lang w:val="es-ES"/>
        </w:rPr>
        <w:t xml:space="preserve"> a las </w:t>
      </w:r>
      <w:r w:rsidR="008D2DCF" w:rsidRPr="00FF6678">
        <w:rPr>
          <w:lang w:val="es-ES"/>
        </w:rPr>
        <w:t xml:space="preserve">Administraciones </w:t>
      </w:r>
      <w:r w:rsidR="006257AE" w:rsidRPr="00FF6678">
        <w:rPr>
          <w:lang w:val="es-ES"/>
        </w:rPr>
        <w:t>esos principios</w:t>
      </w:r>
      <w:r w:rsidR="00C73AE1" w:rsidRPr="00FF6678">
        <w:rPr>
          <w:lang w:val="es-ES"/>
        </w:rPr>
        <w:t>?</w:t>
      </w:r>
    </w:p>
    <w:p w14:paraId="56DE5F00" w14:textId="7BAD0D0F" w:rsidR="007050BD" w:rsidRPr="00FF6678" w:rsidRDefault="007050BD" w:rsidP="00E744C4">
      <w:pPr>
        <w:pStyle w:val="Heading1"/>
        <w:rPr>
          <w:lang w:val="es-ES"/>
        </w:rPr>
      </w:pPr>
      <w:r w:rsidRPr="00FF6678">
        <w:rPr>
          <w:lang w:val="es-ES"/>
        </w:rPr>
        <w:t>3</w:t>
      </w:r>
      <w:r w:rsidRPr="00FF6678">
        <w:rPr>
          <w:lang w:val="es-ES"/>
        </w:rPr>
        <w:tab/>
      </w:r>
      <w:r w:rsidR="00BC147E" w:rsidRPr="00FF6678">
        <w:rPr>
          <w:lang w:val="es-ES"/>
        </w:rPr>
        <w:t xml:space="preserve">La transparencia y la previsibilidad </w:t>
      </w:r>
      <w:r w:rsidR="006E1229" w:rsidRPr="00FF6678">
        <w:rPr>
          <w:lang w:val="es-ES"/>
        </w:rPr>
        <w:t>en</w:t>
      </w:r>
      <w:r w:rsidR="00BC147E" w:rsidRPr="00FF6678">
        <w:rPr>
          <w:lang w:val="es-ES"/>
        </w:rPr>
        <w:t xml:space="preserve"> la toma de decisiones </w:t>
      </w:r>
      <w:r w:rsidR="006E1229" w:rsidRPr="00FF6678">
        <w:rPr>
          <w:lang w:val="es-ES"/>
        </w:rPr>
        <w:t>de</w:t>
      </w:r>
      <w:r w:rsidR="00BC147E" w:rsidRPr="00FF6678">
        <w:rPr>
          <w:lang w:val="es-ES"/>
        </w:rPr>
        <w:t xml:space="preserve"> la UIT son importantes para que las </w:t>
      </w:r>
      <w:r w:rsidR="008D2DCF" w:rsidRPr="00FF6678">
        <w:rPr>
          <w:lang w:val="es-ES"/>
        </w:rPr>
        <w:t xml:space="preserve">Administraciones </w:t>
      </w:r>
      <w:r w:rsidR="00BC147E" w:rsidRPr="00FF6678">
        <w:rPr>
          <w:lang w:val="es-ES"/>
        </w:rPr>
        <w:t>comprendan y planifiquen el mantenimiento de sus recursos de órbita y espectro</w:t>
      </w:r>
    </w:p>
    <w:p w14:paraId="2BEF6A07" w14:textId="4752F9CD" w:rsidR="007050BD" w:rsidRPr="00FF6678" w:rsidRDefault="006E1229" w:rsidP="00E744C4">
      <w:pPr>
        <w:rPr>
          <w:lang w:val="es-ES"/>
        </w:rPr>
      </w:pPr>
      <w:r w:rsidRPr="00FF6678">
        <w:rPr>
          <w:lang w:val="es-ES"/>
        </w:rPr>
        <w:t xml:space="preserve">Para que las </w:t>
      </w:r>
      <w:r w:rsidR="008D2DCF" w:rsidRPr="00FF6678">
        <w:rPr>
          <w:lang w:val="es-ES"/>
        </w:rPr>
        <w:t xml:space="preserve">Administraciones </w:t>
      </w:r>
      <w:r w:rsidRPr="00FF6678">
        <w:rPr>
          <w:lang w:val="es-ES"/>
        </w:rPr>
        <w:t xml:space="preserve">puedan comprender y planificar el mantenimiento y el desarrollo de sus recursos de órbita y espectro, es fundamental </w:t>
      </w:r>
      <w:r w:rsidR="00897383" w:rsidRPr="00FF6678">
        <w:rPr>
          <w:lang w:val="es-ES"/>
        </w:rPr>
        <w:t xml:space="preserve">que </w:t>
      </w:r>
      <w:r w:rsidRPr="00FF6678">
        <w:rPr>
          <w:lang w:val="es-ES"/>
        </w:rPr>
        <w:t>los principios</w:t>
      </w:r>
      <w:r w:rsidR="00D67935" w:rsidRPr="00FF6678">
        <w:rPr>
          <w:lang w:val="es-ES"/>
        </w:rPr>
        <w:t xml:space="preserve"> </w:t>
      </w:r>
      <w:r w:rsidRPr="00FF6678">
        <w:rPr>
          <w:lang w:val="es-ES"/>
        </w:rPr>
        <w:t xml:space="preserve">para </w:t>
      </w:r>
      <w:r w:rsidR="00897383" w:rsidRPr="00FF6678">
        <w:rPr>
          <w:lang w:val="es-ES"/>
        </w:rPr>
        <w:t xml:space="preserve">la tramitación </w:t>
      </w:r>
      <w:r w:rsidR="00D67935" w:rsidRPr="00FF6678">
        <w:rPr>
          <w:lang w:val="es-ES"/>
        </w:rPr>
        <w:t xml:space="preserve">en la UIT </w:t>
      </w:r>
      <w:r w:rsidRPr="00FF6678">
        <w:rPr>
          <w:lang w:val="es-ES"/>
        </w:rPr>
        <w:t>de las comunicaciones</w:t>
      </w:r>
      <w:r w:rsidR="007050BD" w:rsidRPr="00FF6678">
        <w:rPr>
          <w:lang w:val="es-ES"/>
        </w:rPr>
        <w:t>:</w:t>
      </w:r>
    </w:p>
    <w:p w14:paraId="1AC35F05" w14:textId="4507AA76" w:rsidR="007050BD" w:rsidRPr="00FF6678" w:rsidRDefault="007050BD" w:rsidP="00E744C4">
      <w:pPr>
        <w:pStyle w:val="enumlev1"/>
        <w:rPr>
          <w:lang w:val="es-ES"/>
        </w:rPr>
      </w:pPr>
      <w:r w:rsidRPr="00FF6678">
        <w:rPr>
          <w:lang w:val="es-ES"/>
        </w:rPr>
        <w:t>•</w:t>
      </w:r>
      <w:r w:rsidRPr="00FF6678">
        <w:rPr>
          <w:lang w:val="es-ES"/>
        </w:rPr>
        <w:tab/>
      </w:r>
      <w:r w:rsidR="00897383" w:rsidRPr="00FF6678">
        <w:rPr>
          <w:lang w:val="es-ES"/>
        </w:rPr>
        <w:t xml:space="preserve">se den a conocer a las Administraciones </w:t>
      </w:r>
      <w:r w:rsidR="00897383" w:rsidRPr="00FF6678">
        <w:rPr>
          <w:u w:val="single"/>
          <w:lang w:val="es-ES"/>
        </w:rPr>
        <w:t>con antelación</w:t>
      </w:r>
      <w:r w:rsidR="00897383" w:rsidRPr="00FF6678">
        <w:rPr>
          <w:lang w:val="es-ES"/>
        </w:rPr>
        <w:t xml:space="preserve"> y de </w:t>
      </w:r>
      <w:r w:rsidR="00897383" w:rsidRPr="00FF6678">
        <w:rPr>
          <w:b/>
          <w:bCs/>
          <w:lang w:val="es-ES"/>
        </w:rPr>
        <w:t>manera transparente</w:t>
      </w:r>
      <w:r w:rsidR="00897383" w:rsidRPr="00FF6678">
        <w:rPr>
          <w:lang w:val="es-ES"/>
        </w:rPr>
        <w:t xml:space="preserve"> (por ejemplo, a través del Reglamento de Radiocomunica</w:t>
      </w:r>
      <w:r w:rsidR="00990C3B" w:rsidRPr="00FF6678">
        <w:rPr>
          <w:lang w:val="es-ES"/>
        </w:rPr>
        <w:t>c</w:t>
      </w:r>
      <w:r w:rsidR="00897383" w:rsidRPr="00FF6678">
        <w:rPr>
          <w:lang w:val="es-ES"/>
        </w:rPr>
        <w:t>iones, las actas de las CMR, las Reglas de Procedimiento o las Cartas Circulares de la UIT</w:t>
      </w:r>
      <w:r w:rsidRPr="00FF6678">
        <w:rPr>
          <w:lang w:val="es-ES"/>
        </w:rPr>
        <w:t>);</w:t>
      </w:r>
    </w:p>
    <w:p w14:paraId="5420F970" w14:textId="7F3594C9" w:rsidR="007050BD" w:rsidRPr="00FF6678" w:rsidRDefault="007050BD" w:rsidP="00E744C4">
      <w:pPr>
        <w:pStyle w:val="enumlev1"/>
        <w:rPr>
          <w:lang w:val="es-ES"/>
        </w:rPr>
      </w:pPr>
      <w:r w:rsidRPr="00FF6678">
        <w:rPr>
          <w:b/>
          <w:lang w:val="es-ES"/>
        </w:rPr>
        <w:t>•</w:t>
      </w:r>
      <w:r w:rsidRPr="00FF6678">
        <w:rPr>
          <w:b/>
          <w:lang w:val="es-ES"/>
        </w:rPr>
        <w:tab/>
      </w:r>
      <w:r w:rsidR="00897383" w:rsidRPr="00FF6678">
        <w:rPr>
          <w:b/>
          <w:lang w:val="es-ES"/>
        </w:rPr>
        <w:t xml:space="preserve">se apliquen de forma coherente </w:t>
      </w:r>
      <w:r w:rsidR="00E07B75" w:rsidRPr="00FF6678">
        <w:rPr>
          <w:lang w:val="es-ES"/>
        </w:rPr>
        <w:t xml:space="preserve">en todos </w:t>
      </w:r>
      <w:r w:rsidR="00897383" w:rsidRPr="00FF6678">
        <w:rPr>
          <w:lang w:val="es-ES"/>
        </w:rPr>
        <w:t xml:space="preserve">los casos que </w:t>
      </w:r>
      <w:r w:rsidR="00E07B75" w:rsidRPr="00FF6678">
        <w:rPr>
          <w:lang w:val="es-ES"/>
        </w:rPr>
        <w:t>pertenecen</w:t>
      </w:r>
      <w:r w:rsidR="00897383" w:rsidRPr="00FF6678">
        <w:rPr>
          <w:lang w:val="es-ES"/>
        </w:rPr>
        <w:t xml:space="preserve"> la misma categoría hasta que los principios nuevos se publiquen y se den a conocer a las Administraciones</w:t>
      </w:r>
      <w:r w:rsidRPr="00FF6678">
        <w:rPr>
          <w:lang w:val="es-ES"/>
        </w:rPr>
        <w:t>.</w:t>
      </w:r>
    </w:p>
    <w:p w14:paraId="100E277D" w14:textId="2792D8DE" w:rsidR="007050BD" w:rsidRPr="00FF6678" w:rsidRDefault="00990C3B" w:rsidP="00E744C4">
      <w:pPr>
        <w:rPr>
          <w:lang w:val="es-ES"/>
        </w:rPr>
      </w:pPr>
      <w:r w:rsidRPr="00FF6678">
        <w:rPr>
          <w:lang w:val="es-ES"/>
        </w:rPr>
        <w:t>La utilización de los recursos de órbita y espectro y el acceso a ellos son fundamentales para las Administraciones; además, la adquisición de satélites constituye una gran inversión</w:t>
      </w:r>
      <w:r w:rsidR="007050BD" w:rsidRPr="00FF6678">
        <w:rPr>
          <w:lang w:val="es-ES"/>
        </w:rPr>
        <w:t xml:space="preserve">. </w:t>
      </w:r>
      <w:r w:rsidRPr="00FF6678">
        <w:rPr>
          <w:lang w:val="es-ES"/>
        </w:rPr>
        <w:t>Las Administraciones y sus operadores de satélites asociados elaboran proyectos y toman decisiones sobre acciones relacionadas con el mantenimiento y desarrollo de los recursos de órbita y espectro, de acuerdo con l</w:t>
      </w:r>
      <w:r w:rsidR="004C540B" w:rsidRPr="00FF6678">
        <w:rPr>
          <w:lang w:val="es-ES"/>
        </w:rPr>
        <w:t xml:space="preserve">os procedimientos </w:t>
      </w:r>
      <w:r w:rsidRPr="00FF6678">
        <w:rPr>
          <w:lang w:val="es-ES"/>
        </w:rPr>
        <w:t xml:space="preserve">y los principios anunciados en ese momento. La aplicación de </w:t>
      </w:r>
      <w:r w:rsidR="004C540B" w:rsidRPr="00FF6678">
        <w:rPr>
          <w:lang w:val="es-ES"/>
        </w:rPr>
        <w:t xml:space="preserve">procedimientos </w:t>
      </w:r>
      <w:r w:rsidRPr="00FF6678">
        <w:rPr>
          <w:lang w:val="es-ES"/>
        </w:rPr>
        <w:t>o principios nuevos de la UIT que no se han anunciado o dado a conocer a las Administraciones crearía incertidumbre y pondría a las Administraciones en una situación difícil</w:t>
      </w:r>
      <w:r w:rsidR="007050BD" w:rsidRPr="00FF6678">
        <w:rPr>
          <w:lang w:val="es-ES"/>
        </w:rPr>
        <w:t>.</w:t>
      </w:r>
    </w:p>
    <w:p w14:paraId="0A0DAC2C" w14:textId="132B817D" w:rsidR="007050BD" w:rsidRPr="00FF6678" w:rsidRDefault="000708AF" w:rsidP="00E744C4">
      <w:pPr>
        <w:rPr>
          <w:lang w:val="es-ES"/>
        </w:rPr>
      </w:pPr>
      <w:r w:rsidRPr="00FF6678">
        <w:rPr>
          <w:lang w:val="es-ES"/>
        </w:rPr>
        <w:t>Por consiguiente, se debería anunciar y dar a conocer a las Administraciones cualquier modificación de l</w:t>
      </w:r>
      <w:r w:rsidR="004C540B" w:rsidRPr="00FF6678">
        <w:rPr>
          <w:lang w:val="es-ES"/>
        </w:rPr>
        <w:t xml:space="preserve">os procedimientos </w:t>
      </w:r>
      <w:r w:rsidRPr="00FF6678">
        <w:rPr>
          <w:lang w:val="es-ES"/>
        </w:rPr>
        <w:t>o principios de la UIT antes de su aplicación para que las Administraciones puedan tenerlos en cuenta al planificar y tomar decisiones sobre sus proyectos de satélite y sobre el mantenimiento de sus recursos de espectro</w:t>
      </w:r>
      <w:r w:rsidR="007050BD" w:rsidRPr="00FF6678">
        <w:rPr>
          <w:lang w:val="es-ES"/>
        </w:rPr>
        <w:t>.</w:t>
      </w:r>
    </w:p>
    <w:p w14:paraId="4992CB95" w14:textId="78CE9E48" w:rsidR="007050BD" w:rsidRPr="00FF6678" w:rsidRDefault="00357685" w:rsidP="00E744C4">
      <w:pPr>
        <w:rPr>
          <w:lang w:val="es-ES"/>
        </w:rPr>
      </w:pPr>
      <w:r w:rsidRPr="00FF6678">
        <w:rPr>
          <w:lang w:val="es-ES"/>
        </w:rPr>
        <w:t xml:space="preserve">La cancelación de las asignaciones en cuestión no es conforme con los principios y </w:t>
      </w:r>
      <w:r w:rsidR="004C540B" w:rsidRPr="00FF6678">
        <w:rPr>
          <w:lang w:val="es-ES"/>
        </w:rPr>
        <w:t xml:space="preserve">procedimientos </w:t>
      </w:r>
      <w:r w:rsidRPr="00FF6678">
        <w:rPr>
          <w:lang w:val="es-ES"/>
        </w:rPr>
        <w:t>anunciados y se aleja de las decisiones sobre casos previos que pertenecen a la misma categoría</w:t>
      </w:r>
      <w:r w:rsidR="007050BD" w:rsidRPr="00FF6678">
        <w:rPr>
          <w:lang w:val="es-ES"/>
        </w:rPr>
        <w:t>:</w:t>
      </w:r>
    </w:p>
    <w:p w14:paraId="1F98E46E" w14:textId="66B1B611" w:rsidR="007050BD" w:rsidRPr="00FF6678" w:rsidRDefault="007050BD" w:rsidP="00E744C4">
      <w:pPr>
        <w:pStyle w:val="enumlev1"/>
        <w:rPr>
          <w:lang w:val="es-ES"/>
        </w:rPr>
      </w:pPr>
      <w:r w:rsidRPr="00FF6678">
        <w:rPr>
          <w:lang w:val="es-ES"/>
        </w:rPr>
        <w:t>•</w:t>
      </w:r>
      <w:r w:rsidRPr="00FF6678">
        <w:rPr>
          <w:lang w:val="es-ES"/>
        </w:rPr>
        <w:tab/>
      </w:r>
      <w:r w:rsidR="00324454" w:rsidRPr="00FF6678">
        <w:rPr>
          <w:lang w:val="es-ES"/>
        </w:rPr>
        <w:t xml:space="preserve">Ha pasado menos de un año desde que se </w:t>
      </w:r>
      <w:r w:rsidR="00C7701F" w:rsidRPr="00FF6678">
        <w:rPr>
          <w:lang w:val="es-ES"/>
        </w:rPr>
        <w:t>distribuyó</w:t>
      </w:r>
      <w:r w:rsidR="00324454" w:rsidRPr="00FF6678">
        <w:rPr>
          <w:lang w:val="es-ES"/>
        </w:rPr>
        <w:t xml:space="preserve"> a las Administraciones la última carta circular sobre la aplicación del número</w:t>
      </w:r>
      <w:r w:rsidRPr="00FF6678">
        <w:rPr>
          <w:lang w:val="es-ES"/>
        </w:rPr>
        <w:t xml:space="preserve"> </w:t>
      </w:r>
      <w:r w:rsidRPr="00FF6678">
        <w:rPr>
          <w:b/>
          <w:lang w:val="es-ES"/>
        </w:rPr>
        <w:t>13.6</w:t>
      </w:r>
      <w:r w:rsidR="00324454" w:rsidRPr="00FF6678">
        <w:rPr>
          <w:lang w:val="es-ES"/>
        </w:rPr>
        <w:t xml:space="preserve"> del RR,</w:t>
      </w:r>
      <w:r w:rsidRPr="00FF6678">
        <w:rPr>
          <w:lang w:val="es-ES"/>
        </w:rPr>
        <w:t xml:space="preserve"> CR/436, </w:t>
      </w:r>
      <w:r w:rsidR="00324454" w:rsidRPr="00FF6678">
        <w:rPr>
          <w:lang w:val="es-ES"/>
        </w:rPr>
        <w:t xml:space="preserve">que presenta y repite los principios arraigados en relación con la aplicación del número </w:t>
      </w:r>
      <w:r w:rsidRPr="00FF6678">
        <w:rPr>
          <w:b/>
          <w:lang w:val="es-ES"/>
        </w:rPr>
        <w:t>13.6</w:t>
      </w:r>
      <w:r w:rsidR="00324454" w:rsidRPr="00FF6678">
        <w:rPr>
          <w:b/>
          <w:lang w:val="es-ES"/>
        </w:rPr>
        <w:t xml:space="preserve"> </w:t>
      </w:r>
      <w:r w:rsidR="00324454" w:rsidRPr="00FF6678">
        <w:rPr>
          <w:bCs/>
          <w:lang w:val="es-ES"/>
        </w:rPr>
        <w:t>del RR</w:t>
      </w:r>
      <w:r w:rsidRPr="00FF6678">
        <w:rPr>
          <w:lang w:val="es-ES"/>
        </w:rPr>
        <w:t>.</w:t>
      </w:r>
    </w:p>
    <w:p w14:paraId="47800682" w14:textId="5D94C627" w:rsidR="007050BD" w:rsidRPr="00FF6678" w:rsidRDefault="007050BD" w:rsidP="00E744C4">
      <w:pPr>
        <w:pStyle w:val="enumlev1"/>
        <w:rPr>
          <w:lang w:val="es-ES"/>
        </w:rPr>
      </w:pPr>
      <w:r w:rsidRPr="00FF6678">
        <w:rPr>
          <w:lang w:val="es-ES"/>
        </w:rPr>
        <w:t>•</w:t>
      </w:r>
      <w:r w:rsidRPr="00FF6678">
        <w:rPr>
          <w:lang w:val="es-ES"/>
        </w:rPr>
        <w:tab/>
      </w:r>
      <w:r w:rsidR="00324454" w:rsidRPr="00FF6678">
        <w:rPr>
          <w:lang w:val="es-ES"/>
        </w:rPr>
        <w:t>En el Informe de la RRB a la CMR-</w:t>
      </w:r>
      <w:r w:rsidRPr="00FF6678">
        <w:rPr>
          <w:lang w:val="es-ES"/>
        </w:rPr>
        <w:t>15</w:t>
      </w:r>
      <w:r w:rsidR="00324454" w:rsidRPr="00FF6678">
        <w:rPr>
          <w:lang w:val="es-ES"/>
        </w:rPr>
        <w:t xml:space="preserve"> (a julio de 2019, la última CMR), que fue aprobado posteriormente por la CMR-15, se describen también los mismos principios</w:t>
      </w:r>
      <w:r w:rsidRPr="00FF6678">
        <w:rPr>
          <w:lang w:val="es-ES"/>
        </w:rPr>
        <w:t>.</w:t>
      </w:r>
    </w:p>
    <w:p w14:paraId="15868C0F" w14:textId="48119A71" w:rsidR="007050BD" w:rsidRPr="00FF6678" w:rsidRDefault="007050BD" w:rsidP="00E744C4">
      <w:pPr>
        <w:pStyle w:val="enumlev1"/>
        <w:rPr>
          <w:lang w:val="es-ES"/>
        </w:rPr>
      </w:pPr>
      <w:r w:rsidRPr="00FF6678">
        <w:rPr>
          <w:lang w:val="es-ES"/>
        </w:rPr>
        <w:t>•</w:t>
      </w:r>
      <w:r w:rsidRPr="00FF6678">
        <w:rPr>
          <w:lang w:val="es-ES"/>
        </w:rPr>
        <w:tab/>
      </w:r>
      <w:r w:rsidR="00324454" w:rsidRPr="00FF6678">
        <w:rPr>
          <w:lang w:val="es-ES"/>
        </w:rPr>
        <w:t>Desde la CMR</w:t>
      </w:r>
      <w:r w:rsidRPr="00FF6678">
        <w:rPr>
          <w:lang w:val="es-ES"/>
        </w:rPr>
        <w:t xml:space="preserve">-15, </w:t>
      </w:r>
      <w:r w:rsidR="00324454" w:rsidRPr="00FF6678">
        <w:rPr>
          <w:lang w:val="es-ES"/>
        </w:rPr>
        <w:t xml:space="preserve">no se han realizado cambios en el </w:t>
      </w:r>
      <w:r w:rsidRPr="00FF6678">
        <w:rPr>
          <w:lang w:val="es-ES"/>
        </w:rPr>
        <w:t xml:space="preserve">RR, </w:t>
      </w:r>
      <w:r w:rsidR="00324454" w:rsidRPr="00FF6678">
        <w:rPr>
          <w:lang w:val="es-ES"/>
        </w:rPr>
        <w:t xml:space="preserve">las Reglas de Procedimientos u otras normas </w:t>
      </w:r>
      <w:r w:rsidR="00C7701F" w:rsidRPr="00FF6678">
        <w:rPr>
          <w:lang w:val="es-ES"/>
        </w:rPr>
        <w:t>en relación con</w:t>
      </w:r>
      <w:r w:rsidR="00324454" w:rsidRPr="00FF6678">
        <w:rPr>
          <w:lang w:val="es-ES"/>
        </w:rPr>
        <w:t xml:space="preserve"> la aplicación del número </w:t>
      </w:r>
      <w:r w:rsidRPr="00FF6678">
        <w:rPr>
          <w:b/>
          <w:lang w:val="es-ES"/>
        </w:rPr>
        <w:t>13.6</w:t>
      </w:r>
      <w:r w:rsidR="00324454" w:rsidRPr="00FF6678">
        <w:rPr>
          <w:b/>
          <w:lang w:val="es-ES"/>
        </w:rPr>
        <w:t xml:space="preserve"> </w:t>
      </w:r>
      <w:r w:rsidR="00324454" w:rsidRPr="00FF6678">
        <w:rPr>
          <w:bCs/>
          <w:lang w:val="es-ES"/>
        </w:rPr>
        <w:t>de la RR</w:t>
      </w:r>
      <w:r w:rsidRPr="00FF6678">
        <w:rPr>
          <w:lang w:val="es-ES"/>
        </w:rPr>
        <w:t>.</w:t>
      </w:r>
    </w:p>
    <w:p w14:paraId="65B7E554" w14:textId="2FD68008" w:rsidR="007050BD" w:rsidRPr="00FF6678" w:rsidRDefault="007050BD" w:rsidP="00E744C4">
      <w:pPr>
        <w:pStyle w:val="enumlev1"/>
        <w:rPr>
          <w:lang w:val="es-ES"/>
        </w:rPr>
      </w:pPr>
      <w:r w:rsidRPr="00FF6678">
        <w:rPr>
          <w:lang w:val="es-ES"/>
        </w:rPr>
        <w:t>•</w:t>
      </w:r>
      <w:r w:rsidRPr="00FF6678">
        <w:rPr>
          <w:lang w:val="es-ES"/>
        </w:rPr>
        <w:tab/>
      </w:r>
      <w:r w:rsidR="00C21B3C" w:rsidRPr="00FF6678">
        <w:rPr>
          <w:lang w:val="es-ES"/>
        </w:rPr>
        <w:t xml:space="preserve">En línea con las decisiones de los casos que pertenecen a la misma categoría de los últimos años, las asignaciones a </w:t>
      </w:r>
      <w:r w:rsidRPr="00FF6678">
        <w:rPr>
          <w:lang w:val="es-ES"/>
        </w:rPr>
        <w:t xml:space="preserve">ASIASAT-AK, ASIASAT-AK1 </w:t>
      </w:r>
      <w:r w:rsidR="00C21B3C" w:rsidRPr="00FF6678">
        <w:rPr>
          <w:lang w:val="es-ES"/>
        </w:rPr>
        <w:t xml:space="preserve">y </w:t>
      </w:r>
      <w:r w:rsidRPr="00FF6678">
        <w:rPr>
          <w:lang w:val="es-ES"/>
        </w:rPr>
        <w:t xml:space="preserve">ASIASAT-AKX </w:t>
      </w:r>
      <w:r w:rsidR="00C21B3C" w:rsidRPr="00FF6678">
        <w:rPr>
          <w:lang w:val="es-ES"/>
        </w:rPr>
        <w:t>en cuestión deberían mantenerse en el Registro Internacional de Frecuencias</w:t>
      </w:r>
      <w:r w:rsidRPr="00FF6678">
        <w:rPr>
          <w:lang w:val="es-ES"/>
        </w:rPr>
        <w:t>.</w:t>
      </w:r>
    </w:p>
    <w:p w14:paraId="5AE5A51A" w14:textId="174726F0" w:rsidR="007050BD" w:rsidRPr="00FF6678" w:rsidRDefault="0064056D" w:rsidP="00E744C4">
      <w:pPr>
        <w:rPr>
          <w:lang w:val="es-ES"/>
        </w:rPr>
      </w:pPr>
      <w:r w:rsidRPr="00FF6678">
        <w:rPr>
          <w:lang w:val="es-ES"/>
        </w:rPr>
        <w:t>La aplicación de principios diferentes de los anunciados y utilizados en casos anteriores pondría a esta Administración en una situación difícil y le impediría tomar las decision</w:t>
      </w:r>
      <w:r w:rsidR="000B20A2" w:rsidRPr="00FF6678">
        <w:rPr>
          <w:lang w:val="es-ES"/>
        </w:rPr>
        <w:t>e</w:t>
      </w:r>
      <w:r w:rsidRPr="00FF6678">
        <w:rPr>
          <w:lang w:val="es-ES"/>
        </w:rPr>
        <w:t>s correctas en cuanto al mantenimiento de sus recursos de órbita y espectro</w:t>
      </w:r>
      <w:r w:rsidR="007050BD" w:rsidRPr="00FF6678">
        <w:rPr>
          <w:lang w:val="es-ES"/>
        </w:rPr>
        <w:t>.</w:t>
      </w:r>
    </w:p>
    <w:p w14:paraId="36FBAB44" w14:textId="1B2EC390" w:rsidR="007050BD" w:rsidRPr="00FF6678" w:rsidRDefault="007050BD" w:rsidP="00E744C4">
      <w:pPr>
        <w:pStyle w:val="Heading1"/>
        <w:rPr>
          <w:lang w:val="es-ES"/>
        </w:rPr>
      </w:pPr>
      <w:r w:rsidRPr="00FF6678">
        <w:rPr>
          <w:lang w:val="es-ES"/>
        </w:rPr>
        <w:lastRenderedPageBreak/>
        <w:t>4</w:t>
      </w:r>
      <w:r w:rsidRPr="00FF6678">
        <w:rPr>
          <w:lang w:val="es-ES"/>
        </w:rPr>
        <w:tab/>
      </w:r>
      <w:r w:rsidR="00B8245C" w:rsidRPr="00FF6678">
        <w:rPr>
          <w:lang w:val="es-ES"/>
        </w:rPr>
        <w:t xml:space="preserve">La cancelación de las asignaciones en cuestión se alejaría de los principios arraigados relativos a la aplicación del número </w:t>
      </w:r>
      <w:r w:rsidRPr="00FF6678">
        <w:rPr>
          <w:lang w:val="es-ES"/>
        </w:rPr>
        <w:t>13.6</w:t>
      </w:r>
      <w:r w:rsidR="00B8245C" w:rsidRPr="00FF6678">
        <w:rPr>
          <w:lang w:val="es-ES"/>
        </w:rPr>
        <w:t xml:space="preserve"> del RR</w:t>
      </w:r>
    </w:p>
    <w:p w14:paraId="6FE61ADB" w14:textId="41C7B621" w:rsidR="007050BD" w:rsidRPr="00FF6678" w:rsidRDefault="001F6F8A" w:rsidP="00E744C4">
      <w:pPr>
        <w:spacing w:after="120"/>
        <w:rPr>
          <w:lang w:val="es-ES"/>
        </w:rPr>
      </w:pPr>
      <w:r w:rsidRPr="00FF6678">
        <w:rPr>
          <w:lang w:val="es-ES"/>
        </w:rPr>
        <w:t>Hasta la 81ª reuni</w:t>
      </w:r>
      <w:r w:rsidR="007002CD" w:rsidRPr="00FF6678">
        <w:rPr>
          <w:lang w:val="es-ES"/>
        </w:rPr>
        <w:t>ó</w:t>
      </w:r>
      <w:r w:rsidRPr="00FF6678">
        <w:rPr>
          <w:lang w:val="es-ES"/>
        </w:rPr>
        <w:t xml:space="preserve">n de la RRB, cuando se recibían casos con arreglo al número </w:t>
      </w:r>
      <w:r w:rsidR="007050BD" w:rsidRPr="00FF6678">
        <w:rPr>
          <w:b/>
          <w:lang w:val="es-ES"/>
        </w:rPr>
        <w:t>13.6</w:t>
      </w:r>
      <w:r w:rsidRPr="00FF6678">
        <w:rPr>
          <w:b/>
          <w:lang w:val="es-ES"/>
        </w:rPr>
        <w:t xml:space="preserve"> </w:t>
      </w:r>
      <w:r w:rsidRPr="00FF6678">
        <w:rPr>
          <w:bCs/>
          <w:lang w:val="es-ES"/>
        </w:rPr>
        <w:t>del RR</w:t>
      </w:r>
      <w:r w:rsidRPr="00FF6678">
        <w:rPr>
          <w:lang w:val="es-ES"/>
        </w:rPr>
        <w:t xml:space="preserve"> se aplicaban de forma coherente los mismos principios a todos los casos, a saber, considerar la situación en el momento de la aplicación del número </w:t>
      </w:r>
      <w:r w:rsidR="007050BD" w:rsidRPr="00FF6678">
        <w:rPr>
          <w:b/>
          <w:lang w:val="es-ES"/>
        </w:rPr>
        <w:t>13.6</w:t>
      </w:r>
      <w:r w:rsidR="007050BD" w:rsidRPr="00FF6678">
        <w:rPr>
          <w:lang w:val="es-ES"/>
        </w:rPr>
        <w:t xml:space="preserve"> </w:t>
      </w:r>
      <w:r w:rsidRPr="00FF6678">
        <w:rPr>
          <w:lang w:val="es-ES"/>
        </w:rPr>
        <w:t xml:space="preserve">del RR y evitar examinar la situación </w:t>
      </w:r>
      <w:r w:rsidR="003A4AFF" w:rsidRPr="00FF6678">
        <w:rPr>
          <w:lang w:val="es-ES"/>
        </w:rPr>
        <w:t xml:space="preserve">que existía </w:t>
      </w:r>
      <w:r w:rsidRPr="00FF6678">
        <w:rPr>
          <w:lang w:val="es-ES"/>
        </w:rPr>
        <w:t xml:space="preserve">en el pasado. En los extractos siguientes se presentan ejemplos de declaraciones que confirman estos principios, procedentes de las actas de la </w:t>
      </w:r>
      <w:r w:rsidR="007050BD" w:rsidRPr="00FF6678">
        <w:rPr>
          <w:lang w:val="es-ES"/>
        </w:rPr>
        <w:t>78</w:t>
      </w:r>
      <w:r w:rsidRPr="00FF6678">
        <w:rPr>
          <w:lang w:val="es-ES"/>
        </w:rPr>
        <w:t xml:space="preserve">ª reunión de la </w:t>
      </w:r>
      <w:r w:rsidR="007050BD" w:rsidRPr="00FF6678">
        <w:rPr>
          <w:lang w:val="es-ES"/>
        </w:rPr>
        <w:t xml:space="preserve">RRB </w:t>
      </w:r>
      <w:r w:rsidRPr="00FF6678">
        <w:rPr>
          <w:lang w:val="es-ES"/>
        </w:rPr>
        <w:t>en julio de 20</w:t>
      </w:r>
      <w:r w:rsidR="00843F80">
        <w:rPr>
          <w:lang w:val="es-ES"/>
        </w:rPr>
        <w:t>1</w:t>
      </w:r>
      <w:r w:rsidRPr="00FF6678">
        <w:rPr>
          <w:lang w:val="es-ES"/>
        </w:rPr>
        <w:t xml:space="preserve">8 y del Informe de la </w:t>
      </w:r>
      <w:r w:rsidR="007050BD" w:rsidRPr="00FF6678">
        <w:rPr>
          <w:lang w:val="es-ES"/>
        </w:rPr>
        <w:t>RRB</w:t>
      </w:r>
      <w:r w:rsidRPr="00FF6678">
        <w:rPr>
          <w:lang w:val="es-ES"/>
        </w:rPr>
        <w:t xml:space="preserve"> a la CMR</w:t>
      </w:r>
      <w:r w:rsidR="007050BD" w:rsidRPr="00FF6678">
        <w:rPr>
          <w:lang w:val="es-ES"/>
        </w:rPr>
        <w:t xml:space="preserve">-15 </w:t>
      </w:r>
      <w:r w:rsidRPr="00FF6678">
        <w:rPr>
          <w:lang w:val="es-ES"/>
        </w:rPr>
        <w:t xml:space="preserve">sobre la Resolución </w:t>
      </w:r>
      <w:r w:rsidR="007050BD" w:rsidRPr="00FF6678">
        <w:rPr>
          <w:b/>
          <w:lang w:val="es-ES"/>
        </w:rPr>
        <w:t>80 (Rev.</w:t>
      </w:r>
      <w:r w:rsidRPr="00FF6678">
        <w:rPr>
          <w:b/>
          <w:lang w:val="es-ES"/>
        </w:rPr>
        <w:t>CMR</w:t>
      </w:r>
      <w:r w:rsidR="007050BD" w:rsidRPr="00FF6678">
        <w:rPr>
          <w:b/>
          <w:lang w:val="es-ES"/>
        </w:rPr>
        <w:t>-07)</w:t>
      </w:r>
      <w:r w:rsidR="007050BD" w:rsidRPr="00FF6678">
        <w:rPr>
          <w:lang w:val="es-ES"/>
        </w:rPr>
        <w:t xml:space="preserve">. </w:t>
      </w:r>
      <w:r w:rsidRPr="00FF6678">
        <w:rPr>
          <w:lang w:val="es-ES"/>
        </w:rPr>
        <w:t xml:space="preserve">Al adoptar el Informe de la </w:t>
      </w:r>
      <w:r w:rsidR="007050BD" w:rsidRPr="00FF6678">
        <w:rPr>
          <w:lang w:val="es-ES"/>
        </w:rPr>
        <w:t>RRB</w:t>
      </w:r>
      <w:r w:rsidRPr="00FF6678">
        <w:rPr>
          <w:lang w:val="es-ES"/>
        </w:rPr>
        <w:t xml:space="preserve">, la CMR-15 también confirmó estos principios. En las secciones siguientes se analiza </w:t>
      </w:r>
      <w:r w:rsidR="0093623F" w:rsidRPr="00FF6678">
        <w:rPr>
          <w:lang w:val="es-ES"/>
        </w:rPr>
        <w:t>asimismo</w:t>
      </w:r>
      <w:r w:rsidRPr="00FF6678">
        <w:rPr>
          <w:lang w:val="es-ES"/>
        </w:rPr>
        <w:t xml:space="preserve"> su </w:t>
      </w:r>
      <w:r w:rsidR="0093623F" w:rsidRPr="00FF6678">
        <w:rPr>
          <w:lang w:val="es-ES"/>
        </w:rPr>
        <w:t>pertinencia</w:t>
      </w:r>
      <w:r w:rsidRPr="00FF6678">
        <w:rPr>
          <w:lang w:val="es-ES"/>
        </w:rPr>
        <w:t xml:space="preserve"> para el caso de </w:t>
      </w:r>
      <w:r w:rsidR="007050BD" w:rsidRPr="00FF6678">
        <w:rPr>
          <w:lang w:val="es-ES"/>
        </w:rPr>
        <w:t>ASIASAT-AK, ASIASAT-AK1</w:t>
      </w:r>
      <w:r w:rsidRPr="00FF6678">
        <w:rPr>
          <w:lang w:val="es-ES"/>
        </w:rPr>
        <w:t xml:space="preserve"> y</w:t>
      </w:r>
      <w:r w:rsidR="007050BD" w:rsidRPr="00FF6678">
        <w:rPr>
          <w:lang w:val="es-ES"/>
        </w:rPr>
        <w:t xml:space="preserve"> ASIASAT-AKX.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7646"/>
      </w:tblGrid>
      <w:tr w:rsidR="007050BD" w:rsidRPr="00FF6678" w14:paraId="2AFC97EA" w14:textId="77777777" w:rsidTr="007050BD">
        <w:tc>
          <w:tcPr>
            <w:tcW w:w="1428" w:type="dxa"/>
            <w:shd w:val="clear" w:color="auto" w:fill="auto"/>
          </w:tcPr>
          <w:p w14:paraId="0766280C" w14:textId="2AACE214" w:rsidR="007050BD" w:rsidRPr="00FF6678" w:rsidRDefault="001F6F8A" w:rsidP="00E744C4">
            <w:pPr>
              <w:pStyle w:val="Tablehead"/>
              <w:rPr>
                <w:lang w:val="es-ES"/>
              </w:rPr>
            </w:pPr>
            <w:r w:rsidRPr="00FF6678">
              <w:rPr>
                <w:lang w:val="es-ES"/>
              </w:rPr>
              <w:t>Fuente</w:t>
            </w:r>
            <w:r w:rsidR="007050BD" w:rsidRPr="00FF6678">
              <w:rPr>
                <w:lang w:val="es-ES"/>
              </w:rPr>
              <w:t xml:space="preserve"> </w:t>
            </w:r>
          </w:p>
        </w:tc>
        <w:tc>
          <w:tcPr>
            <w:tcW w:w="8201" w:type="dxa"/>
            <w:shd w:val="clear" w:color="auto" w:fill="auto"/>
          </w:tcPr>
          <w:p w14:paraId="751B14DF" w14:textId="1CB8AF4D" w:rsidR="007050BD" w:rsidRPr="00FF6678" w:rsidRDefault="007050BD" w:rsidP="00E744C4">
            <w:pPr>
              <w:pStyle w:val="Tablehead"/>
              <w:rPr>
                <w:lang w:val="es-ES"/>
              </w:rPr>
            </w:pPr>
            <w:r w:rsidRPr="00FF6678">
              <w:rPr>
                <w:lang w:val="es-ES"/>
              </w:rPr>
              <w:t>Ex</w:t>
            </w:r>
            <w:r w:rsidR="0034385E" w:rsidRPr="00FF6678">
              <w:rPr>
                <w:lang w:val="es-ES"/>
              </w:rPr>
              <w:t>tracto</w:t>
            </w:r>
            <w:r w:rsidRPr="00FF6678">
              <w:rPr>
                <w:lang w:val="es-ES"/>
              </w:rPr>
              <w:t xml:space="preserve"> </w:t>
            </w:r>
          </w:p>
        </w:tc>
      </w:tr>
      <w:tr w:rsidR="007050BD" w:rsidRPr="00FF6678" w14:paraId="542026E4" w14:textId="77777777" w:rsidTr="007050BD">
        <w:tc>
          <w:tcPr>
            <w:tcW w:w="1428" w:type="dxa"/>
            <w:shd w:val="clear" w:color="auto" w:fill="auto"/>
          </w:tcPr>
          <w:p w14:paraId="7914160F" w14:textId="7893FB8E" w:rsidR="007050BD" w:rsidRPr="00FF6678" w:rsidRDefault="001F6F8A" w:rsidP="00E744C4">
            <w:pPr>
              <w:pStyle w:val="Tabletext"/>
              <w:rPr>
                <w:lang w:val="es-ES"/>
              </w:rPr>
            </w:pPr>
            <w:r w:rsidRPr="00FF6678">
              <w:rPr>
                <w:lang w:val="es-ES"/>
              </w:rPr>
              <w:t xml:space="preserve">Carta </w:t>
            </w:r>
            <w:r w:rsidR="007050BD" w:rsidRPr="00FF6678">
              <w:rPr>
                <w:lang w:val="es-ES"/>
              </w:rPr>
              <w:t xml:space="preserve">Circular CR/436 </w:t>
            </w:r>
            <w:r w:rsidRPr="00FF6678">
              <w:rPr>
                <w:lang w:val="es-ES"/>
              </w:rPr>
              <w:t xml:space="preserve">de </w:t>
            </w:r>
            <w:r w:rsidR="007050BD" w:rsidRPr="00FF6678">
              <w:rPr>
                <w:lang w:val="es-ES"/>
              </w:rPr>
              <w:t xml:space="preserve">26 </w:t>
            </w:r>
            <w:r w:rsidRPr="00FF6678">
              <w:rPr>
                <w:lang w:val="es-ES"/>
              </w:rPr>
              <w:t xml:space="preserve">de septiembre de </w:t>
            </w:r>
            <w:r w:rsidR="007050BD" w:rsidRPr="00FF6678">
              <w:rPr>
                <w:lang w:val="es-ES"/>
              </w:rPr>
              <w:t xml:space="preserve">2018, </w:t>
            </w:r>
            <w:r w:rsidRPr="00FF6678">
              <w:rPr>
                <w:lang w:val="es-ES"/>
              </w:rPr>
              <w:t xml:space="preserve">Actas de la </w:t>
            </w:r>
            <w:r w:rsidR="007050BD" w:rsidRPr="00FF6678">
              <w:rPr>
                <w:lang w:val="es-ES"/>
              </w:rPr>
              <w:t>78</w:t>
            </w:r>
            <w:r w:rsidRPr="00FF6678">
              <w:rPr>
                <w:lang w:val="es-ES"/>
              </w:rPr>
              <w:t>ª reunión de la Junta de Radiocomunicaciones</w:t>
            </w:r>
          </w:p>
        </w:tc>
        <w:tc>
          <w:tcPr>
            <w:tcW w:w="8201" w:type="dxa"/>
            <w:shd w:val="clear" w:color="auto" w:fill="auto"/>
          </w:tcPr>
          <w:p w14:paraId="1977A58C" w14:textId="5A8CDDCF" w:rsidR="007050BD" w:rsidRPr="00FF6678" w:rsidRDefault="007050BD" w:rsidP="00E744C4">
            <w:pPr>
              <w:pStyle w:val="Tabletext"/>
              <w:rPr>
                <w:lang w:val="es-ES"/>
              </w:rPr>
            </w:pPr>
            <w:r w:rsidRPr="00FF6678">
              <w:rPr>
                <w:sz w:val="22"/>
                <w:lang w:val="es-ES"/>
              </w:rPr>
              <w:t>«</w:t>
            </w:r>
            <w:r w:rsidRPr="00FF6678">
              <w:rPr>
                <w:lang w:val="es-ES"/>
              </w:rPr>
              <w:t>5.4</w:t>
            </w:r>
            <w:r w:rsidRPr="00FF6678">
              <w:rPr>
                <w:lang w:val="es-ES"/>
              </w:rPr>
              <w:tab/>
              <w:t xml:space="preserve">El </w:t>
            </w:r>
            <w:r w:rsidRPr="00FF6678">
              <w:rPr>
                <w:b/>
                <w:bCs/>
                <w:lang w:val="es-ES"/>
              </w:rPr>
              <w:t>Sr. Strelets</w:t>
            </w:r>
            <w:r w:rsidRPr="00FF6678">
              <w:rPr>
                <w:lang w:val="es-ES"/>
              </w:rPr>
              <w:t xml:space="preserve"> recuerda sus comentarios generales anteriores sobre la aplicación del número 13.6. En el caso que se está examinando, parece que en el momento de aplicar el número 13.6 un satélite ha estado utilizando todas las asignaciones asignadas a la red; por ese motivo no existen fundamentos para realizar un estudio en virtud del número 13.6. Esa aplicación ha sido retroactiva y ha causado a la administración del caso grandes dificultades para aportar pruebas de la utilización del satélite hace unos tres años. Por consiguiente, se debe rechazar la solicitud de la Oficina de eliminar las asignaciones. En general, cuando la Oficina recibe solicitudes de administraciones en las que se pide investigar redes en virtud del número 13.6, no debe proceder a ello si todo parece estar en orden cuando se recibe la solicitud. Las asignaciones que deberían investigarse en el marco de esta disposición son las que nunca han estado en servicio, las que ya no están en servicio o las que se siguen utilizando pero no guardan conformidad con las características requeridas notificadas como que se especifican en el Apéndice 4. Investigar si las asignaciones han estado en servicio en un momento previo constituye una aplicación retroactiva del Reglamento de Radiocomunicaciones y es inadmisible. Se debe velar por que la Oficina se oriente por estas consideraciones fundamentales al abordar la aplicación del número 13.6, especialmente porque la Oficina y las administraciones ya están sobrecargadas de trabajo.</w:t>
            </w:r>
          </w:p>
          <w:p w14:paraId="0018D7EC" w14:textId="6F72D7A9" w:rsidR="007050BD" w:rsidRPr="00FF6678" w:rsidRDefault="007050BD" w:rsidP="00E744C4">
            <w:pPr>
              <w:pStyle w:val="Tabletext"/>
              <w:rPr>
                <w:sz w:val="22"/>
                <w:lang w:val="es-ES"/>
              </w:rPr>
            </w:pPr>
            <w:r w:rsidRPr="00FF6678">
              <w:rPr>
                <w:lang w:val="es-ES"/>
              </w:rPr>
              <w:t>5.5</w:t>
            </w:r>
            <w:r w:rsidRPr="00FF6678">
              <w:rPr>
                <w:lang w:val="es-ES"/>
              </w:rPr>
              <w:tab/>
              <w:t xml:space="preserve">El </w:t>
            </w:r>
            <w:r w:rsidRPr="00FF6678">
              <w:rPr>
                <w:b/>
                <w:bCs/>
                <w:lang w:val="es-ES"/>
              </w:rPr>
              <w:t xml:space="preserve">Presidente </w:t>
            </w:r>
            <w:r w:rsidRPr="00FF6678">
              <w:rPr>
                <w:lang w:val="es-ES"/>
              </w:rPr>
              <w:t>declara que los comentarios generales del Sr. Strelets se tendrán en cuenta cuando la Junta examine la aplicación del número 13.6 en términos generales.»</w:t>
            </w:r>
          </w:p>
        </w:tc>
      </w:tr>
    </w:tbl>
    <w:p w14:paraId="1A82DF24" w14:textId="26AB552B" w:rsidR="007050BD" w:rsidRPr="00FF6678" w:rsidRDefault="00223563" w:rsidP="00E744C4">
      <w:pPr>
        <w:rPr>
          <w:lang w:val="es-ES"/>
        </w:rPr>
      </w:pPr>
      <w:r w:rsidRPr="00FF6678">
        <w:rPr>
          <w:lang w:val="es-ES"/>
        </w:rPr>
        <w:t xml:space="preserve">La Carta </w:t>
      </w:r>
      <w:r w:rsidR="007050BD" w:rsidRPr="00FF6678">
        <w:rPr>
          <w:lang w:val="es-ES"/>
        </w:rPr>
        <w:t xml:space="preserve">Circular CR/436 (26 </w:t>
      </w:r>
      <w:r w:rsidRPr="00FF6678">
        <w:rPr>
          <w:lang w:val="es-ES"/>
        </w:rPr>
        <w:t xml:space="preserve">de septiembre de </w:t>
      </w:r>
      <w:r w:rsidR="007050BD" w:rsidRPr="00FF6678">
        <w:rPr>
          <w:lang w:val="es-ES"/>
        </w:rPr>
        <w:t xml:space="preserve">2018, </w:t>
      </w:r>
      <w:r w:rsidRPr="00FF6678">
        <w:rPr>
          <w:lang w:val="es-ES"/>
        </w:rPr>
        <w:t>distribuida a finales del año pasado</w:t>
      </w:r>
      <w:r w:rsidR="007050BD" w:rsidRPr="00FF6678">
        <w:rPr>
          <w:lang w:val="es-ES"/>
        </w:rPr>
        <w:t xml:space="preserve">) </w:t>
      </w:r>
      <w:r w:rsidRPr="00FF6678">
        <w:rPr>
          <w:lang w:val="es-ES"/>
        </w:rPr>
        <w:t xml:space="preserve">confirma los dos principios arraigados siguientes relativos a la aplicación del número </w:t>
      </w:r>
      <w:r w:rsidR="007050BD" w:rsidRPr="00FF6678">
        <w:rPr>
          <w:b/>
          <w:lang w:val="es-ES"/>
        </w:rPr>
        <w:t>13.6</w:t>
      </w:r>
      <w:r w:rsidRPr="00FF6678">
        <w:rPr>
          <w:b/>
          <w:lang w:val="es-ES"/>
        </w:rPr>
        <w:t xml:space="preserve"> </w:t>
      </w:r>
      <w:r w:rsidRPr="00FF6678">
        <w:rPr>
          <w:bCs/>
          <w:lang w:val="es-ES"/>
        </w:rPr>
        <w:t>del RR</w:t>
      </w:r>
      <w:r w:rsidR="007050BD" w:rsidRPr="00FF6678">
        <w:rPr>
          <w:lang w:val="es-ES"/>
        </w:rPr>
        <w:t>:</w:t>
      </w:r>
    </w:p>
    <w:p w14:paraId="29B71509" w14:textId="1C887C1F" w:rsidR="007050BD" w:rsidRPr="00FF6678" w:rsidRDefault="007050BD" w:rsidP="00E744C4">
      <w:pPr>
        <w:rPr>
          <w:highlight w:val="yellow"/>
          <w:lang w:val="es-ES"/>
        </w:rPr>
      </w:pPr>
      <w:r w:rsidRPr="00FF6678">
        <w:rPr>
          <w:b/>
          <w:bCs/>
          <w:i/>
          <w:lang w:val="es-ES"/>
        </w:rPr>
        <w:t>Princip</w:t>
      </w:r>
      <w:r w:rsidR="00183B3C" w:rsidRPr="00FF6678">
        <w:rPr>
          <w:b/>
          <w:bCs/>
          <w:i/>
          <w:lang w:val="es-ES"/>
        </w:rPr>
        <w:t>io</w:t>
      </w:r>
      <w:r w:rsidRPr="00FF6678">
        <w:rPr>
          <w:b/>
          <w:bCs/>
          <w:i/>
          <w:lang w:val="es-ES"/>
        </w:rPr>
        <w:t xml:space="preserve"> 1:</w:t>
      </w:r>
      <w:r w:rsidRPr="00FF6678">
        <w:rPr>
          <w:b/>
          <w:bCs/>
          <w:lang w:val="es-ES"/>
        </w:rPr>
        <w:t xml:space="preserve"> </w:t>
      </w:r>
      <w:r w:rsidR="00183B3C" w:rsidRPr="00FF6678">
        <w:rPr>
          <w:b/>
          <w:bCs/>
          <w:lang w:val="es-ES"/>
        </w:rPr>
        <w:t>En el momento de aplicar el número 13.6 del RR, si un satélite ha estado utilizando todas las asignaciones asignadas a la red, no existen fundamentos para realizar una investigación en virtud del número 13.6. Esa aplicación es retroactiva</w:t>
      </w:r>
      <w:r w:rsidRPr="00FF6678">
        <w:rPr>
          <w:b/>
          <w:bCs/>
          <w:lang w:val="es-ES"/>
        </w:rPr>
        <w:t xml:space="preserve">. </w:t>
      </w:r>
      <w:r w:rsidR="00183B3C" w:rsidRPr="00FF6678">
        <w:rPr>
          <w:b/>
          <w:bCs/>
          <w:lang w:val="es-ES"/>
        </w:rPr>
        <w:t>S</w:t>
      </w:r>
      <w:r w:rsidRPr="00FF6678">
        <w:rPr>
          <w:b/>
          <w:bCs/>
          <w:lang w:val="es-ES"/>
        </w:rPr>
        <w:t>e debe rechazar la solicitud de la Oficina de eliminar las asignaciones.</w:t>
      </w:r>
    </w:p>
    <w:p w14:paraId="6FAED382" w14:textId="0A34237D" w:rsidR="007050BD" w:rsidRPr="00FF6678" w:rsidRDefault="007050BD" w:rsidP="00E744C4">
      <w:pPr>
        <w:pStyle w:val="enumlev1"/>
        <w:rPr>
          <w:lang w:val="es-ES"/>
        </w:rPr>
      </w:pPr>
      <w:r w:rsidRPr="00FF6678">
        <w:rPr>
          <w:lang w:val="es-ES"/>
        </w:rPr>
        <w:t>–</w:t>
      </w:r>
      <w:r w:rsidRPr="00FF6678">
        <w:rPr>
          <w:lang w:val="es-ES"/>
        </w:rPr>
        <w:tab/>
      </w:r>
      <w:r w:rsidR="00183B3C" w:rsidRPr="00FF6678">
        <w:rPr>
          <w:lang w:val="es-ES"/>
        </w:rPr>
        <w:t xml:space="preserve">En el momento de aplicar el número </w:t>
      </w:r>
      <w:r w:rsidRPr="00FF6678">
        <w:rPr>
          <w:b/>
          <w:lang w:val="es-ES"/>
        </w:rPr>
        <w:t>13.6</w:t>
      </w:r>
      <w:r w:rsidRPr="00FF6678">
        <w:rPr>
          <w:lang w:val="es-ES"/>
        </w:rPr>
        <w:t xml:space="preserve"> </w:t>
      </w:r>
      <w:r w:rsidR="00183B3C" w:rsidRPr="00FF6678">
        <w:rPr>
          <w:lang w:val="es-ES"/>
        </w:rPr>
        <w:t xml:space="preserve">del RR </w:t>
      </w:r>
      <w:r w:rsidRPr="00FF6678">
        <w:rPr>
          <w:lang w:val="es-ES"/>
        </w:rPr>
        <w:t>(</w:t>
      </w:r>
      <w:r w:rsidR="00183B3C" w:rsidRPr="00FF6678">
        <w:rPr>
          <w:lang w:val="es-ES"/>
        </w:rPr>
        <w:t xml:space="preserve">noviembre de </w:t>
      </w:r>
      <w:r w:rsidRPr="00FF6678">
        <w:rPr>
          <w:lang w:val="es-ES"/>
        </w:rPr>
        <w:t xml:space="preserve">2017), AsiaSat 9 </w:t>
      </w:r>
      <w:r w:rsidR="00183B3C" w:rsidRPr="00FF6678">
        <w:rPr>
          <w:lang w:val="es-ES"/>
        </w:rPr>
        <w:t>ya estaba utilizando todas las asignaciones a la</w:t>
      </w:r>
      <w:r w:rsidR="00963B29" w:rsidRPr="00FF6678">
        <w:rPr>
          <w:lang w:val="es-ES"/>
        </w:rPr>
        <w:t>s</w:t>
      </w:r>
      <w:r w:rsidR="00183B3C" w:rsidRPr="00FF6678">
        <w:rPr>
          <w:lang w:val="es-ES"/>
        </w:rPr>
        <w:t xml:space="preserve"> red</w:t>
      </w:r>
      <w:r w:rsidR="00963B29" w:rsidRPr="00FF6678">
        <w:rPr>
          <w:lang w:val="es-ES"/>
        </w:rPr>
        <w:t>es</w:t>
      </w:r>
      <w:r w:rsidR="00183B3C" w:rsidRPr="00FF6678">
        <w:rPr>
          <w:lang w:val="es-ES"/>
        </w:rPr>
        <w:t xml:space="preserve"> </w:t>
      </w:r>
      <w:r w:rsidR="00963B29" w:rsidRPr="00FF6678">
        <w:rPr>
          <w:lang w:val="es-ES"/>
        </w:rPr>
        <w:t xml:space="preserve">que habían sido notificadas </w:t>
      </w:r>
      <w:r w:rsidR="00183B3C" w:rsidRPr="00FF6678">
        <w:rPr>
          <w:lang w:val="es-ES"/>
        </w:rPr>
        <w:t xml:space="preserve">(y continúa utilizándoles </w:t>
      </w:r>
      <w:r w:rsidR="00FF6678" w:rsidRPr="00FF6678">
        <w:rPr>
          <w:lang w:val="es-ES"/>
        </w:rPr>
        <w:t>hoy en día</w:t>
      </w:r>
      <w:r w:rsidRPr="00FF6678">
        <w:rPr>
          <w:lang w:val="es-ES"/>
        </w:rPr>
        <w:t>).</w:t>
      </w:r>
    </w:p>
    <w:p w14:paraId="20F508E1" w14:textId="6C3EC2D9" w:rsidR="007050BD" w:rsidRPr="00FF6678" w:rsidRDefault="007050BD" w:rsidP="00E744C4">
      <w:pPr>
        <w:rPr>
          <w:b/>
          <w:bCs/>
          <w:highlight w:val="cyan"/>
          <w:lang w:val="es-ES"/>
        </w:rPr>
      </w:pPr>
      <w:r w:rsidRPr="00FF6678">
        <w:rPr>
          <w:b/>
          <w:bCs/>
          <w:i/>
          <w:lang w:val="es-ES"/>
        </w:rPr>
        <w:t>Princip</w:t>
      </w:r>
      <w:r w:rsidR="00183B3C" w:rsidRPr="00FF6678">
        <w:rPr>
          <w:b/>
          <w:bCs/>
          <w:i/>
          <w:lang w:val="es-ES"/>
        </w:rPr>
        <w:t>io</w:t>
      </w:r>
      <w:r w:rsidRPr="00FF6678">
        <w:rPr>
          <w:b/>
          <w:bCs/>
          <w:i/>
          <w:lang w:val="es-ES"/>
        </w:rPr>
        <w:t xml:space="preserve"> 2:</w:t>
      </w:r>
      <w:r w:rsidRPr="00FF6678">
        <w:rPr>
          <w:b/>
          <w:bCs/>
          <w:lang w:val="es-ES"/>
        </w:rPr>
        <w:t xml:space="preserve"> </w:t>
      </w:r>
      <w:r w:rsidR="00FC2CD1" w:rsidRPr="00FF6678">
        <w:rPr>
          <w:b/>
          <w:bCs/>
          <w:lang w:val="es-ES"/>
        </w:rPr>
        <w:t>Las asignaciones deberían investigarse en el marco de</w:t>
      </w:r>
      <w:r w:rsidR="001071AA" w:rsidRPr="00FF6678">
        <w:rPr>
          <w:b/>
          <w:bCs/>
          <w:lang w:val="es-ES"/>
        </w:rPr>
        <w:t xml:space="preserve">l número 13.6 del RR únicamente si </w:t>
      </w:r>
      <w:r w:rsidR="00FC2CD1" w:rsidRPr="00FF6678">
        <w:rPr>
          <w:b/>
          <w:bCs/>
          <w:lang w:val="es-ES"/>
        </w:rPr>
        <w:t xml:space="preserve">nunca han estado en servicio, ya no están en servicio o se siguen </w:t>
      </w:r>
      <w:proofErr w:type="gramStart"/>
      <w:r w:rsidR="00FC2CD1" w:rsidRPr="00FF6678">
        <w:rPr>
          <w:b/>
          <w:bCs/>
          <w:lang w:val="es-ES"/>
        </w:rPr>
        <w:t>utilizando</w:t>
      </w:r>
      <w:proofErr w:type="gramEnd"/>
      <w:r w:rsidR="00FC2CD1" w:rsidRPr="00FF6678">
        <w:rPr>
          <w:b/>
          <w:bCs/>
          <w:lang w:val="es-ES"/>
        </w:rPr>
        <w:t xml:space="preserve"> pero no guardan conformidad con las características notificadas</w:t>
      </w:r>
      <w:r w:rsidR="006740A3">
        <w:rPr>
          <w:b/>
          <w:bCs/>
          <w:lang w:val="es-ES"/>
        </w:rPr>
        <w:t>.</w:t>
      </w:r>
    </w:p>
    <w:p w14:paraId="736273E1" w14:textId="05DB8CCB" w:rsidR="007050BD" w:rsidRPr="00FF6678" w:rsidRDefault="00A82E64" w:rsidP="00E744C4">
      <w:pPr>
        <w:rPr>
          <w:lang w:val="es-ES"/>
        </w:rPr>
      </w:pPr>
      <w:r w:rsidRPr="00FF6678">
        <w:rPr>
          <w:lang w:val="es-ES"/>
        </w:rPr>
        <w:t>Se ha demostrado que las asignaciones en cuestión</w:t>
      </w:r>
      <w:r w:rsidR="007050BD" w:rsidRPr="00FF6678">
        <w:rPr>
          <w:lang w:val="es-ES"/>
        </w:rPr>
        <w:t>:</w:t>
      </w:r>
    </w:p>
    <w:p w14:paraId="23047E45" w14:textId="1E08B2B6" w:rsidR="007050BD" w:rsidRPr="00FF6678" w:rsidRDefault="007050BD" w:rsidP="00E744C4">
      <w:pPr>
        <w:pStyle w:val="enumlev1"/>
        <w:rPr>
          <w:lang w:val="es-ES"/>
        </w:rPr>
      </w:pPr>
      <w:r w:rsidRPr="00FF6678">
        <w:rPr>
          <w:lang w:val="es-ES"/>
        </w:rPr>
        <w:t>–</w:t>
      </w:r>
      <w:r w:rsidRPr="00FF6678">
        <w:rPr>
          <w:lang w:val="es-ES"/>
        </w:rPr>
        <w:tab/>
        <w:t>Ha</w:t>
      </w:r>
      <w:r w:rsidR="00A82E64" w:rsidRPr="00FF6678">
        <w:rPr>
          <w:lang w:val="es-ES"/>
        </w:rPr>
        <w:t>bían estado en servicio entre 18 y 21 años antes.</w:t>
      </w:r>
    </w:p>
    <w:p w14:paraId="7E6CD688" w14:textId="2B191EE8" w:rsidR="007050BD" w:rsidRPr="00FF6678" w:rsidRDefault="007050BD" w:rsidP="00E744C4">
      <w:pPr>
        <w:pStyle w:val="enumlev1"/>
        <w:rPr>
          <w:lang w:val="es-ES"/>
        </w:rPr>
      </w:pPr>
      <w:r w:rsidRPr="00FF6678">
        <w:rPr>
          <w:lang w:val="es-ES"/>
        </w:rPr>
        <w:t>–</w:t>
      </w:r>
      <w:r w:rsidRPr="00FF6678">
        <w:rPr>
          <w:lang w:val="es-ES"/>
        </w:rPr>
        <w:tab/>
      </w:r>
      <w:r w:rsidR="00A82E64" w:rsidRPr="00FF6678">
        <w:rPr>
          <w:lang w:val="es-ES"/>
        </w:rPr>
        <w:t xml:space="preserve">Estaban siendo utilizadas por </w:t>
      </w:r>
      <w:r w:rsidRPr="00FF6678">
        <w:rPr>
          <w:lang w:val="es-ES"/>
        </w:rPr>
        <w:t xml:space="preserve">AsiaSat 9 </w:t>
      </w:r>
      <w:r w:rsidR="00A82E64" w:rsidRPr="00FF6678">
        <w:rPr>
          <w:lang w:val="es-ES"/>
        </w:rPr>
        <w:t xml:space="preserve">de conformidad con las características requeridas notificadas cuando la Oficina inició la investigación en virtud del número </w:t>
      </w:r>
      <w:r w:rsidRPr="00FF6678">
        <w:rPr>
          <w:b/>
          <w:lang w:val="es-ES"/>
        </w:rPr>
        <w:t>13.6</w:t>
      </w:r>
      <w:r w:rsidR="00A82E64" w:rsidRPr="00FF6678">
        <w:rPr>
          <w:b/>
          <w:lang w:val="es-ES"/>
        </w:rPr>
        <w:t xml:space="preserve"> </w:t>
      </w:r>
      <w:r w:rsidR="00A82E64" w:rsidRPr="00FF6678">
        <w:rPr>
          <w:bCs/>
          <w:lang w:val="es-ES"/>
        </w:rPr>
        <w:t>del RR</w:t>
      </w:r>
      <w:r w:rsidRPr="00FF6678">
        <w:rPr>
          <w:lang w:val="es-ES"/>
        </w:rPr>
        <w:t>.</w:t>
      </w:r>
    </w:p>
    <w:p w14:paraId="306F2BD3" w14:textId="3D8EE8D2" w:rsidR="007050BD" w:rsidRPr="00FF6678" w:rsidRDefault="007050BD" w:rsidP="00E744C4">
      <w:pPr>
        <w:pStyle w:val="enumlev1"/>
        <w:rPr>
          <w:lang w:val="es-ES"/>
        </w:rPr>
      </w:pPr>
      <w:r w:rsidRPr="00FF6678">
        <w:rPr>
          <w:lang w:val="es-ES"/>
        </w:rPr>
        <w:lastRenderedPageBreak/>
        <w:t>–</w:t>
      </w:r>
      <w:r w:rsidRPr="00FF6678">
        <w:rPr>
          <w:lang w:val="es-ES"/>
        </w:rPr>
        <w:tab/>
      </w:r>
      <w:r w:rsidR="00A82E64" w:rsidRPr="00FF6678">
        <w:rPr>
          <w:lang w:val="es-ES"/>
        </w:rPr>
        <w:t xml:space="preserve">Siguen siendo utilizadas por </w:t>
      </w:r>
      <w:r w:rsidRPr="00FF6678">
        <w:rPr>
          <w:lang w:val="es-ES"/>
        </w:rPr>
        <w:t xml:space="preserve">AsiaSat 9 </w:t>
      </w:r>
      <w:r w:rsidR="00FF6678" w:rsidRPr="00FF6678">
        <w:rPr>
          <w:lang w:val="es-ES"/>
        </w:rPr>
        <w:t>hoy en día</w:t>
      </w:r>
      <w:r w:rsidR="00A82E64" w:rsidRPr="00FF6678">
        <w:rPr>
          <w:lang w:val="es-ES"/>
        </w:rPr>
        <w:t xml:space="preserve"> de conformidad con las características requeridas notificadas</w:t>
      </w:r>
      <w:r w:rsidRPr="00FF6678">
        <w:rPr>
          <w:lang w:val="es-ES"/>
        </w:rPr>
        <w:t>.</w:t>
      </w:r>
    </w:p>
    <w:p w14:paraId="33F1006A" w14:textId="6D4448B5" w:rsidR="007050BD" w:rsidRPr="00FF6678" w:rsidRDefault="0034385E" w:rsidP="00E744C4">
      <w:pPr>
        <w:spacing w:after="120"/>
        <w:rPr>
          <w:lang w:val="es-ES"/>
        </w:rPr>
      </w:pPr>
      <w:r w:rsidRPr="00FF6678">
        <w:rPr>
          <w:lang w:val="es-ES"/>
        </w:rPr>
        <w:t xml:space="preserve">Los principios descritos en </w:t>
      </w:r>
      <w:r w:rsidR="007050BD" w:rsidRPr="00FF6678">
        <w:rPr>
          <w:lang w:val="es-ES"/>
        </w:rPr>
        <w:t xml:space="preserve">CR/436 </w:t>
      </w:r>
      <w:r w:rsidRPr="00FF6678">
        <w:rPr>
          <w:lang w:val="es-ES"/>
        </w:rPr>
        <w:t xml:space="preserve">en septiembre de </w:t>
      </w:r>
      <w:r w:rsidR="007050BD" w:rsidRPr="00FF6678">
        <w:rPr>
          <w:lang w:val="es-ES"/>
        </w:rPr>
        <w:t xml:space="preserve">2018 </w:t>
      </w:r>
      <w:r w:rsidRPr="00FF6678">
        <w:rPr>
          <w:lang w:val="es-ES"/>
        </w:rPr>
        <w:t>se han aplicado de manera coherente en casos pasados y se documentaron ampliamente en la CMR</w:t>
      </w:r>
      <w:r w:rsidR="007050BD" w:rsidRPr="00FF6678">
        <w:rPr>
          <w:lang w:val="es-ES"/>
        </w:rPr>
        <w:t xml:space="preserve">-15, </w:t>
      </w:r>
      <w:r w:rsidRPr="00FF6678">
        <w:rPr>
          <w:lang w:val="es-ES"/>
        </w:rPr>
        <w:t xml:space="preserve">a través del Informe de la </w:t>
      </w:r>
      <w:r w:rsidR="007050BD" w:rsidRPr="00FF6678">
        <w:rPr>
          <w:lang w:val="es-ES"/>
        </w:rPr>
        <w:t>RRB</w:t>
      </w:r>
      <w:r w:rsidRPr="00FF6678">
        <w:rPr>
          <w:lang w:val="es-ES"/>
        </w:rPr>
        <w:t xml:space="preserve"> a la</w:t>
      </w:r>
      <w:r w:rsidR="00735651">
        <w:rPr>
          <w:lang w:val="es-ES"/>
        </w:rPr>
        <w:t> </w:t>
      </w:r>
      <w:r w:rsidRPr="00FF6678">
        <w:rPr>
          <w:lang w:val="es-ES"/>
        </w:rPr>
        <w:t>CMR</w:t>
      </w:r>
      <w:r w:rsidR="007050BD" w:rsidRPr="00FF6678">
        <w:rPr>
          <w:lang w:val="es-ES"/>
        </w:rPr>
        <w:t xml:space="preserve">-15 </w:t>
      </w:r>
      <w:r w:rsidRPr="00FF6678">
        <w:rPr>
          <w:lang w:val="es-ES"/>
        </w:rPr>
        <w:t xml:space="preserve">sobre la Resolución </w:t>
      </w:r>
      <w:r w:rsidR="007050BD" w:rsidRPr="00FF6678">
        <w:rPr>
          <w:b/>
          <w:lang w:val="es-ES"/>
        </w:rPr>
        <w:t>80 (Rev.</w:t>
      </w:r>
      <w:r w:rsidRPr="00FF6678">
        <w:rPr>
          <w:b/>
          <w:lang w:val="es-ES"/>
        </w:rPr>
        <w:t>CMR</w:t>
      </w:r>
      <w:r w:rsidR="007050BD" w:rsidRPr="00FF6678">
        <w:rPr>
          <w:b/>
          <w:lang w:val="es-ES"/>
        </w:rPr>
        <w:t>-07)</w:t>
      </w:r>
      <w:r w:rsidR="007050BD" w:rsidRPr="00FF6678">
        <w:rPr>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7050BD" w:rsidRPr="00FF6678" w14:paraId="5B6ABD78" w14:textId="77777777" w:rsidTr="00FC2CD1">
        <w:tc>
          <w:tcPr>
            <w:tcW w:w="1696" w:type="dxa"/>
            <w:shd w:val="clear" w:color="auto" w:fill="auto"/>
          </w:tcPr>
          <w:p w14:paraId="0146A29D" w14:textId="3216DDE2" w:rsidR="007050BD" w:rsidRPr="00FF6678" w:rsidRDefault="0034385E" w:rsidP="00E744C4">
            <w:pPr>
              <w:pStyle w:val="Tablehead"/>
              <w:rPr>
                <w:lang w:val="es-ES"/>
              </w:rPr>
            </w:pPr>
            <w:r w:rsidRPr="00FF6678">
              <w:rPr>
                <w:lang w:val="es-ES"/>
              </w:rPr>
              <w:t>Fuente</w:t>
            </w:r>
            <w:r w:rsidR="007050BD" w:rsidRPr="00FF6678">
              <w:rPr>
                <w:lang w:val="es-ES"/>
              </w:rPr>
              <w:t xml:space="preserve"> </w:t>
            </w:r>
          </w:p>
        </w:tc>
        <w:tc>
          <w:tcPr>
            <w:tcW w:w="7933" w:type="dxa"/>
            <w:shd w:val="clear" w:color="auto" w:fill="auto"/>
          </w:tcPr>
          <w:p w14:paraId="0DD910EB" w14:textId="41187125" w:rsidR="007050BD" w:rsidRPr="00FF6678" w:rsidRDefault="0034385E" w:rsidP="00E744C4">
            <w:pPr>
              <w:pStyle w:val="Tablehead"/>
              <w:rPr>
                <w:lang w:val="es-ES"/>
              </w:rPr>
            </w:pPr>
            <w:r w:rsidRPr="00FF6678">
              <w:rPr>
                <w:lang w:val="es-ES"/>
              </w:rPr>
              <w:t>Extracto de la fuente</w:t>
            </w:r>
          </w:p>
        </w:tc>
      </w:tr>
      <w:tr w:rsidR="007050BD" w:rsidRPr="00FF6678" w14:paraId="2CA6E6D8" w14:textId="77777777" w:rsidTr="00FC2CD1">
        <w:tc>
          <w:tcPr>
            <w:tcW w:w="1696" w:type="dxa"/>
            <w:shd w:val="clear" w:color="auto" w:fill="auto"/>
          </w:tcPr>
          <w:p w14:paraId="28F38F7B" w14:textId="48E07226" w:rsidR="007050BD" w:rsidRPr="00FF6678" w:rsidRDefault="007050BD" w:rsidP="00E744C4">
            <w:pPr>
              <w:pStyle w:val="Tabletext"/>
              <w:rPr>
                <w:sz w:val="22"/>
                <w:lang w:val="es-ES"/>
              </w:rPr>
            </w:pPr>
            <w:r w:rsidRPr="00FF6678">
              <w:rPr>
                <w:lang w:val="es-ES"/>
              </w:rPr>
              <w:t>Document</w:t>
            </w:r>
            <w:r w:rsidR="0034385E" w:rsidRPr="00FF6678">
              <w:rPr>
                <w:lang w:val="es-ES"/>
              </w:rPr>
              <w:t>o</w:t>
            </w:r>
            <w:r w:rsidRPr="00FF6678">
              <w:rPr>
                <w:lang w:val="es-ES"/>
              </w:rPr>
              <w:t xml:space="preserve"> 14 </w:t>
            </w:r>
            <w:r w:rsidR="0034385E" w:rsidRPr="00FF6678">
              <w:rPr>
                <w:lang w:val="es-ES"/>
              </w:rPr>
              <w:t>de la CMR</w:t>
            </w:r>
            <w:r w:rsidRPr="00FF6678">
              <w:rPr>
                <w:lang w:val="es-ES"/>
              </w:rPr>
              <w:t xml:space="preserve">-15, </w:t>
            </w:r>
            <w:r w:rsidR="0034385E" w:rsidRPr="00FF6678">
              <w:rPr>
                <w:lang w:val="es-ES"/>
              </w:rPr>
              <w:t>Informe de la</w:t>
            </w:r>
            <w:r w:rsidR="00C04B4E">
              <w:rPr>
                <w:lang w:val="es-ES"/>
              </w:rPr>
              <w:t> </w:t>
            </w:r>
            <w:r w:rsidRPr="00FF6678">
              <w:rPr>
                <w:lang w:val="es-ES"/>
              </w:rPr>
              <w:t xml:space="preserve">RRB </w:t>
            </w:r>
            <w:r w:rsidR="0034385E" w:rsidRPr="00FF6678">
              <w:rPr>
                <w:lang w:val="es-ES"/>
              </w:rPr>
              <w:t>a la CMR</w:t>
            </w:r>
            <w:r w:rsidRPr="00FF6678">
              <w:rPr>
                <w:lang w:val="es-ES"/>
              </w:rPr>
              <w:t xml:space="preserve">-15 </w:t>
            </w:r>
            <w:r w:rsidR="0034385E" w:rsidRPr="00FF6678">
              <w:rPr>
                <w:lang w:val="es-ES"/>
              </w:rPr>
              <w:t xml:space="preserve">sobre la Resolución </w:t>
            </w:r>
            <w:r w:rsidRPr="00FF6678">
              <w:rPr>
                <w:b/>
                <w:lang w:val="es-ES"/>
              </w:rPr>
              <w:t>80 (Rev.C</w:t>
            </w:r>
            <w:r w:rsidR="0034385E" w:rsidRPr="00FF6678">
              <w:rPr>
                <w:b/>
                <w:lang w:val="es-ES"/>
              </w:rPr>
              <w:t>MR</w:t>
            </w:r>
            <w:r w:rsidRPr="00FF6678">
              <w:rPr>
                <w:b/>
                <w:lang w:val="es-ES"/>
              </w:rPr>
              <w:t>-07)</w:t>
            </w:r>
          </w:p>
        </w:tc>
        <w:tc>
          <w:tcPr>
            <w:tcW w:w="7933" w:type="dxa"/>
            <w:shd w:val="clear" w:color="auto" w:fill="auto"/>
          </w:tcPr>
          <w:p w14:paraId="22D42C9D" w14:textId="0368458E" w:rsidR="007050BD" w:rsidRPr="00FF6678" w:rsidRDefault="0034385E" w:rsidP="00E744C4">
            <w:pPr>
              <w:pStyle w:val="Tabletext"/>
              <w:rPr>
                <w:sz w:val="22"/>
                <w:lang w:val="es-ES" w:eastAsia="zh-CN"/>
              </w:rPr>
            </w:pPr>
            <w:r w:rsidRPr="00FF6678">
              <w:rPr>
                <w:sz w:val="22"/>
                <w:lang w:val="es-ES" w:eastAsia="zh-CN"/>
              </w:rPr>
              <w:t xml:space="preserve">Citado de la Sección </w:t>
            </w:r>
            <w:r w:rsidR="007050BD" w:rsidRPr="00FF6678">
              <w:rPr>
                <w:sz w:val="22"/>
                <w:lang w:val="es-ES" w:eastAsia="zh-CN"/>
              </w:rPr>
              <w:t xml:space="preserve">4.1 </w:t>
            </w:r>
            <w:r w:rsidRPr="00FF6678">
              <w:rPr>
                <w:sz w:val="22"/>
                <w:lang w:val="es-ES" w:eastAsia="zh-CN"/>
              </w:rPr>
              <w:t xml:space="preserve">del </w:t>
            </w:r>
            <w:r w:rsidR="007050BD" w:rsidRPr="00FF6678">
              <w:rPr>
                <w:sz w:val="22"/>
                <w:lang w:val="es-ES" w:eastAsia="zh-CN"/>
              </w:rPr>
              <w:t>document</w:t>
            </w:r>
            <w:r w:rsidRPr="00FF6678">
              <w:rPr>
                <w:sz w:val="22"/>
                <w:lang w:val="es-ES" w:eastAsia="zh-CN"/>
              </w:rPr>
              <w:t>o</w:t>
            </w:r>
          </w:p>
          <w:p w14:paraId="40C04F16" w14:textId="5A375724" w:rsidR="007050BD" w:rsidRPr="00FF6678" w:rsidRDefault="00FC2CD1" w:rsidP="00E744C4">
            <w:pPr>
              <w:pStyle w:val="Tabletext"/>
              <w:rPr>
                <w:rFonts w:eastAsia="SimSun"/>
                <w:lang w:val="es-ES"/>
              </w:rPr>
            </w:pPr>
            <w:r w:rsidRPr="00FF6678">
              <w:rPr>
                <w:rFonts w:eastAsia="SimSun"/>
                <w:lang w:val="es-ES" w:eastAsia="zh-CN"/>
              </w:rPr>
              <w:t>«En la práctica es difícil aplicar retroactivamente el número </w:t>
            </w:r>
            <w:r w:rsidRPr="00FF6678">
              <w:rPr>
                <w:rFonts w:eastAsia="SimSun"/>
                <w:b/>
                <w:bCs/>
                <w:lang w:val="es-ES" w:eastAsia="zh-CN"/>
              </w:rPr>
              <w:t>13.6</w:t>
            </w:r>
            <w:r w:rsidRPr="00FF6678">
              <w:rPr>
                <w:rFonts w:eastAsia="SimSun"/>
                <w:lang w:val="es-ES"/>
              </w:rPr>
              <w:t xml:space="preserve"> del RR a circunstancias que pueden haber imperado en un pasado lejano. La RRB evita poner en entredicho la aplicación histórica del Reglamento de Radiocomunicaciones y examina cada caso individualmente en función de la utilización actual. La situación se vuelve compleja y urgente cuando hay dos satélites operacionales y se produce o es inminente una interferencia perjudicial.»</w:t>
            </w:r>
          </w:p>
        </w:tc>
      </w:tr>
    </w:tbl>
    <w:p w14:paraId="19F2BCDF" w14:textId="0B2B3B94" w:rsidR="007050BD" w:rsidRPr="00FF6678" w:rsidRDefault="002528D3" w:rsidP="00E744C4">
      <w:pPr>
        <w:rPr>
          <w:lang w:val="es-ES"/>
        </w:rPr>
      </w:pPr>
      <w:r w:rsidRPr="00FF6678">
        <w:rPr>
          <w:lang w:val="es-ES"/>
        </w:rPr>
        <w:t xml:space="preserve">El Informe de </w:t>
      </w:r>
      <w:r w:rsidR="0002151D" w:rsidRPr="00FF6678">
        <w:rPr>
          <w:lang w:val="es-ES"/>
        </w:rPr>
        <w:t xml:space="preserve">la </w:t>
      </w:r>
      <w:r w:rsidR="007050BD" w:rsidRPr="00FF6678">
        <w:rPr>
          <w:lang w:val="es-ES"/>
        </w:rPr>
        <w:t xml:space="preserve">RRB </w:t>
      </w:r>
      <w:r w:rsidRPr="00FF6678">
        <w:rPr>
          <w:lang w:val="es-ES"/>
        </w:rPr>
        <w:t>a la CMR-</w:t>
      </w:r>
      <w:r w:rsidR="007050BD" w:rsidRPr="00FF6678">
        <w:rPr>
          <w:lang w:val="es-ES"/>
        </w:rPr>
        <w:t xml:space="preserve">15 </w:t>
      </w:r>
      <w:r w:rsidRPr="00FF6678">
        <w:rPr>
          <w:lang w:val="es-ES"/>
        </w:rPr>
        <w:t>vuelve a confirmar el principio arraigado</w:t>
      </w:r>
      <w:r w:rsidR="007050BD" w:rsidRPr="00FF6678">
        <w:rPr>
          <w:lang w:val="es-ES"/>
        </w:rPr>
        <w:t xml:space="preserve">: </w:t>
      </w:r>
    </w:p>
    <w:p w14:paraId="104466AB" w14:textId="4D65EFFA" w:rsidR="007050BD" w:rsidRPr="00FF6678" w:rsidRDefault="007050BD" w:rsidP="00E744C4">
      <w:pPr>
        <w:jc w:val="both"/>
        <w:rPr>
          <w:b/>
          <w:lang w:val="es-ES"/>
        </w:rPr>
      </w:pPr>
      <w:r w:rsidRPr="00FF6678">
        <w:rPr>
          <w:b/>
          <w:i/>
          <w:lang w:val="es-ES"/>
        </w:rPr>
        <w:t>Princip</w:t>
      </w:r>
      <w:r w:rsidR="002528D3" w:rsidRPr="00FF6678">
        <w:rPr>
          <w:b/>
          <w:i/>
          <w:lang w:val="es-ES"/>
        </w:rPr>
        <w:t>io</w:t>
      </w:r>
      <w:r w:rsidRPr="00FF6678">
        <w:rPr>
          <w:b/>
          <w:lang w:val="es-ES"/>
        </w:rPr>
        <w:t xml:space="preserve">: </w:t>
      </w:r>
      <w:r w:rsidR="002528D3" w:rsidRPr="00FF6678">
        <w:rPr>
          <w:b/>
          <w:lang w:val="es-ES"/>
        </w:rPr>
        <w:t xml:space="preserve">La </w:t>
      </w:r>
      <w:r w:rsidRPr="00FF6678">
        <w:rPr>
          <w:b/>
          <w:lang w:val="es-ES"/>
        </w:rPr>
        <w:t xml:space="preserve">RRB </w:t>
      </w:r>
      <w:r w:rsidR="004C540B" w:rsidRPr="00FF6678">
        <w:rPr>
          <w:b/>
          <w:lang w:val="es-ES"/>
        </w:rPr>
        <w:t xml:space="preserve">evita poner en entredicho </w:t>
      </w:r>
      <w:r w:rsidR="002528D3" w:rsidRPr="00FF6678">
        <w:rPr>
          <w:b/>
          <w:lang w:val="es-ES"/>
        </w:rPr>
        <w:t>la aplicación histórica y se centra en el uso actual</w:t>
      </w:r>
    </w:p>
    <w:p w14:paraId="2B2375AE" w14:textId="2B366B81" w:rsidR="007050BD" w:rsidRPr="00FF6678" w:rsidRDefault="007050BD" w:rsidP="00E744C4">
      <w:pPr>
        <w:pStyle w:val="enumlev1"/>
        <w:rPr>
          <w:lang w:val="es-ES"/>
        </w:rPr>
      </w:pPr>
      <w:r w:rsidRPr="00FF6678">
        <w:rPr>
          <w:lang w:val="es-ES"/>
        </w:rPr>
        <w:t>–</w:t>
      </w:r>
      <w:r w:rsidRPr="00FF6678">
        <w:rPr>
          <w:lang w:val="es-ES"/>
        </w:rPr>
        <w:tab/>
      </w:r>
      <w:r w:rsidR="0002151D" w:rsidRPr="00FF6678">
        <w:rPr>
          <w:lang w:val="es-ES"/>
        </w:rPr>
        <w:t xml:space="preserve">La utilización </w:t>
      </w:r>
      <w:r w:rsidR="00AD583E" w:rsidRPr="00FF6678">
        <w:rPr>
          <w:lang w:val="es-ES"/>
        </w:rPr>
        <w:t xml:space="preserve">de todas las asignaciones en cuestión en el momento en que se inició la investigación en virtud del número </w:t>
      </w:r>
      <w:r w:rsidRPr="00FF6678">
        <w:rPr>
          <w:b/>
          <w:lang w:val="es-ES"/>
        </w:rPr>
        <w:t>13.6</w:t>
      </w:r>
      <w:r w:rsidRPr="00FF6678">
        <w:rPr>
          <w:lang w:val="es-ES"/>
        </w:rPr>
        <w:t xml:space="preserve"> </w:t>
      </w:r>
      <w:r w:rsidR="00AD583E" w:rsidRPr="00FF6678">
        <w:rPr>
          <w:lang w:val="es-ES"/>
        </w:rPr>
        <w:t>del RR ha quedado demostrado de manera inequívoca</w:t>
      </w:r>
      <w:r w:rsidR="0002151D" w:rsidRPr="00FF6678">
        <w:rPr>
          <w:lang w:val="es-ES"/>
        </w:rPr>
        <w:t xml:space="preserve"> con el satélite AsiaSat 9, que </w:t>
      </w:r>
      <w:r w:rsidR="00AD583E" w:rsidRPr="00FF6678">
        <w:rPr>
          <w:lang w:val="es-ES"/>
        </w:rPr>
        <w:t xml:space="preserve">continúa explotando estas asignaciones actualmente desde esta posición. Se han proporcionado pruebas de este funcionamiento, que han sido aceptadas por la Oficina y la </w:t>
      </w:r>
      <w:r w:rsidRPr="00FF6678">
        <w:rPr>
          <w:lang w:val="es-ES"/>
        </w:rPr>
        <w:t>RRB.</w:t>
      </w:r>
    </w:p>
    <w:p w14:paraId="0A665999" w14:textId="5AF7C9B7" w:rsidR="007050BD" w:rsidRPr="00FF6678" w:rsidRDefault="00AD583E" w:rsidP="00E744C4">
      <w:pPr>
        <w:rPr>
          <w:lang w:val="es-ES"/>
        </w:rPr>
      </w:pPr>
      <w:r w:rsidRPr="00FF6678">
        <w:rPr>
          <w:lang w:val="es-ES"/>
        </w:rPr>
        <w:t xml:space="preserve">Parece que los fundamentos para cancelar las asignaciones </w:t>
      </w:r>
      <w:r w:rsidR="00735651" w:rsidRPr="00735651">
        <w:rPr>
          <w:lang w:val="es-ES"/>
        </w:rPr>
        <w:t>–</w:t>
      </w:r>
      <w:r w:rsidRPr="00FF6678">
        <w:rPr>
          <w:lang w:val="es-ES"/>
        </w:rPr>
        <w:t xml:space="preserve">esto es, </w:t>
      </w:r>
      <w:r w:rsidR="003B4278" w:rsidRPr="00FF6678">
        <w:rPr>
          <w:lang w:val="es-ES"/>
        </w:rPr>
        <w:t>«</w:t>
      </w:r>
      <w:r w:rsidRPr="00FF6678">
        <w:rPr>
          <w:lang w:val="es-ES"/>
        </w:rPr>
        <w:t>en el momento del lanzamiento de AsiaSat 9, las asignaciones de frecuencias llevaban más de 21 meses en desuso</w:t>
      </w:r>
      <w:r w:rsidR="003B4278" w:rsidRPr="00FF6678">
        <w:rPr>
          <w:lang w:val="es-ES"/>
        </w:rPr>
        <w:t>»</w:t>
      </w:r>
      <w:r w:rsidR="00735651" w:rsidRPr="00735651">
        <w:rPr>
          <w:lang w:val="es-ES"/>
        </w:rPr>
        <w:t>–</w:t>
      </w:r>
      <w:r w:rsidRPr="00FF6678">
        <w:rPr>
          <w:lang w:val="es-ES"/>
        </w:rPr>
        <w:t xml:space="preserve"> </w:t>
      </w:r>
      <w:r w:rsidR="004C540B" w:rsidRPr="00FF6678">
        <w:rPr>
          <w:lang w:val="es-ES"/>
        </w:rPr>
        <w:t>pondrían en tela de juicio</w:t>
      </w:r>
      <w:r w:rsidRPr="00FF6678">
        <w:rPr>
          <w:lang w:val="es-ES"/>
        </w:rPr>
        <w:t xml:space="preserve"> la aplicación histórica, en lugar de centrarse en el uso actual</w:t>
      </w:r>
      <w:r w:rsidR="007050BD" w:rsidRPr="00FF6678">
        <w:rPr>
          <w:lang w:val="es-ES"/>
        </w:rPr>
        <w:t>.</w:t>
      </w:r>
    </w:p>
    <w:p w14:paraId="1387FDB4" w14:textId="4098A46A" w:rsidR="007050BD" w:rsidRPr="00FF6678" w:rsidRDefault="007050BD" w:rsidP="00E744C4">
      <w:pPr>
        <w:pStyle w:val="Heading1"/>
        <w:rPr>
          <w:lang w:val="es-ES"/>
        </w:rPr>
      </w:pPr>
      <w:r w:rsidRPr="00FF6678">
        <w:rPr>
          <w:lang w:val="es-ES"/>
        </w:rPr>
        <w:t>5</w:t>
      </w:r>
      <w:r w:rsidRPr="00FF6678">
        <w:rPr>
          <w:lang w:val="es-ES"/>
        </w:rPr>
        <w:tab/>
      </w:r>
      <w:r w:rsidR="006E2FE4" w:rsidRPr="00FF6678">
        <w:rPr>
          <w:lang w:val="es-ES"/>
        </w:rPr>
        <w:t>La cancelación de las asignaciones en funcionamiento sería un</w:t>
      </w:r>
      <w:r w:rsidR="00986BAE" w:rsidRPr="00FF6678">
        <w:rPr>
          <w:lang w:val="es-ES"/>
        </w:rPr>
        <w:t xml:space="preserve"> procedimiento </w:t>
      </w:r>
      <w:r w:rsidR="006E2FE4" w:rsidRPr="00FF6678">
        <w:rPr>
          <w:lang w:val="es-ES"/>
        </w:rPr>
        <w:t>peligros</w:t>
      </w:r>
      <w:r w:rsidR="00986BAE" w:rsidRPr="00FF6678">
        <w:rPr>
          <w:lang w:val="es-ES"/>
        </w:rPr>
        <w:t>o</w:t>
      </w:r>
      <w:r w:rsidR="006E2FE4" w:rsidRPr="00FF6678">
        <w:rPr>
          <w:lang w:val="es-ES"/>
        </w:rPr>
        <w:t xml:space="preserve"> con consecuencias</w:t>
      </w:r>
      <w:r w:rsidR="003B4278" w:rsidRPr="00FF6678">
        <w:rPr>
          <w:lang w:val="es-ES"/>
        </w:rPr>
        <w:t xml:space="preserve"> amplias</w:t>
      </w:r>
    </w:p>
    <w:p w14:paraId="631CA1EE" w14:textId="178D4A96" w:rsidR="007050BD" w:rsidRPr="00FF6678" w:rsidRDefault="006E2FE4" w:rsidP="00E744C4">
      <w:pPr>
        <w:rPr>
          <w:lang w:val="es-ES"/>
        </w:rPr>
      </w:pPr>
      <w:r w:rsidRPr="00FF6678">
        <w:rPr>
          <w:lang w:val="es-ES"/>
        </w:rPr>
        <w:t>En la práctica, todas las posiciones orbitales establecidas por todas las Administraciones están formadas por series de notificaciones que se han presentado a lo largo de los años a medida que cambiaban la flota de satélites, las aplicaciones y los requisitos, y que se han puesto en servicio de conformidad con l</w:t>
      </w:r>
      <w:r w:rsidR="004C540B" w:rsidRPr="00FF6678">
        <w:rPr>
          <w:lang w:val="es-ES"/>
        </w:rPr>
        <w:t>os</w:t>
      </w:r>
      <w:r w:rsidRPr="00FF6678">
        <w:rPr>
          <w:lang w:val="es-ES"/>
        </w:rPr>
        <w:t xml:space="preserve"> </w:t>
      </w:r>
      <w:r w:rsidR="004C540B" w:rsidRPr="00FF6678">
        <w:rPr>
          <w:lang w:val="es-ES"/>
        </w:rPr>
        <w:t xml:space="preserve">procedimientos </w:t>
      </w:r>
      <w:r w:rsidRPr="00FF6678">
        <w:rPr>
          <w:lang w:val="es-ES"/>
        </w:rPr>
        <w:t>y requisitos aplicables en ese momento</w:t>
      </w:r>
      <w:r w:rsidR="007050BD" w:rsidRPr="00FF6678">
        <w:rPr>
          <w:lang w:val="es-ES"/>
        </w:rPr>
        <w:t>.</w:t>
      </w:r>
    </w:p>
    <w:p w14:paraId="5C7D027F" w14:textId="7C5F6383" w:rsidR="007050BD" w:rsidRPr="00FF6678" w:rsidRDefault="006E2FE4" w:rsidP="00E744C4">
      <w:pPr>
        <w:rPr>
          <w:lang w:val="es-ES"/>
        </w:rPr>
      </w:pPr>
      <w:r w:rsidRPr="00FF6678">
        <w:rPr>
          <w:lang w:val="es-ES"/>
        </w:rPr>
        <w:t xml:space="preserve">Si </w:t>
      </w:r>
      <w:r w:rsidR="00986BAE" w:rsidRPr="00FF6678">
        <w:rPr>
          <w:lang w:val="es-ES"/>
        </w:rPr>
        <w:t xml:space="preserve">el procedimiento utilizado </w:t>
      </w:r>
      <w:r w:rsidRPr="00FF6678">
        <w:rPr>
          <w:lang w:val="es-ES"/>
        </w:rPr>
        <w:t xml:space="preserve">en las asignaciones a </w:t>
      </w:r>
      <w:r w:rsidR="007050BD" w:rsidRPr="00FF6678">
        <w:rPr>
          <w:lang w:val="es-ES"/>
        </w:rPr>
        <w:t xml:space="preserve">ASIASAT-AK, ASIASAT-AK1 </w:t>
      </w:r>
      <w:r w:rsidRPr="00FF6678">
        <w:rPr>
          <w:lang w:val="es-ES"/>
        </w:rPr>
        <w:t xml:space="preserve">y </w:t>
      </w:r>
      <w:r w:rsidR="007050BD" w:rsidRPr="00FF6678">
        <w:rPr>
          <w:lang w:val="es-ES"/>
        </w:rPr>
        <w:t xml:space="preserve">ASIASAT-AKX </w:t>
      </w:r>
      <w:r w:rsidRPr="00FF6678">
        <w:rPr>
          <w:lang w:val="es-ES"/>
        </w:rPr>
        <w:t xml:space="preserve">se estableciera como </w:t>
      </w:r>
      <w:r w:rsidR="004C540B" w:rsidRPr="00FF6678">
        <w:rPr>
          <w:lang w:val="es-ES"/>
        </w:rPr>
        <w:t>e</w:t>
      </w:r>
      <w:r w:rsidRPr="00FF6678">
        <w:rPr>
          <w:lang w:val="es-ES"/>
        </w:rPr>
        <w:t>l</w:t>
      </w:r>
      <w:r w:rsidR="004C540B" w:rsidRPr="00FF6678">
        <w:rPr>
          <w:lang w:val="es-ES"/>
        </w:rPr>
        <w:t xml:space="preserve"> </w:t>
      </w:r>
      <w:r w:rsidRPr="00FF6678">
        <w:rPr>
          <w:lang w:val="es-ES"/>
        </w:rPr>
        <w:t>nuev</w:t>
      </w:r>
      <w:r w:rsidR="004C540B" w:rsidRPr="00FF6678">
        <w:rPr>
          <w:lang w:val="es-ES"/>
        </w:rPr>
        <w:t>o procedimiento</w:t>
      </w:r>
      <w:r w:rsidRPr="00FF6678">
        <w:rPr>
          <w:lang w:val="es-ES"/>
        </w:rPr>
        <w:t xml:space="preserve"> y se aplicara en las mismas condiciones en todos los casos, siempre que se pusiera en servicio una asignación nueva en una banda de frecuencias</w:t>
      </w:r>
      <w:r w:rsidR="007050BD" w:rsidRPr="00FF6678">
        <w:rPr>
          <w:lang w:val="es-ES"/>
        </w:rPr>
        <w:t>;</w:t>
      </w:r>
    </w:p>
    <w:p w14:paraId="42D5B693" w14:textId="4E866B86" w:rsidR="007050BD" w:rsidRPr="00FF6678" w:rsidRDefault="00FC2CD1" w:rsidP="00E744C4">
      <w:pPr>
        <w:pStyle w:val="enumlev1"/>
        <w:rPr>
          <w:lang w:val="es-ES"/>
        </w:rPr>
      </w:pPr>
      <w:r w:rsidRPr="00FF6678">
        <w:rPr>
          <w:lang w:val="es-ES"/>
        </w:rPr>
        <w:t>–</w:t>
      </w:r>
      <w:r w:rsidR="007050BD" w:rsidRPr="00FF6678">
        <w:rPr>
          <w:lang w:val="es-ES"/>
        </w:rPr>
        <w:tab/>
      </w:r>
      <w:r w:rsidR="006E2FE4" w:rsidRPr="00FF6678">
        <w:rPr>
          <w:lang w:val="es-ES"/>
        </w:rPr>
        <w:t xml:space="preserve">se examinaría la puesta en servicio anterior de todas las asignaciones en cualquier banda de frecuencias de todas las notificaciones de esa Administración en </w:t>
      </w:r>
      <w:r w:rsidR="00986BAE" w:rsidRPr="00FF6678">
        <w:rPr>
          <w:lang w:val="es-ES"/>
        </w:rPr>
        <w:t>es</w:t>
      </w:r>
      <w:r w:rsidR="006E2FE4" w:rsidRPr="00FF6678">
        <w:rPr>
          <w:lang w:val="es-ES"/>
        </w:rPr>
        <w:t>a posición orbita</w:t>
      </w:r>
      <w:r w:rsidR="00986BAE" w:rsidRPr="00FF6678">
        <w:rPr>
          <w:lang w:val="es-ES"/>
        </w:rPr>
        <w:t>l</w:t>
      </w:r>
      <w:r w:rsidR="007050BD" w:rsidRPr="00FF6678">
        <w:rPr>
          <w:lang w:val="es-ES"/>
        </w:rPr>
        <w:t>;</w:t>
      </w:r>
    </w:p>
    <w:p w14:paraId="1BCA0996" w14:textId="4763974A" w:rsidR="007050BD" w:rsidRPr="00FF6678" w:rsidRDefault="00FC2CD1" w:rsidP="00E744C4">
      <w:pPr>
        <w:pStyle w:val="enumlev2"/>
        <w:rPr>
          <w:lang w:val="es-ES"/>
        </w:rPr>
      </w:pPr>
      <w:r w:rsidRPr="00FF6678">
        <w:rPr>
          <w:lang w:val="es-ES"/>
        </w:rPr>
        <w:t>–</w:t>
      </w:r>
      <w:r w:rsidR="007050BD" w:rsidRPr="00FF6678">
        <w:rPr>
          <w:lang w:val="es-ES"/>
        </w:rPr>
        <w:tab/>
      </w:r>
      <w:r w:rsidR="006E2FE4" w:rsidRPr="00FF6678">
        <w:rPr>
          <w:lang w:val="es-ES"/>
        </w:rPr>
        <w:t>aplicando l</w:t>
      </w:r>
      <w:r w:rsidR="004C540B" w:rsidRPr="00FF6678">
        <w:rPr>
          <w:lang w:val="es-ES"/>
        </w:rPr>
        <w:t xml:space="preserve">os procedimientos </w:t>
      </w:r>
      <w:r w:rsidR="006E2FE4" w:rsidRPr="00FF6678">
        <w:rPr>
          <w:lang w:val="es-ES"/>
        </w:rPr>
        <w:t xml:space="preserve">y los criterios de puesta en servicio actuales, no los vigentes en el momento en que las asignaciones </w:t>
      </w:r>
      <w:r w:rsidR="00986BAE" w:rsidRPr="00FF6678">
        <w:rPr>
          <w:lang w:val="es-ES"/>
        </w:rPr>
        <w:t xml:space="preserve">empezaron a utilizarse </w:t>
      </w:r>
      <w:r w:rsidR="006E2FE4" w:rsidRPr="00FF6678">
        <w:rPr>
          <w:lang w:val="es-ES"/>
        </w:rPr>
        <w:t>realmente</w:t>
      </w:r>
      <w:r w:rsidR="007050BD" w:rsidRPr="00FF6678">
        <w:rPr>
          <w:lang w:val="es-ES"/>
        </w:rPr>
        <w:t>;</w:t>
      </w:r>
    </w:p>
    <w:p w14:paraId="30DE6D59" w14:textId="78ED009E" w:rsidR="007050BD" w:rsidRPr="00FF6678" w:rsidRDefault="00FC2CD1" w:rsidP="00E744C4">
      <w:pPr>
        <w:pStyle w:val="enumlev2"/>
        <w:rPr>
          <w:lang w:val="es-ES"/>
        </w:rPr>
      </w:pPr>
      <w:r w:rsidRPr="00FF6678">
        <w:rPr>
          <w:lang w:val="es-ES"/>
        </w:rPr>
        <w:t>–</w:t>
      </w:r>
      <w:r w:rsidR="007050BD" w:rsidRPr="00FF6678">
        <w:rPr>
          <w:lang w:val="es-ES"/>
        </w:rPr>
        <w:tab/>
      </w:r>
      <w:r w:rsidR="00D953F9" w:rsidRPr="00FF6678">
        <w:rPr>
          <w:lang w:val="es-ES"/>
        </w:rPr>
        <w:t>solicitando pruebas de la utilización del espectro que no se pidieron o produjeron en ese momento y de satélites que ya no se encontrarían en esas posiciones, e incluso que podrían no estar ya en órbita</w:t>
      </w:r>
      <w:r w:rsidR="007050BD" w:rsidRPr="00FF6678">
        <w:rPr>
          <w:lang w:val="es-ES"/>
        </w:rPr>
        <w:t>;</w:t>
      </w:r>
    </w:p>
    <w:p w14:paraId="6015CF77" w14:textId="71B3004E" w:rsidR="007050BD" w:rsidRPr="00FF6678" w:rsidRDefault="00FC2CD1" w:rsidP="00E744C4">
      <w:pPr>
        <w:pStyle w:val="enumlev2"/>
        <w:rPr>
          <w:lang w:val="es-ES"/>
        </w:rPr>
      </w:pPr>
      <w:r w:rsidRPr="00FF6678">
        <w:rPr>
          <w:lang w:val="es-ES"/>
        </w:rPr>
        <w:t>–</w:t>
      </w:r>
      <w:r w:rsidR="007050BD" w:rsidRPr="00FF6678">
        <w:rPr>
          <w:lang w:val="es-ES"/>
        </w:rPr>
        <w:tab/>
      </w:r>
      <w:r w:rsidR="00D953F9" w:rsidRPr="00FF6678">
        <w:rPr>
          <w:lang w:val="es-ES"/>
        </w:rPr>
        <w:t>sin consider</w:t>
      </w:r>
      <w:r w:rsidR="00C842D3" w:rsidRPr="00FF6678">
        <w:rPr>
          <w:lang w:val="es-ES"/>
        </w:rPr>
        <w:t>a</w:t>
      </w:r>
      <w:r w:rsidR="00D953F9" w:rsidRPr="00FF6678">
        <w:rPr>
          <w:lang w:val="es-ES"/>
        </w:rPr>
        <w:t>r el uso real en el momento de la investigación</w:t>
      </w:r>
      <w:r w:rsidR="007050BD" w:rsidRPr="00FF6678">
        <w:rPr>
          <w:lang w:val="es-ES"/>
        </w:rPr>
        <w:t>;</w:t>
      </w:r>
    </w:p>
    <w:p w14:paraId="3FC4E3CB" w14:textId="47AA47B1" w:rsidR="007050BD" w:rsidRPr="00FF6678" w:rsidRDefault="00FC2CD1" w:rsidP="00E744C4">
      <w:pPr>
        <w:pStyle w:val="enumlev2"/>
        <w:rPr>
          <w:lang w:val="es-ES"/>
        </w:rPr>
      </w:pPr>
      <w:r w:rsidRPr="00FF6678">
        <w:rPr>
          <w:lang w:val="es-ES"/>
        </w:rPr>
        <w:t>–</w:t>
      </w:r>
      <w:r w:rsidR="007050BD" w:rsidRPr="00FF6678">
        <w:rPr>
          <w:lang w:val="es-ES"/>
        </w:rPr>
        <w:tab/>
      </w:r>
      <w:r w:rsidR="00AF3962" w:rsidRPr="00FF6678">
        <w:rPr>
          <w:lang w:val="es-ES"/>
        </w:rPr>
        <w:t xml:space="preserve">sin </w:t>
      </w:r>
      <w:r w:rsidR="007A6AEF" w:rsidRPr="00FF6678">
        <w:rPr>
          <w:lang w:val="es-ES"/>
        </w:rPr>
        <w:t>tener en cuenta</w:t>
      </w:r>
      <w:r w:rsidR="00AF3962" w:rsidRPr="00FF6678">
        <w:rPr>
          <w:lang w:val="es-ES"/>
        </w:rPr>
        <w:t xml:space="preserve"> que el Registro Internacional de Frecuencias no reflejaría los satélites </w:t>
      </w:r>
      <w:r w:rsidR="007A6AEF" w:rsidRPr="00FF6678">
        <w:rPr>
          <w:lang w:val="es-ES"/>
        </w:rPr>
        <w:t>operativos</w:t>
      </w:r>
      <w:r w:rsidR="00AF3962" w:rsidRPr="00FF6678">
        <w:rPr>
          <w:lang w:val="es-ES"/>
        </w:rPr>
        <w:t xml:space="preserve"> reales ni las dificultades que este hecho generaría par</w:t>
      </w:r>
      <w:r w:rsidR="007A6AEF" w:rsidRPr="00FF6678">
        <w:rPr>
          <w:lang w:val="es-ES"/>
        </w:rPr>
        <w:t>a</w:t>
      </w:r>
      <w:r w:rsidR="00AF3962" w:rsidRPr="00FF6678">
        <w:rPr>
          <w:lang w:val="es-ES"/>
        </w:rPr>
        <w:t xml:space="preserve"> las </w:t>
      </w:r>
      <w:r w:rsidR="00AF3962" w:rsidRPr="00FF6678">
        <w:rPr>
          <w:lang w:val="es-ES"/>
        </w:rPr>
        <w:lastRenderedPageBreak/>
        <w:t>Administraciones que intentasen encontrar espacio para introducir redes de satélites nuevas</w:t>
      </w:r>
      <w:r w:rsidR="007050BD" w:rsidRPr="00FF6678">
        <w:rPr>
          <w:lang w:val="es-ES"/>
        </w:rPr>
        <w:t>;</w:t>
      </w:r>
    </w:p>
    <w:p w14:paraId="7F63BB3C" w14:textId="3EB12D91" w:rsidR="007050BD" w:rsidRPr="00FF6678" w:rsidRDefault="00FC2CD1" w:rsidP="00E744C4">
      <w:pPr>
        <w:pStyle w:val="enumlev2"/>
        <w:rPr>
          <w:lang w:val="es-ES"/>
        </w:rPr>
      </w:pPr>
      <w:r w:rsidRPr="00FF6678">
        <w:rPr>
          <w:lang w:val="es-ES"/>
        </w:rPr>
        <w:t>–</w:t>
      </w:r>
      <w:r w:rsidR="007050BD" w:rsidRPr="00FF6678">
        <w:rPr>
          <w:lang w:val="es-ES"/>
        </w:rPr>
        <w:tab/>
      </w:r>
      <w:r w:rsidR="002A454D" w:rsidRPr="00FF6678">
        <w:rPr>
          <w:lang w:val="es-ES"/>
        </w:rPr>
        <w:t>sin</w:t>
      </w:r>
      <w:r w:rsidR="00E77872" w:rsidRPr="00FF6678">
        <w:rPr>
          <w:lang w:val="es-ES"/>
        </w:rPr>
        <w:t xml:space="preserve"> contrib</w:t>
      </w:r>
      <w:r w:rsidR="002A454D" w:rsidRPr="00FF6678">
        <w:rPr>
          <w:lang w:val="es-ES"/>
        </w:rPr>
        <w:t>uir</w:t>
      </w:r>
      <w:r w:rsidR="00E77872" w:rsidRPr="00FF6678">
        <w:rPr>
          <w:lang w:val="es-ES"/>
        </w:rPr>
        <w:t xml:space="preserve"> a los esfuerzos de la UIT por eliminar las asignaciones no utilizadas del Registro Internacional de Frecuencias</w:t>
      </w:r>
      <w:r w:rsidR="007050BD" w:rsidRPr="00FF6678">
        <w:rPr>
          <w:lang w:val="es-ES"/>
        </w:rPr>
        <w:t>;</w:t>
      </w:r>
    </w:p>
    <w:p w14:paraId="3012DA7E" w14:textId="645BDBE3" w:rsidR="007050BD" w:rsidRPr="00FF6678" w:rsidRDefault="00FC2CD1" w:rsidP="00E744C4">
      <w:pPr>
        <w:pStyle w:val="enumlev2"/>
        <w:rPr>
          <w:lang w:val="es-ES"/>
        </w:rPr>
      </w:pPr>
      <w:r w:rsidRPr="00FF6678">
        <w:rPr>
          <w:lang w:val="es-ES"/>
        </w:rPr>
        <w:t>–</w:t>
      </w:r>
      <w:r w:rsidR="007050BD" w:rsidRPr="00FF6678">
        <w:rPr>
          <w:lang w:val="es-ES"/>
        </w:rPr>
        <w:tab/>
      </w:r>
      <w:r w:rsidR="002A454D" w:rsidRPr="00FF6678">
        <w:rPr>
          <w:lang w:val="es-ES"/>
        </w:rPr>
        <w:t xml:space="preserve">sin </w:t>
      </w:r>
      <w:r w:rsidR="00E77872" w:rsidRPr="00FF6678">
        <w:rPr>
          <w:lang w:val="es-ES"/>
        </w:rPr>
        <w:t>anima</w:t>
      </w:r>
      <w:r w:rsidR="002A454D" w:rsidRPr="00FF6678">
        <w:rPr>
          <w:lang w:val="es-ES"/>
        </w:rPr>
        <w:t>r</w:t>
      </w:r>
      <w:r w:rsidR="00E77872" w:rsidRPr="00FF6678">
        <w:rPr>
          <w:lang w:val="es-ES"/>
        </w:rPr>
        <w:t xml:space="preserve"> a las Administraciones a </w:t>
      </w:r>
      <w:r w:rsidR="007050BD" w:rsidRPr="00FF6678">
        <w:rPr>
          <w:lang w:val="es-ES"/>
        </w:rPr>
        <w:t>NO</w:t>
      </w:r>
      <w:r w:rsidR="00E77872" w:rsidRPr="00FF6678">
        <w:rPr>
          <w:lang w:val="es-ES"/>
        </w:rPr>
        <w:t xml:space="preserve"> inscribir las asignaciones nuevas en el Registro Internacional de Frecuencias aunque </w:t>
      </w:r>
      <w:r w:rsidR="002A454D" w:rsidRPr="00FF6678">
        <w:rPr>
          <w:lang w:val="es-ES"/>
        </w:rPr>
        <w:t xml:space="preserve">hubiera </w:t>
      </w:r>
      <w:r w:rsidR="00E77872" w:rsidRPr="00FF6678">
        <w:rPr>
          <w:lang w:val="es-ES"/>
        </w:rPr>
        <w:t>cambiado el uso real</w:t>
      </w:r>
      <w:r w:rsidR="007050BD" w:rsidRPr="00FF6678">
        <w:rPr>
          <w:lang w:val="es-ES"/>
        </w:rPr>
        <w:t>.</w:t>
      </w:r>
    </w:p>
    <w:p w14:paraId="5E54EA9D" w14:textId="42F70D31" w:rsidR="007050BD" w:rsidRPr="00FF6678" w:rsidRDefault="00E91EF7" w:rsidP="00E744C4">
      <w:pPr>
        <w:rPr>
          <w:lang w:val="es-ES"/>
        </w:rPr>
      </w:pPr>
      <w:r w:rsidRPr="00FF6678">
        <w:rPr>
          <w:lang w:val="es-ES"/>
        </w:rPr>
        <w:t xml:space="preserve">La aplicación por igual de un </w:t>
      </w:r>
      <w:r w:rsidR="004C540B" w:rsidRPr="00FF6678">
        <w:rPr>
          <w:lang w:val="es-ES"/>
        </w:rPr>
        <w:t xml:space="preserve">procedimiento </w:t>
      </w:r>
      <w:r w:rsidRPr="00FF6678">
        <w:rPr>
          <w:lang w:val="es-ES"/>
        </w:rPr>
        <w:t>nuev</w:t>
      </w:r>
      <w:r w:rsidR="004C540B" w:rsidRPr="00FF6678">
        <w:rPr>
          <w:lang w:val="es-ES"/>
        </w:rPr>
        <w:t>o</w:t>
      </w:r>
      <w:r w:rsidRPr="00FF6678">
        <w:rPr>
          <w:lang w:val="es-ES"/>
        </w:rPr>
        <w:t xml:space="preserve"> como </w:t>
      </w:r>
      <w:r w:rsidR="004C540B" w:rsidRPr="00FF6678">
        <w:rPr>
          <w:lang w:val="es-ES"/>
        </w:rPr>
        <w:t>e</w:t>
      </w:r>
      <w:r w:rsidRPr="00FF6678">
        <w:rPr>
          <w:lang w:val="es-ES"/>
        </w:rPr>
        <w:t>l descrit</w:t>
      </w:r>
      <w:r w:rsidR="004C540B" w:rsidRPr="00FF6678">
        <w:rPr>
          <w:lang w:val="es-ES"/>
        </w:rPr>
        <w:t>o</w:t>
      </w:r>
      <w:r w:rsidRPr="00FF6678">
        <w:rPr>
          <w:lang w:val="es-ES"/>
        </w:rPr>
        <w:t xml:space="preserve"> más arriba a todas </w:t>
      </w:r>
      <w:r w:rsidR="00867769" w:rsidRPr="00FF6678">
        <w:rPr>
          <w:lang w:val="es-ES"/>
        </w:rPr>
        <w:t xml:space="preserve">las </w:t>
      </w:r>
      <w:r w:rsidRPr="00FF6678">
        <w:rPr>
          <w:lang w:val="es-ES"/>
        </w:rPr>
        <w:t xml:space="preserve">notificaciones de todas las Administraciones repercutiría negativamente en </w:t>
      </w:r>
      <w:r w:rsidR="005C0866" w:rsidRPr="00FF6678">
        <w:rPr>
          <w:lang w:val="es-ES"/>
        </w:rPr>
        <w:t xml:space="preserve">las notificaciones para numerosas posiciones orbitales de múltiples </w:t>
      </w:r>
      <w:r w:rsidRPr="00FF6678">
        <w:rPr>
          <w:lang w:val="es-ES"/>
        </w:rPr>
        <w:t>Administraciones, pondría a las Administraciones en una situación difícil, impediría que el Registro Internacional de Frecuencias reflejara el uso real de los satélites, no contribuiría a eliminar las asignaciones no utilizadas del Registro Internacional y dificultaría el acceso de los nuevos operadores a los recursos de órbita y espectro</w:t>
      </w:r>
      <w:r w:rsidR="007050BD" w:rsidRPr="00FF6678">
        <w:rPr>
          <w:lang w:val="es-ES"/>
        </w:rPr>
        <w:t>.</w:t>
      </w:r>
    </w:p>
    <w:p w14:paraId="7AB976E0" w14:textId="26CBEDA5" w:rsidR="007050BD" w:rsidRPr="00FF6678" w:rsidRDefault="007050BD" w:rsidP="00E744C4">
      <w:pPr>
        <w:pStyle w:val="Heading1"/>
        <w:rPr>
          <w:lang w:val="es-ES"/>
        </w:rPr>
      </w:pPr>
      <w:r w:rsidRPr="00FF6678">
        <w:rPr>
          <w:lang w:val="es-ES"/>
        </w:rPr>
        <w:t>6</w:t>
      </w:r>
      <w:r w:rsidRPr="00FF6678">
        <w:rPr>
          <w:lang w:val="es-ES"/>
        </w:rPr>
        <w:tab/>
      </w:r>
      <w:r w:rsidR="000538B3" w:rsidRPr="00FF6678">
        <w:rPr>
          <w:lang w:val="es-ES"/>
        </w:rPr>
        <w:t xml:space="preserve">El funcionamiento no se </w:t>
      </w:r>
      <w:r w:rsidR="00B342F9" w:rsidRPr="00FF6678">
        <w:rPr>
          <w:lang w:val="es-ES"/>
        </w:rPr>
        <w:t>suspendió</w:t>
      </w:r>
      <w:r w:rsidR="000538B3" w:rsidRPr="00FF6678">
        <w:rPr>
          <w:lang w:val="es-ES"/>
        </w:rPr>
        <w:t xml:space="preserve"> en ningún momento</w:t>
      </w:r>
    </w:p>
    <w:p w14:paraId="38127A85" w14:textId="16043FCF" w:rsidR="007050BD" w:rsidRPr="00FF6678" w:rsidRDefault="00B342F9" w:rsidP="00E744C4">
      <w:pPr>
        <w:rPr>
          <w:lang w:val="es-ES"/>
        </w:rPr>
      </w:pPr>
      <w:r w:rsidRPr="00FF6678">
        <w:rPr>
          <w:lang w:val="es-ES"/>
        </w:rPr>
        <w:t xml:space="preserve">Cabe señalar que se argumentó que «en el momento del lanzamiento de AsiaSat 9, las asignaciones de frecuencias llevaban más de 21 meses en desuso». Se entiende que </w:t>
      </w:r>
      <w:r w:rsidR="00B12CB8" w:rsidRPr="00FF6678">
        <w:rPr>
          <w:lang w:val="es-ES"/>
        </w:rPr>
        <w:t>el per</w:t>
      </w:r>
      <w:r w:rsidR="00147906">
        <w:rPr>
          <w:lang w:val="es-ES"/>
        </w:rPr>
        <w:t>i</w:t>
      </w:r>
      <w:r w:rsidR="00B12CB8" w:rsidRPr="00FF6678">
        <w:rPr>
          <w:lang w:val="es-ES"/>
        </w:rPr>
        <w:t>odo de</w:t>
      </w:r>
      <w:r w:rsidRPr="00FF6678">
        <w:rPr>
          <w:lang w:val="es-ES"/>
        </w:rPr>
        <w:t xml:space="preserve"> 21 meses </w:t>
      </w:r>
      <w:r w:rsidR="00B12CB8" w:rsidRPr="00FF6678">
        <w:rPr>
          <w:lang w:val="es-ES"/>
        </w:rPr>
        <w:t xml:space="preserve">hace referencia </w:t>
      </w:r>
      <w:r w:rsidRPr="00FF6678">
        <w:rPr>
          <w:lang w:val="es-ES"/>
        </w:rPr>
        <w:t>al per</w:t>
      </w:r>
      <w:r w:rsidR="00147906">
        <w:rPr>
          <w:lang w:val="es-ES"/>
        </w:rPr>
        <w:t>i</w:t>
      </w:r>
      <w:r w:rsidRPr="00FF6678">
        <w:rPr>
          <w:lang w:val="es-ES"/>
        </w:rPr>
        <w:t xml:space="preserve">odo máximo de suspensión de una asignación en caso de incumplimiento de la obligación de notificar a la Oficina sobre la suspensión. Este hecho no es relevante para el caso de </w:t>
      </w:r>
      <w:r w:rsidR="007050BD" w:rsidRPr="00FF6678">
        <w:rPr>
          <w:lang w:val="es-ES"/>
        </w:rPr>
        <w:t xml:space="preserve">ASIASAT-AK, </w:t>
      </w:r>
      <w:r w:rsidRPr="00FF6678">
        <w:rPr>
          <w:lang w:val="es-ES"/>
        </w:rPr>
        <w:t>ASIASAT</w:t>
      </w:r>
      <w:r w:rsidR="007050BD" w:rsidRPr="00FF6678">
        <w:rPr>
          <w:lang w:val="es-ES"/>
        </w:rPr>
        <w:t xml:space="preserve">-AK1 </w:t>
      </w:r>
      <w:r w:rsidRPr="00FF6678">
        <w:rPr>
          <w:lang w:val="es-ES"/>
        </w:rPr>
        <w:t>y ASIASAT</w:t>
      </w:r>
      <w:r w:rsidR="005B569C">
        <w:rPr>
          <w:lang w:val="es-ES"/>
        </w:rPr>
        <w:t>-</w:t>
      </w:r>
      <w:r w:rsidR="007050BD" w:rsidRPr="00FF6678">
        <w:rPr>
          <w:lang w:val="es-ES"/>
        </w:rPr>
        <w:t xml:space="preserve">AKX </w:t>
      </w:r>
      <w:r w:rsidRPr="00FF6678">
        <w:rPr>
          <w:lang w:val="es-ES"/>
        </w:rPr>
        <w:t>porque</w:t>
      </w:r>
      <w:r w:rsidR="007050BD" w:rsidRPr="00FF6678">
        <w:rPr>
          <w:lang w:val="es-ES"/>
        </w:rPr>
        <w:t xml:space="preserve">: </w:t>
      </w:r>
    </w:p>
    <w:p w14:paraId="37F2FFA2" w14:textId="6FC2FE9A" w:rsidR="007050BD" w:rsidRPr="00FF6678" w:rsidRDefault="007050BD" w:rsidP="00E744C4">
      <w:pPr>
        <w:pStyle w:val="enumlev1"/>
        <w:rPr>
          <w:lang w:val="es-ES"/>
        </w:rPr>
      </w:pPr>
      <w:r w:rsidRPr="00FF6678">
        <w:rPr>
          <w:lang w:val="es-ES"/>
        </w:rPr>
        <w:t>1</w:t>
      </w:r>
      <w:r w:rsidRPr="00FF6678">
        <w:rPr>
          <w:lang w:val="es-ES"/>
        </w:rPr>
        <w:tab/>
      </w:r>
      <w:r w:rsidR="00B342F9" w:rsidRPr="00FF6678">
        <w:rPr>
          <w:lang w:val="es-ES"/>
        </w:rPr>
        <w:t xml:space="preserve">La ranura </w:t>
      </w:r>
      <w:r w:rsidRPr="00FF6678">
        <w:rPr>
          <w:lang w:val="es-ES"/>
        </w:rPr>
        <w:t>122</w:t>
      </w:r>
      <w:r w:rsidR="0042178E" w:rsidRPr="00FF6678">
        <w:rPr>
          <w:lang w:val="es-ES"/>
        </w:rPr>
        <w:t>°</w:t>
      </w:r>
      <w:r w:rsidR="0042178E">
        <w:rPr>
          <w:lang w:val="es-ES"/>
        </w:rPr>
        <w:t xml:space="preserve"> </w:t>
      </w:r>
      <w:r w:rsidRPr="00FF6678">
        <w:rPr>
          <w:lang w:val="es-ES"/>
        </w:rPr>
        <w:t xml:space="preserve">E </w:t>
      </w:r>
      <w:r w:rsidR="00B342F9" w:rsidRPr="00FF6678">
        <w:rPr>
          <w:lang w:val="es-ES"/>
        </w:rPr>
        <w:t xml:space="preserve">no ha estado nunca vacía desde la llegada de </w:t>
      </w:r>
      <w:r w:rsidRPr="00FF6678">
        <w:rPr>
          <w:lang w:val="es-ES"/>
        </w:rPr>
        <w:t xml:space="preserve">ASIASAT-G (Gorizont) </w:t>
      </w:r>
      <w:r w:rsidR="00B342F9" w:rsidRPr="00FF6678">
        <w:rPr>
          <w:lang w:val="es-ES"/>
        </w:rPr>
        <w:t xml:space="preserve">a la posición </w:t>
      </w:r>
      <w:r w:rsidRPr="00FF6678">
        <w:rPr>
          <w:lang w:val="es-ES"/>
        </w:rPr>
        <w:t>122</w:t>
      </w:r>
      <w:r w:rsidR="0042178E" w:rsidRPr="00FF6678">
        <w:rPr>
          <w:lang w:val="es-ES"/>
        </w:rPr>
        <w:t>°</w:t>
      </w:r>
      <w:r w:rsidR="0042178E">
        <w:rPr>
          <w:lang w:val="es-ES"/>
        </w:rPr>
        <w:t xml:space="preserve"> </w:t>
      </w:r>
      <w:r w:rsidRPr="00FF6678">
        <w:rPr>
          <w:lang w:val="es-ES"/>
        </w:rPr>
        <w:t xml:space="preserve">E </w:t>
      </w:r>
      <w:r w:rsidR="00B342F9" w:rsidRPr="00FF6678">
        <w:rPr>
          <w:lang w:val="es-ES"/>
        </w:rPr>
        <w:t>e</w:t>
      </w:r>
      <w:r w:rsidRPr="00FF6678">
        <w:rPr>
          <w:lang w:val="es-ES"/>
        </w:rPr>
        <w:t xml:space="preserve">n 1997. AsiaSat 4 </w:t>
      </w:r>
      <w:r w:rsidR="00B342F9" w:rsidRPr="00FF6678">
        <w:rPr>
          <w:lang w:val="es-ES"/>
        </w:rPr>
        <w:t xml:space="preserve">dejó la posición </w:t>
      </w:r>
      <w:r w:rsidRPr="00FF6678">
        <w:rPr>
          <w:lang w:val="es-ES"/>
        </w:rPr>
        <w:t>122</w:t>
      </w:r>
      <w:r w:rsidR="0042178E" w:rsidRPr="00FF6678">
        <w:rPr>
          <w:lang w:val="es-ES"/>
        </w:rPr>
        <w:t>°</w:t>
      </w:r>
      <w:r w:rsidR="0042178E">
        <w:rPr>
          <w:lang w:val="es-ES"/>
        </w:rPr>
        <w:t xml:space="preserve"> </w:t>
      </w:r>
      <w:r w:rsidRPr="00FF6678">
        <w:rPr>
          <w:lang w:val="es-ES"/>
        </w:rPr>
        <w:t xml:space="preserve">E </w:t>
      </w:r>
      <w:r w:rsidR="00B342F9" w:rsidRPr="00FF6678">
        <w:rPr>
          <w:lang w:val="es-ES"/>
        </w:rPr>
        <w:t>a finales de</w:t>
      </w:r>
      <w:r w:rsidRPr="00FF6678">
        <w:rPr>
          <w:lang w:val="es-ES"/>
        </w:rPr>
        <w:t xml:space="preserve"> 2017 </w:t>
      </w:r>
      <w:r w:rsidR="00B342F9" w:rsidRPr="00FF6678">
        <w:rPr>
          <w:lang w:val="es-ES"/>
        </w:rPr>
        <w:t xml:space="preserve">TRAS la puesta en servicio regular de </w:t>
      </w:r>
      <w:proofErr w:type="spellStart"/>
      <w:r w:rsidRPr="00FF6678">
        <w:rPr>
          <w:lang w:val="es-ES"/>
        </w:rPr>
        <w:t>AsiaSat</w:t>
      </w:r>
      <w:proofErr w:type="spellEnd"/>
      <w:r w:rsidRPr="00FF6678">
        <w:rPr>
          <w:lang w:val="es-ES"/>
        </w:rPr>
        <w:t xml:space="preserve"> 9 </w:t>
      </w:r>
      <w:r w:rsidR="00B342F9" w:rsidRPr="00FF6678">
        <w:rPr>
          <w:lang w:val="es-ES"/>
        </w:rPr>
        <w:t xml:space="preserve">en </w:t>
      </w:r>
      <w:r w:rsidRPr="00FF6678">
        <w:rPr>
          <w:lang w:val="es-ES"/>
        </w:rPr>
        <w:t>122</w:t>
      </w:r>
      <w:r w:rsidR="0042178E" w:rsidRPr="00FF6678">
        <w:rPr>
          <w:lang w:val="es-ES"/>
        </w:rPr>
        <w:t>°</w:t>
      </w:r>
      <w:r w:rsidR="0042178E">
        <w:rPr>
          <w:lang w:val="es-ES"/>
        </w:rPr>
        <w:t xml:space="preserve"> </w:t>
      </w:r>
      <w:r w:rsidRPr="00FF6678">
        <w:rPr>
          <w:lang w:val="es-ES"/>
        </w:rPr>
        <w:t xml:space="preserve">E. </w:t>
      </w:r>
      <w:r w:rsidR="00B342F9" w:rsidRPr="00FF6678">
        <w:rPr>
          <w:lang w:val="es-ES"/>
        </w:rPr>
        <w:t>En consecuencia, los debates sobre la suspensión no son perti</w:t>
      </w:r>
      <w:r w:rsidR="004A7635" w:rsidRPr="00FF6678">
        <w:rPr>
          <w:lang w:val="es-ES"/>
        </w:rPr>
        <w:t>n</w:t>
      </w:r>
      <w:r w:rsidR="00B342F9" w:rsidRPr="00FF6678">
        <w:rPr>
          <w:lang w:val="es-ES"/>
        </w:rPr>
        <w:t>entes</w:t>
      </w:r>
      <w:r w:rsidRPr="00FF6678">
        <w:rPr>
          <w:lang w:val="es-ES"/>
        </w:rPr>
        <w:t>.</w:t>
      </w:r>
    </w:p>
    <w:p w14:paraId="0045AFFD" w14:textId="29A73492" w:rsidR="007050BD" w:rsidRPr="00FF6678" w:rsidRDefault="007050BD" w:rsidP="00E744C4">
      <w:pPr>
        <w:pStyle w:val="enumlev1"/>
        <w:rPr>
          <w:lang w:val="es-ES"/>
        </w:rPr>
      </w:pPr>
      <w:r w:rsidRPr="00FF6678">
        <w:rPr>
          <w:lang w:val="es-ES"/>
        </w:rPr>
        <w:t>2</w:t>
      </w:r>
      <w:r w:rsidRPr="00FF6678">
        <w:rPr>
          <w:lang w:val="es-ES"/>
        </w:rPr>
        <w:tab/>
      </w:r>
      <w:r w:rsidR="00B342F9" w:rsidRPr="00FF6678">
        <w:rPr>
          <w:lang w:val="es-ES"/>
        </w:rPr>
        <w:t xml:space="preserve">Cualquier consideración relacionada con el uso previo de las asignaciones pondría en </w:t>
      </w:r>
      <w:r w:rsidR="004C540B" w:rsidRPr="00FF6678">
        <w:rPr>
          <w:lang w:val="es-ES"/>
        </w:rPr>
        <w:t xml:space="preserve">tela de juicio </w:t>
      </w:r>
      <w:r w:rsidR="00B342F9" w:rsidRPr="00FF6678">
        <w:rPr>
          <w:lang w:val="es-ES"/>
        </w:rPr>
        <w:t>la aplicación histórica del Reglamento de Radiocomun</w:t>
      </w:r>
      <w:r w:rsidR="003D2657" w:rsidRPr="00FF6678">
        <w:rPr>
          <w:lang w:val="es-ES"/>
        </w:rPr>
        <w:t>ic</w:t>
      </w:r>
      <w:r w:rsidR="00B342F9" w:rsidRPr="00FF6678">
        <w:rPr>
          <w:lang w:val="es-ES"/>
        </w:rPr>
        <w:t>aciones, lo que debería evitarse de acuerdo con los principios publicados de la Junta</w:t>
      </w:r>
      <w:r w:rsidRPr="00FF6678">
        <w:rPr>
          <w:lang w:val="es-ES"/>
        </w:rPr>
        <w:t>.</w:t>
      </w:r>
    </w:p>
    <w:p w14:paraId="0C7D30FD" w14:textId="0E9889E7" w:rsidR="007050BD" w:rsidRPr="00FF6678" w:rsidRDefault="007050BD" w:rsidP="00E744C4">
      <w:pPr>
        <w:pStyle w:val="enumlev1"/>
        <w:rPr>
          <w:lang w:val="es-ES"/>
        </w:rPr>
      </w:pPr>
      <w:r w:rsidRPr="00FF6678">
        <w:rPr>
          <w:lang w:val="es-ES"/>
        </w:rPr>
        <w:t>3</w:t>
      </w:r>
      <w:r w:rsidRPr="00FF6678">
        <w:rPr>
          <w:lang w:val="es-ES"/>
        </w:rPr>
        <w:tab/>
      </w:r>
      <w:r w:rsidR="00EA79F6" w:rsidRPr="00FF6678">
        <w:rPr>
          <w:lang w:val="es-ES"/>
        </w:rPr>
        <w:t>En consideración de casos previos similares en línea con estos principios, la decisión de la Junta establecía que se debían mantener las asignaciones que se ha demostrado que estaban en uso en el momento de iniciar la investigación, sin tener en cuenta la utilización pasada</w:t>
      </w:r>
      <w:r w:rsidRPr="00FF6678">
        <w:rPr>
          <w:lang w:val="es-ES"/>
        </w:rPr>
        <w:t>.</w:t>
      </w:r>
    </w:p>
    <w:p w14:paraId="39CD169B" w14:textId="167BF550" w:rsidR="007050BD" w:rsidRPr="00FF6678" w:rsidRDefault="00E759B2" w:rsidP="00E744C4">
      <w:pPr>
        <w:rPr>
          <w:lang w:val="es-ES"/>
        </w:rPr>
      </w:pPr>
      <w:r w:rsidRPr="00FF6678">
        <w:rPr>
          <w:lang w:val="es-ES"/>
        </w:rPr>
        <w:t>Dado que la posición orbital no ha quedad</w:t>
      </w:r>
      <w:r w:rsidR="009B49FC" w:rsidRPr="00FF6678">
        <w:rPr>
          <w:lang w:val="es-ES"/>
        </w:rPr>
        <w:t>o</w:t>
      </w:r>
      <w:r w:rsidRPr="00FF6678">
        <w:rPr>
          <w:lang w:val="es-ES"/>
        </w:rPr>
        <w:t xml:space="preserve"> nunca vacante desde que comenzó a ser utilizada en</w:t>
      </w:r>
      <w:r w:rsidR="003C419A">
        <w:rPr>
          <w:lang w:val="es-ES"/>
        </w:rPr>
        <w:t> </w:t>
      </w:r>
      <w:r w:rsidR="007050BD" w:rsidRPr="00FF6678">
        <w:rPr>
          <w:lang w:val="es-ES"/>
        </w:rPr>
        <w:t xml:space="preserve">1997 </w:t>
      </w:r>
      <w:r w:rsidRPr="00FF6678">
        <w:rPr>
          <w:lang w:val="es-ES"/>
        </w:rPr>
        <w:t xml:space="preserve">y dado que se ha demostrado que, en el momento en que se aplicó el número </w:t>
      </w:r>
      <w:r w:rsidR="007050BD" w:rsidRPr="00FF6678">
        <w:rPr>
          <w:b/>
          <w:lang w:val="es-ES"/>
        </w:rPr>
        <w:t>13.6</w:t>
      </w:r>
      <w:r w:rsidRPr="00FF6678">
        <w:rPr>
          <w:lang w:val="es-ES"/>
        </w:rPr>
        <w:t xml:space="preserve"> del RR, el satélite </w:t>
      </w:r>
      <w:r w:rsidR="007050BD" w:rsidRPr="00FF6678">
        <w:rPr>
          <w:lang w:val="es-ES"/>
        </w:rPr>
        <w:t xml:space="preserve">AsiaSat 9 </w:t>
      </w:r>
      <w:r w:rsidRPr="00FF6678">
        <w:rPr>
          <w:lang w:val="es-ES"/>
        </w:rPr>
        <w:t xml:space="preserve">ya estaba utilizando todas las asignaciones a la red notificadas, las cuales continúan en uso de conformidad con las características notificadas, esta Administración entiende que, a tenor de los principios publicados para tramitación de estos casos y de acuerdo con las decisiones previas en casos similares, las asignaciones a las redes de satélites </w:t>
      </w:r>
      <w:r w:rsidR="007050BD" w:rsidRPr="00FF6678">
        <w:rPr>
          <w:lang w:val="es-ES"/>
        </w:rPr>
        <w:t xml:space="preserve">ASIASAT-AK, </w:t>
      </w:r>
      <w:r w:rsidRPr="00FF6678">
        <w:rPr>
          <w:lang w:val="es-ES"/>
        </w:rPr>
        <w:t>ASIASAT</w:t>
      </w:r>
      <w:r w:rsidR="007050BD" w:rsidRPr="00FF6678">
        <w:rPr>
          <w:lang w:val="es-ES"/>
        </w:rPr>
        <w:t xml:space="preserve">-AK1 </w:t>
      </w:r>
      <w:r w:rsidRPr="00FF6678">
        <w:rPr>
          <w:lang w:val="es-ES"/>
        </w:rPr>
        <w:t>y ASIASAT</w:t>
      </w:r>
      <w:r w:rsidR="0042178E">
        <w:rPr>
          <w:lang w:val="es-ES"/>
        </w:rPr>
        <w:t>-</w:t>
      </w:r>
      <w:r w:rsidR="007050BD" w:rsidRPr="00FF6678">
        <w:rPr>
          <w:lang w:val="es-ES"/>
        </w:rPr>
        <w:t xml:space="preserve">AKX </w:t>
      </w:r>
      <w:r w:rsidRPr="00FF6678">
        <w:rPr>
          <w:lang w:val="es-ES"/>
        </w:rPr>
        <w:t>en cuestión cumpl</w:t>
      </w:r>
      <w:r w:rsidR="00B12CB8" w:rsidRPr="00FF6678">
        <w:rPr>
          <w:lang w:val="es-ES"/>
        </w:rPr>
        <w:t>en</w:t>
      </w:r>
      <w:r w:rsidRPr="00FF6678">
        <w:rPr>
          <w:lang w:val="es-ES"/>
        </w:rPr>
        <w:t xml:space="preserve"> todos los requisitos</w:t>
      </w:r>
      <w:r w:rsidR="00B12CB8" w:rsidRPr="00FF6678">
        <w:rPr>
          <w:lang w:val="es-ES"/>
        </w:rPr>
        <w:t xml:space="preserve"> para su mantenimiento</w:t>
      </w:r>
      <w:r w:rsidR="007050BD" w:rsidRPr="00FF6678">
        <w:rPr>
          <w:lang w:val="es-ES"/>
        </w:rPr>
        <w:t>.</w:t>
      </w:r>
    </w:p>
    <w:p w14:paraId="0BE8FF1C" w14:textId="2767BEE3" w:rsidR="007050BD" w:rsidRPr="00FF6678" w:rsidRDefault="007050BD" w:rsidP="00E744C4">
      <w:pPr>
        <w:pStyle w:val="Heading1"/>
        <w:rPr>
          <w:lang w:val="es-ES"/>
        </w:rPr>
      </w:pPr>
      <w:r w:rsidRPr="00FF6678">
        <w:rPr>
          <w:lang w:val="es-ES"/>
        </w:rPr>
        <w:t>7</w:t>
      </w:r>
      <w:r w:rsidRPr="00FF6678">
        <w:rPr>
          <w:lang w:val="es-ES"/>
        </w:rPr>
        <w:tab/>
      </w:r>
      <w:r w:rsidR="009B49FC" w:rsidRPr="00FF6678">
        <w:rPr>
          <w:lang w:val="es-ES"/>
        </w:rPr>
        <w:t>Bandas de frecuencias no notificadas en redes de satélites posteriores</w:t>
      </w:r>
    </w:p>
    <w:p w14:paraId="048F9251" w14:textId="795C9457" w:rsidR="007050BD" w:rsidRPr="00FF6678" w:rsidRDefault="00D26027" w:rsidP="00E744C4">
      <w:pPr>
        <w:rPr>
          <w:lang w:val="es-ES"/>
        </w:rPr>
      </w:pPr>
      <w:r w:rsidRPr="00FF6678">
        <w:rPr>
          <w:lang w:val="es-ES"/>
        </w:rPr>
        <w:t xml:space="preserve">Cuando las Administraciones toman decisiones sobre el desarrollo y mantenimiento de sus recursos de órbita y espectro, </w:t>
      </w:r>
      <w:r w:rsidR="005757BF" w:rsidRPr="00FF6678">
        <w:rPr>
          <w:lang w:val="es-ES"/>
        </w:rPr>
        <w:t>se rigen por la</w:t>
      </w:r>
      <w:r w:rsidRPr="00FF6678">
        <w:rPr>
          <w:lang w:val="es-ES"/>
        </w:rPr>
        <w:t xml:space="preserve"> buena fe </w:t>
      </w:r>
      <w:r w:rsidR="005757BF" w:rsidRPr="00FF6678">
        <w:rPr>
          <w:lang w:val="es-ES"/>
        </w:rPr>
        <w:t xml:space="preserve">y por el cumplimiento de </w:t>
      </w:r>
      <w:r w:rsidRPr="00FF6678">
        <w:rPr>
          <w:lang w:val="es-ES"/>
        </w:rPr>
        <w:t xml:space="preserve">los principios y </w:t>
      </w:r>
      <w:r w:rsidR="004C540B" w:rsidRPr="00FF6678">
        <w:rPr>
          <w:lang w:val="es-ES"/>
        </w:rPr>
        <w:t xml:space="preserve">procedimientos </w:t>
      </w:r>
      <w:r w:rsidRPr="00FF6678">
        <w:rPr>
          <w:lang w:val="es-ES"/>
        </w:rPr>
        <w:t>de la UI</w:t>
      </w:r>
      <w:r w:rsidR="005757BF" w:rsidRPr="00FF6678">
        <w:rPr>
          <w:lang w:val="es-ES"/>
        </w:rPr>
        <w:t>T</w:t>
      </w:r>
      <w:r w:rsidRPr="00FF6678">
        <w:rPr>
          <w:lang w:val="es-ES"/>
        </w:rPr>
        <w:t xml:space="preserve"> que les han sido anunciados. Si la UIT aplicara principios o </w:t>
      </w:r>
      <w:r w:rsidR="004C540B" w:rsidRPr="00FF6678">
        <w:rPr>
          <w:lang w:val="es-ES"/>
        </w:rPr>
        <w:t xml:space="preserve">procedimientos </w:t>
      </w:r>
      <w:r w:rsidRPr="00FF6678">
        <w:rPr>
          <w:lang w:val="es-ES"/>
        </w:rPr>
        <w:t xml:space="preserve">distintos de los anunciados a las Administraciones, </w:t>
      </w:r>
      <w:r w:rsidR="000E77D4">
        <w:rPr>
          <w:lang w:val="es-ES"/>
        </w:rPr>
        <w:t>é</w:t>
      </w:r>
      <w:r w:rsidRPr="00FF6678">
        <w:rPr>
          <w:lang w:val="es-ES"/>
        </w:rPr>
        <w:t>stas no podrían adoptar decisiones correctas sobre el mantenimiento de sus recursos de órbita y espectro.</w:t>
      </w:r>
    </w:p>
    <w:p w14:paraId="12ECE94C" w14:textId="62B27441" w:rsidR="007050BD" w:rsidRPr="00FF6678" w:rsidRDefault="005757BF" w:rsidP="00E744C4">
      <w:pPr>
        <w:rPr>
          <w:lang w:val="es-ES"/>
        </w:rPr>
      </w:pPr>
      <w:r w:rsidRPr="00FF6678">
        <w:rPr>
          <w:lang w:val="es-ES"/>
        </w:rPr>
        <w:lastRenderedPageBreak/>
        <w:t xml:space="preserve">El </w:t>
      </w:r>
      <w:r w:rsidR="00773598" w:rsidRPr="00FF6678">
        <w:rPr>
          <w:lang w:val="es-ES"/>
        </w:rPr>
        <w:t xml:space="preserve">asunto </w:t>
      </w:r>
      <w:r w:rsidRPr="00FF6678">
        <w:rPr>
          <w:lang w:val="es-ES"/>
        </w:rPr>
        <w:t>de las asignaciones a</w:t>
      </w:r>
      <w:r w:rsidR="007050BD" w:rsidRPr="00FF6678">
        <w:rPr>
          <w:lang w:val="es-ES"/>
        </w:rPr>
        <w:t xml:space="preserve"> ASIASAT-AK, ASIASAT-AK1 </w:t>
      </w:r>
      <w:r w:rsidRPr="00FF6678">
        <w:rPr>
          <w:lang w:val="es-ES"/>
        </w:rPr>
        <w:t>y</w:t>
      </w:r>
      <w:r w:rsidR="007050BD" w:rsidRPr="00FF6678">
        <w:rPr>
          <w:lang w:val="es-ES"/>
        </w:rPr>
        <w:t xml:space="preserve"> ASIASAT-AKX </w:t>
      </w:r>
      <w:r w:rsidR="00773598" w:rsidRPr="00FF6678">
        <w:rPr>
          <w:lang w:val="es-ES"/>
        </w:rPr>
        <w:t xml:space="preserve">surgió </w:t>
      </w:r>
      <w:r w:rsidRPr="00FF6678">
        <w:rPr>
          <w:lang w:val="es-ES"/>
        </w:rPr>
        <w:t xml:space="preserve">cuando esta Administración emitió una </w:t>
      </w:r>
      <w:r w:rsidR="00773598" w:rsidRPr="00FF6678">
        <w:rPr>
          <w:lang w:val="es-ES"/>
        </w:rPr>
        <w:t>notificación</w:t>
      </w:r>
      <w:r w:rsidRPr="00FF6678">
        <w:rPr>
          <w:lang w:val="es-ES"/>
        </w:rPr>
        <w:t xml:space="preserve"> para la parte de la banda Ka correspondiente a la red de satélites ASATSAT-AAA, debido al lanzamiento del satélite </w:t>
      </w:r>
      <w:r w:rsidR="007050BD" w:rsidRPr="00FF6678">
        <w:rPr>
          <w:lang w:val="es-ES"/>
        </w:rPr>
        <w:t>AsiaSat</w:t>
      </w:r>
      <w:r w:rsidRPr="00FF6678">
        <w:rPr>
          <w:lang w:val="es-ES"/>
        </w:rPr>
        <w:t xml:space="preserve">, que fue el primer satélite en utilizar la banda Ka en esta posición. Anteriormente se habían efectuado </w:t>
      </w:r>
      <w:r w:rsidR="00773598" w:rsidRPr="00FF6678">
        <w:rPr>
          <w:lang w:val="es-ES"/>
        </w:rPr>
        <w:t>c</w:t>
      </w:r>
      <w:r w:rsidRPr="00FF6678">
        <w:rPr>
          <w:lang w:val="es-ES"/>
        </w:rPr>
        <w:t xml:space="preserve">omunicaciones respecto de la banda Ka pero, dado que ningún satélite de la banda Ka </w:t>
      </w:r>
      <w:r w:rsidR="00773598" w:rsidRPr="00FF6678">
        <w:rPr>
          <w:lang w:val="es-ES"/>
        </w:rPr>
        <w:t>había ocupado</w:t>
      </w:r>
      <w:r w:rsidRPr="00FF6678">
        <w:rPr>
          <w:lang w:val="es-ES"/>
        </w:rPr>
        <w:t xml:space="preserve"> esta posición hasta el lanzamiento de </w:t>
      </w:r>
      <w:r w:rsidR="007050BD" w:rsidRPr="00FF6678">
        <w:rPr>
          <w:lang w:val="es-ES"/>
        </w:rPr>
        <w:t xml:space="preserve">AsiaSat 9, </w:t>
      </w:r>
      <w:r w:rsidRPr="00FF6678">
        <w:rPr>
          <w:lang w:val="es-ES"/>
        </w:rPr>
        <w:t xml:space="preserve">esta Administración no comunicó ni declaró que se había empezado a utilizar la banda Ka en estas </w:t>
      </w:r>
      <w:r w:rsidR="00F17679" w:rsidRPr="00FF6678">
        <w:rPr>
          <w:lang w:val="es-ES"/>
        </w:rPr>
        <w:t>asignaciones</w:t>
      </w:r>
      <w:r w:rsidRPr="00FF6678">
        <w:rPr>
          <w:lang w:val="es-ES"/>
        </w:rPr>
        <w:t xml:space="preserve"> y, por consiguiente, caducaron y se suprimieron</w:t>
      </w:r>
      <w:r w:rsidR="007050BD" w:rsidRPr="00FF6678">
        <w:rPr>
          <w:lang w:val="es-ES"/>
        </w:rPr>
        <w:t>.</w:t>
      </w:r>
    </w:p>
    <w:p w14:paraId="25BEC11B" w14:textId="07B56B28" w:rsidR="007050BD" w:rsidRPr="00FF6678" w:rsidRDefault="004225A8" w:rsidP="00E744C4">
      <w:pPr>
        <w:rPr>
          <w:lang w:val="es-ES"/>
        </w:rPr>
      </w:pPr>
      <w:r w:rsidRPr="00FF6678">
        <w:rPr>
          <w:lang w:val="es-ES"/>
        </w:rPr>
        <w:t>La</w:t>
      </w:r>
      <w:r w:rsidR="007050BD" w:rsidRPr="00FF6678">
        <w:rPr>
          <w:lang w:val="es-ES"/>
        </w:rPr>
        <w:t xml:space="preserve"> CRC </w:t>
      </w:r>
      <w:r w:rsidRPr="00FF6678">
        <w:rPr>
          <w:lang w:val="es-ES"/>
        </w:rPr>
        <w:t xml:space="preserve">de </w:t>
      </w:r>
      <w:r w:rsidR="007050BD" w:rsidRPr="00FF6678">
        <w:rPr>
          <w:lang w:val="es-ES"/>
        </w:rPr>
        <w:t xml:space="preserve">ASIASAT-AAA </w:t>
      </w:r>
      <w:r w:rsidRPr="00FF6678">
        <w:rPr>
          <w:lang w:val="es-ES"/>
        </w:rPr>
        <w:t xml:space="preserve">también contiene asignaciones en otras bandas de frecuencias, entre las que figuran las asignaciones que </w:t>
      </w:r>
      <w:r w:rsidR="004C540B" w:rsidRPr="00FF6678">
        <w:rPr>
          <w:lang w:val="es-ES"/>
        </w:rPr>
        <w:t>la Oficina ponía en tela de juicio</w:t>
      </w:r>
      <w:r w:rsidRPr="00FF6678">
        <w:rPr>
          <w:lang w:val="es-ES"/>
        </w:rPr>
        <w:t xml:space="preserve">. Sin embargo, dado que estas bandas de frecuencias ya estaban cubiertas por las asignaciones en redes de satélites que </w:t>
      </w:r>
      <w:r w:rsidR="00F17679" w:rsidRPr="00FF6678">
        <w:rPr>
          <w:lang w:val="es-ES"/>
        </w:rPr>
        <w:t>se habían inscrito</w:t>
      </w:r>
      <w:r w:rsidRPr="00FF6678">
        <w:rPr>
          <w:lang w:val="es-ES"/>
        </w:rPr>
        <w:t xml:space="preserve"> </w:t>
      </w:r>
      <w:r w:rsidR="00F17679" w:rsidRPr="00FF6678">
        <w:rPr>
          <w:lang w:val="es-ES"/>
        </w:rPr>
        <w:t xml:space="preserve">previamente </w:t>
      </w:r>
      <w:r w:rsidRPr="00FF6678">
        <w:rPr>
          <w:lang w:val="es-ES"/>
        </w:rPr>
        <w:t>en el Registro Internacional de Frecuencias, esta Administración decidió no notificar estas asignaciones otra vez</w:t>
      </w:r>
      <w:r w:rsidR="007050BD" w:rsidRPr="00FF6678">
        <w:rPr>
          <w:lang w:val="es-ES"/>
        </w:rPr>
        <w:t>.</w:t>
      </w:r>
    </w:p>
    <w:p w14:paraId="22030100" w14:textId="1D26249E" w:rsidR="007050BD" w:rsidRPr="00FF6678" w:rsidRDefault="00CE26BB" w:rsidP="00E744C4">
      <w:pPr>
        <w:rPr>
          <w:lang w:val="es-ES"/>
        </w:rPr>
      </w:pPr>
      <w:r w:rsidRPr="00FF6678">
        <w:rPr>
          <w:lang w:val="es-ES"/>
        </w:rPr>
        <w:t xml:space="preserve">El satélite </w:t>
      </w:r>
      <w:r w:rsidR="007050BD" w:rsidRPr="00FF6678">
        <w:rPr>
          <w:lang w:val="es-ES"/>
        </w:rPr>
        <w:t xml:space="preserve">AsiaSat 9 </w:t>
      </w:r>
      <w:r w:rsidRPr="00FF6678">
        <w:rPr>
          <w:lang w:val="es-ES"/>
        </w:rPr>
        <w:t>se construyó como satélite de sustitución para la posición</w:t>
      </w:r>
      <w:r w:rsidR="007050BD" w:rsidRPr="00FF6678">
        <w:rPr>
          <w:lang w:val="es-ES"/>
        </w:rPr>
        <w:t xml:space="preserve"> 122° E</w:t>
      </w:r>
      <w:r w:rsidRPr="00FF6678">
        <w:rPr>
          <w:lang w:val="es-ES"/>
        </w:rPr>
        <w:t xml:space="preserve">, que es la que ocupan todas las redes de satélites </w:t>
      </w:r>
      <w:r w:rsidR="007050BD" w:rsidRPr="00FF6678">
        <w:rPr>
          <w:lang w:val="es-ES"/>
        </w:rPr>
        <w:t xml:space="preserve">ASIASAT </w:t>
      </w:r>
      <w:r w:rsidRPr="00FF6678">
        <w:rPr>
          <w:lang w:val="es-ES"/>
        </w:rPr>
        <w:t xml:space="preserve">en cuestión. Este satélite, que ya estaba en órbita antes de que se iniciara la investigación con arreglo al número </w:t>
      </w:r>
      <w:r w:rsidR="007050BD" w:rsidRPr="00FF6678">
        <w:rPr>
          <w:b/>
          <w:lang w:val="es-ES"/>
        </w:rPr>
        <w:t>13.6</w:t>
      </w:r>
      <w:r w:rsidR="007050BD" w:rsidRPr="00FF6678">
        <w:rPr>
          <w:lang w:val="es-ES"/>
        </w:rPr>
        <w:t xml:space="preserve"> </w:t>
      </w:r>
      <w:r w:rsidRPr="00FF6678">
        <w:rPr>
          <w:lang w:val="es-ES"/>
        </w:rPr>
        <w:t xml:space="preserve">del RR y que </w:t>
      </w:r>
      <w:r w:rsidR="00F17679" w:rsidRPr="00FF6678">
        <w:rPr>
          <w:lang w:val="es-ES"/>
        </w:rPr>
        <w:t xml:space="preserve">está previsto </w:t>
      </w:r>
      <w:r w:rsidRPr="00FF6678">
        <w:rPr>
          <w:lang w:val="es-ES"/>
        </w:rPr>
        <w:t>que permane</w:t>
      </w:r>
      <w:r w:rsidR="00F17679" w:rsidRPr="00FF6678">
        <w:rPr>
          <w:lang w:val="es-ES"/>
        </w:rPr>
        <w:t>zca</w:t>
      </w:r>
      <w:r w:rsidRPr="00FF6678">
        <w:rPr>
          <w:lang w:val="es-ES"/>
        </w:rPr>
        <w:t xml:space="preserve"> en esa posición durante muchos año</w:t>
      </w:r>
      <w:r w:rsidR="00CB0324" w:rsidRPr="00FF6678">
        <w:rPr>
          <w:lang w:val="es-ES"/>
        </w:rPr>
        <w:t>s</w:t>
      </w:r>
      <w:r w:rsidRPr="00FF6678">
        <w:rPr>
          <w:lang w:val="es-ES"/>
        </w:rPr>
        <w:t>, ha demostrado que explota todas las asignaciones que la Oficina</w:t>
      </w:r>
      <w:r w:rsidR="00C072FC" w:rsidRPr="00FF6678">
        <w:rPr>
          <w:lang w:val="es-ES"/>
        </w:rPr>
        <w:t xml:space="preserve"> pone en tela de juicio</w:t>
      </w:r>
      <w:r w:rsidR="007050BD" w:rsidRPr="00FF6678">
        <w:rPr>
          <w:lang w:val="es-ES"/>
        </w:rPr>
        <w:t>.</w:t>
      </w:r>
    </w:p>
    <w:p w14:paraId="684A2ED2" w14:textId="627BC485" w:rsidR="007050BD" w:rsidRPr="00FF6678" w:rsidRDefault="006C2DF6" w:rsidP="00E744C4">
      <w:pPr>
        <w:rPr>
          <w:lang w:val="es-ES"/>
        </w:rPr>
      </w:pPr>
      <w:r w:rsidRPr="00FF6678">
        <w:rPr>
          <w:lang w:val="es-ES"/>
        </w:rPr>
        <w:t>Cuando esta Administración notificó la red de satélites</w:t>
      </w:r>
      <w:r w:rsidR="00C072FC" w:rsidRPr="00FF6678">
        <w:rPr>
          <w:lang w:val="es-ES"/>
        </w:rPr>
        <w:t xml:space="preserve"> ASIASAT-AAA</w:t>
      </w:r>
      <w:r w:rsidRPr="00FF6678">
        <w:rPr>
          <w:lang w:val="es-ES"/>
        </w:rPr>
        <w:t>, lo hizo de buena fe y con arreglo a los principios de la UIT publicados, según los cuales no sería necesario notificar las asignaciones q</w:t>
      </w:r>
      <w:r w:rsidR="000920EE" w:rsidRPr="00FF6678">
        <w:rPr>
          <w:lang w:val="es-ES"/>
        </w:rPr>
        <w:t>ue se superponen con las asignaciones ya inscritas en el Registro Internacional de Frecuencias. Ahora que ya ha transcurrido el per</w:t>
      </w:r>
      <w:r w:rsidR="00147906">
        <w:rPr>
          <w:lang w:val="es-ES"/>
        </w:rPr>
        <w:t>i</w:t>
      </w:r>
      <w:r w:rsidR="000920EE" w:rsidRPr="00FF6678">
        <w:rPr>
          <w:lang w:val="es-ES"/>
        </w:rPr>
        <w:t xml:space="preserve">odo reglamentario de la red de satélites </w:t>
      </w:r>
      <w:r w:rsidR="007050BD" w:rsidRPr="00FF6678">
        <w:rPr>
          <w:lang w:val="es-ES"/>
        </w:rPr>
        <w:t xml:space="preserve">ASIASAT-AAA </w:t>
      </w:r>
      <w:r w:rsidR="000920EE" w:rsidRPr="00FF6678">
        <w:rPr>
          <w:lang w:val="es-ES"/>
        </w:rPr>
        <w:t xml:space="preserve">para notificar y poner en servicio todas las asignaciones no notificadas y puestas en servicio previamente, si se suprimieran las asignaciones a las redes </w:t>
      </w:r>
      <w:r w:rsidR="007050BD" w:rsidRPr="00FF6678">
        <w:rPr>
          <w:lang w:val="es-ES"/>
        </w:rPr>
        <w:t xml:space="preserve">ASIASAT-AK, ASIASAT-AK1 </w:t>
      </w:r>
      <w:r w:rsidR="00E97D4A" w:rsidRPr="00FF6678">
        <w:rPr>
          <w:lang w:val="es-ES"/>
        </w:rPr>
        <w:t>y</w:t>
      </w:r>
      <w:r w:rsidR="007050BD" w:rsidRPr="00FF6678">
        <w:rPr>
          <w:lang w:val="es-ES"/>
        </w:rPr>
        <w:t xml:space="preserve"> ASIASAT-AKX </w:t>
      </w:r>
      <w:r w:rsidR="000920EE" w:rsidRPr="00FF6678">
        <w:rPr>
          <w:lang w:val="es-ES"/>
        </w:rPr>
        <w:t>en cuestión (contraviniendo l</w:t>
      </w:r>
      <w:r w:rsidR="004C540B" w:rsidRPr="00FF6678">
        <w:rPr>
          <w:lang w:val="es-ES"/>
        </w:rPr>
        <w:t xml:space="preserve">os procedimientos </w:t>
      </w:r>
      <w:r w:rsidR="000920EE" w:rsidRPr="00FF6678">
        <w:rPr>
          <w:lang w:val="es-ES"/>
        </w:rPr>
        <w:t xml:space="preserve">anteriores de la UIT), esta Administración no solo perdería las asignaciones en estas redes de satélites, sino que también perdería la oportunidad de notificar las asignaciones que se solapan en la red de satélites </w:t>
      </w:r>
      <w:r w:rsidR="007050BD" w:rsidRPr="00FF6678">
        <w:rPr>
          <w:lang w:val="es-ES"/>
        </w:rPr>
        <w:t>ASIASAT-AAA.</w:t>
      </w:r>
    </w:p>
    <w:p w14:paraId="00F3159F" w14:textId="1B176D41" w:rsidR="007050BD" w:rsidRPr="00FF6678" w:rsidRDefault="007050BD" w:rsidP="00E744C4">
      <w:pPr>
        <w:pStyle w:val="Heading1"/>
        <w:rPr>
          <w:lang w:val="es-ES"/>
        </w:rPr>
      </w:pPr>
      <w:r w:rsidRPr="00FF6678">
        <w:rPr>
          <w:lang w:val="es-ES"/>
        </w:rPr>
        <w:t>8</w:t>
      </w:r>
      <w:r w:rsidRPr="00FF6678">
        <w:rPr>
          <w:lang w:val="es-ES"/>
        </w:rPr>
        <w:tab/>
      </w:r>
      <w:r w:rsidR="00DE52D7" w:rsidRPr="00FF6678">
        <w:rPr>
          <w:lang w:val="es-ES"/>
        </w:rPr>
        <w:t>La buena situación de las asignaciones en cuestión en el Registro Internacional de Frecuencias</w:t>
      </w:r>
    </w:p>
    <w:p w14:paraId="08911463" w14:textId="45118646" w:rsidR="007050BD" w:rsidRPr="00FF6678" w:rsidRDefault="007050BD" w:rsidP="00E744C4">
      <w:pPr>
        <w:pStyle w:val="enumlev1"/>
        <w:rPr>
          <w:lang w:val="es-ES"/>
        </w:rPr>
      </w:pPr>
      <w:r w:rsidRPr="00FF6678">
        <w:rPr>
          <w:b/>
          <w:bCs/>
          <w:lang w:val="es-ES"/>
        </w:rPr>
        <w:t>a)</w:t>
      </w:r>
      <w:r w:rsidRPr="00FF6678">
        <w:rPr>
          <w:b/>
          <w:bCs/>
          <w:lang w:val="es-ES"/>
        </w:rPr>
        <w:tab/>
      </w:r>
      <w:r w:rsidR="00896FCA" w:rsidRPr="00FF6678">
        <w:rPr>
          <w:b/>
          <w:bCs/>
          <w:lang w:val="es-ES"/>
        </w:rPr>
        <w:t>ASIASAT-AK, ASIASAT-AK1 y ASIASAT-AKX llevan más de 15 años inscritas en el Registro Internacional</w:t>
      </w:r>
    </w:p>
    <w:p w14:paraId="05710095" w14:textId="00CBC3B3" w:rsidR="00896FCA" w:rsidRPr="00FF6678" w:rsidRDefault="007050BD" w:rsidP="00E744C4">
      <w:pPr>
        <w:pStyle w:val="enumlev1"/>
        <w:rPr>
          <w:lang w:val="es-ES"/>
        </w:rPr>
      </w:pPr>
      <w:r w:rsidRPr="00FF6678">
        <w:rPr>
          <w:lang w:val="es-ES"/>
        </w:rPr>
        <w:tab/>
      </w:r>
      <w:r w:rsidR="003223F5" w:rsidRPr="00FF6678">
        <w:rPr>
          <w:lang w:val="es-ES"/>
        </w:rPr>
        <w:t xml:space="preserve">Durante el proceso de </w:t>
      </w:r>
      <w:r w:rsidR="00896FCA" w:rsidRPr="00FF6678">
        <w:rPr>
          <w:lang w:val="es-ES"/>
        </w:rPr>
        <w:t>coordinación e inscripción en el Registro Internacional de las asignaciones a ASIASAT-AK, ASIASAT-AK1 y ASIASAT-AKX en cuestión</w:t>
      </w:r>
      <w:r w:rsidR="003223F5" w:rsidRPr="00FF6678">
        <w:rPr>
          <w:lang w:val="es-ES"/>
        </w:rPr>
        <w:t>,</w:t>
      </w:r>
      <w:r w:rsidR="00896FCA" w:rsidRPr="00FF6678">
        <w:rPr>
          <w:lang w:val="es-ES"/>
        </w:rPr>
        <w:t xml:space="preserve"> se respetaron </w:t>
      </w:r>
      <w:r w:rsidR="003223F5" w:rsidRPr="00FF6678">
        <w:rPr>
          <w:lang w:val="es-ES"/>
        </w:rPr>
        <w:t xml:space="preserve">en todo momento </w:t>
      </w:r>
      <w:r w:rsidR="00DE52D7" w:rsidRPr="00FF6678">
        <w:rPr>
          <w:lang w:val="es-ES"/>
        </w:rPr>
        <w:t xml:space="preserve">todos </w:t>
      </w:r>
      <w:r w:rsidR="00896FCA" w:rsidRPr="00FF6678">
        <w:rPr>
          <w:lang w:val="es-ES"/>
        </w:rPr>
        <w:t>los requisitos del Reglamento de Radiocomunicaciones y se observaron plenamente l</w:t>
      </w:r>
      <w:r w:rsidR="004C540B" w:rsidRPr="00FF6678">
        <w:rPr>
          <w:lang w:val="es-ES"/>
        </w:rPr>
        <w:t>os</w:t>
      </w:r>
      <w:r w:rsidR="00896FCA" w:rsidRPr="00FF6678">
        <w:rPr>
          <w:lang w:val="es-ES"/>
        </w:rPr>
        <w:t xml:space="preserve"> </w:t>
      </w:r>
      <w:r w:rsidR="004C540B" w:rsidRPr="00FF6678">
        <w:rPr>
          <w:lang w:val="es-ES"/>
        </w:rPr>
        <w:t xml:space="preserve">procedimientos </w:t>
      </w:r>
      <w:r w:rsidR="003223F5" w:rsidRPr="00FF6678">
        <w:rPr>
          <w:lang w:val="es-ES"/>
        </w:rPr>
        <w:t>vigentes</w:t>
      </w:r>
      <w:r w:rsidR="00896FCA" w:rsidRPr="00FF6678">
        <w:rPr>
          <w:lang w:val="es-ES"/>
        </w:rPr>
        <w:t xml:space="preserve">. También se cumplieron todos los requisitos relativos a la puesta en servicio de las asignaciones. Además, queremos subrayar que, cuando se inscribieron </w:t>
      </w:r>
      <w:r w:rsidR="003223F5" w:rsidRPr="00FF6678">
        <w:rPr>
          <w:lang w:val="es-ES"/>
        </w:rPr>
        <w:t>est</w:t>
      </w:r>
      <w:r w:rsidR="00896FCA" w:rsidRPr="00FF6678">
        <w:rPr>
          <w:lang w:val="es-ES"/>
        </w:rPr>
        <w:t xml:space="preserve">as asignaciones en el Registro Internacional, se había completado </w:t>
      </w:r>
      <w:r w:rsidR="00896FCA" w:rsidRPr="00FF6678">
        <w:rPr>
          <w:u w:val="single"/>
          <w:lang w:val="es-ES"/>
        </w:rPr>
        <w:t>TODA</w:t>
      </w:r>
      <w:r w:rsidR="00896FCA" w:rsidRPr="00FF6678">
        <w:rPr>
          <w:lang w:val="es-ES"/>
        </w:rPr>
        <w:t xml:space="preserve"> la coordinación necesaria con </w:t>
      </w:r>
      <w:r w:rsidR="00896FCA" w:rsidRPr="00FF6678">
        <w:rPr>
          <w:u w:val="single"/>
          <w:lang w:val="es-ES"/>
        </w:rPr>
        <w:t>TODAS</w:t>
      </w:r>
      <w:r w:rsidR="00896FCA" w:rsidRPr="00FF6678">
        <w:rPr>
          <w:lang w:val="es-ES"/>
        </w:rPr>
        <w:t xml:space="preserve"> las </w:t>
      </w:r>
      <w:r w:rsidR="00681FC3" w:rsidRPr="00FF6678">
        <w:rPr>
          <w:lang w:val="es-ES"/>
        </w:rPr>
        <w:t>A</w:t>
      </w:r>
      <w:r w:rsidR="00896FCA" w:rsidRPr="00FF6678">
        <w:rPr>
          <w:lang w:val="es-ES"/>
        </w:rPr>
        <w:t xml:space="preserve">dministraciones afectadas y </w:t>
      </w:r>
      <w:r w:rsidR="00896FCA" w:rsidRPr="00FF6678">
        <w:rPr>
          <w:u w:val="single"/>
          <w:lang w:val="es-ES"/>
        </w:rPr>
        <w:t>NO</w:t>
      </w:r>
      <w:r w:rsidR="00896FCA" w:rsidRPr="00FF6678">
        <w:rPr>
          <w:lang w:val="es-ES"/>
        </w:rPr>
        <w:t xml:space="preserve"> se recurrió a la inscripción</w:t>
      </w:r>
      <w:r w:rsidR="00DE52D7" w:rsidRPr="00FF6678">
        <w:rPr>
          <w:lang w:val="es-ES"/>
        </w:rPr>
        <w:t xml:space="preserve"> provisional</w:t>
      </w:r>
      <w:r w:rsidR="00896FCA" w:rsidRPr="00FF6678">
        <w:rPr>
          <w:lang w:val="es-ES"/>
        </w:rPr>
        <w:t xml:space="preserve"> en virtud del número </w:t>
      </w:r>
      <w:r w:rsidR="00896FCA" w:rsidRPr="00FF6678">
        <w:rPr>
          <w:b/>
          <w:bCs/>
          <w:lang w:val="es-ES"/>
        </w:rPr>
        <w:t>11.41</w:t>
      </w:r>
      <w:r w:rsidR="00896FCA" w:rsidRPr="00FF6678">
        <w:rPr>
          <w:lang w:val="es-ES"/>
        </w:rPr>
        <w:t xml:space="preserve"> del RR (a saber, </w:t>
      </w:r>
      <w:r w:rsidR="00DE52D7" w:rsidRPr="00FF6678">
        <w:rPr>
          <w:lang w:val="es-ES"/>
        </w:rPr>
        <w:t xml:space="preserve">sin </w:t>
      </w:r>
      <w:r w:rsidR="00896FCA" w:rsidRPr="00FF6678">
        <w:rPr>
          <w:lang w:val="es-ES"/>
        </w:rPr>
        <w:t>funcionamiento a condición de no causar interferencia</w:t>
      </w:r>
      <w:r w:rsidR="003223F5" w:rsidRPr="00FF6678">
        <w:rPr>
          <w:lang w:val="es-ES"/>
        </w:rPr>
        <w:t xml:space="preserve"> con coordinación pendiente</w:t>
      </w:r>
      <w:r w:rsidR="00896FCA" w:rsidRPr="00FF6678">
        <w:rPr>
          <w:lang w:val="es-ES"/>
        </w:rPr>
        <w:t>).</w:t>
      </w:r>
    </w:p>
    <w:p w14:paraId="5B300462" w14:textId="24F37E2A" w:rsidR="00896FCA" w:rsidRPr="00FF6678" w:rsidRDefault="00896FCA" w:rsidP="00E744C4">
      <w:pPr>
        <w:pStyle w:val="enumlev1"/>
        <w:rPr>
          <w:lang w:val="es-ES"/>
        </w:rPr>
      </w:pPr>
      <w:r w:rsidRPr="00FF6678">
        <w:rPr>
          <w:lang w:val="es-ES"/>
        </w:rPr>
        <w:tab/>
        <w:t xml:space="preserve">Esta Administración ha invertido esfuerzos </w:t>
      </w:r>
      <w:r w:rsidR="003223F5" w:rsidRPr="00FF6678">
        <w:rPr>
          <w:lang w:val="es-ES"/>
        </w:rPr>
        <w:t xml:space="preserve">ingentes </w:t>
      </w:r>
      <w:r w:rsidRPr="00FF6678">
        <w:rPr>
          <w:lang w:val="es-ES"/>
        </w:rPr>
        <w:t xml:space="preserve">en completar toda la coordinación necesaria para las redes de satélites ASIASAT-AK, </w:t>
      </w:r>
      <w:r w:rsidR="003223F5" w:rsidRPr="00FF6678">
        <w:rPr>
          <w:lang w:val="es-ES"/>
        </w:rPr>
        <w:t>ASIASAT-</w:t>
      </w:r>
      <w:r w:rsidRPr="00FF6678">
        <w:rPr>
          <w:lang w:val="es-ES"/>
        </w:rPr>
        <w:t xml:space="preserve">AK1 y ASIASAT-AKX y las tres se inscribieron en el Registro Internacional sin requisitos de coordinación pendientes. Además de completar toda la coordinación con las redes que tenían prioridad, esta Administración también completó la coordinación con </w:t>
      </w:r>
      <w:r w:rsidR="003223F5" w:rsidRPr="00FF6678">
        <w:rPr>
          <w:lang w:val="es-ES"/>
        </w:rPr>
        <w:t xml:space="preserve">las principales </w:t>
      </w:r>
      <w:r w:rsidRPr="00FF6678">
        <w:rPr>
          <w:lang w:val="es-ES"/>
        </w:rPr>
        <w:t xml:space="preserve">redes </w:t>
      </w:r>
      <w:r w:rsidR="00503454" w:rsidRPr="00FF6678">
        <w:rPr>
          <w:lang w:val="es-ES"/>
        </w:rPr>
        <w:t>secundarias</w:t>
      </w:r>
      <w:r w:rsidRPr="00FF6678">
        <w:rPr>
          <w:lang w:val="es-ES"/>
        </w:rPr>
        <w:t xml:space="preserve"> con respecto a ASIASAT-AK, </w:t>
      </w:r>
      <w:r w:rsidR="003223F5" w:rsidRPr="00FF6678">
        <w:rPr>
          <w:lang w:val="es-ES"/>
        </w:rPr>
        <w:t>ASIASAT-</w:t>
      </w:r>
      <w:r w:rsidRPr="00FF6678">
        <w:rPr>
          <w:lang w:val="es-ES"/>
        </w:rPr>
        <w:t xml:space="preserve">AK1 y </w:t>
      </w:r>
      <w:r w:rsidR="003223F5" w:rsidRPr="00FF6678">
        <w:rPr>
          <w:lang w:val="es-ES"/>
        </w:rPr>
        <w:t>ASIASAT</w:t>
      </w:r>
      <w:r w:rsidRPr="00FF6678">
        <w:rPr>
          <w:lang w:val="es-ES"/>
        </w:rPr>
        <w:t xml:space="preserve">-AKX. </w:t>
      </w:r>
      <w:r w:rsidRPr="00FF6678">
        <w:rPr>
          <w:lang w:val="es-ES"/>
        </w:rPr>
        <w:lastRenderedPageBreak/>
        <w:t xml:space="preserve">Esto representa </w:t>
      </w:r>
      <w:r w:rsidRPr="00FF6678">
        <w:rPr>
          <w:b/>
          <w:bCs/>
          <w:u w:val="single"/>
          <w:lang w:val="es-ES"/>
        </w:rPr>
        <w:t xml:space="preserve">más de 25 años de </w:t>
      </w:r>
      <w:r w:rsidR="003223F5" w:rsidRPr="00FF6678">
        <w:rPr>
          <w:b/>
          <w:bCs/>
          <w:u w:val="single"/>
          <w:lang w:val="es-ES"/>
        </w:rPr>
        <w:t>trabajo</w:t>
      </w:r>
      <w:r w:rsidRPr="00FF6678">
        <w:rPr>
          <w:lang w:val="es-ES"/>
        </w:rPr>
        <w:t xml:space="preserve"> y una clara demostración de respeto para con el objetivo y los requisitos del Reglamento de Radiocomunicaciones, además de para con los derechos de otras </w:t>
      </w:r>
      <w:r w:rsidR="003223F5" w:rsidRPr="00FF6678">
        <w:rPr>
          <w:lang w:val="es-ES"/>
        </w:rPr>
        <w:t>A</w:t>
      </w:r>
      <w:r w:rsidRPr="00FF6678">
        <w:rPr>
          <w:lang w:val="es-ES"/>
        </w:rPr>
        <w:t>dministraciones y la integridad de otras redes de satélites.</w:t>
      </w:r>
    </w:p>
    <w:p w14:paraId="0673E32C" w14:textId="113032F1" w:rsidR="007050BD" w:rsidRPr="00FF6678" w:rsidRDefault="007050BD" w:rsidP="00E744C4">
      <w:pPr>
        <w:pStyle w:val="enumlev1"/>
        <w:rPr>
          <w:b/>
          <w:bCs/>
          <w:lang w:val="es-ES"/>
        </w:rPr>
      </w:pPr>
      <w:r w:rsidRPr="00FF6678">
        <w:rPr>
          <w:b/>
          <w:bCs/>
          <w:lang w:val="es-ES"/>
        </w:rPr>
        <w:t>b)</w:t>
      </w:r>
      <w:r w:rsidRPr="00FF6678">
        <w:rPr>
          <w:b/>
          <w:bCs/>
          <w:lang w:val="es-ES"/>
        </w:rPr>
        <w:tab/>
      </w:r>
      <w:r w:rsidR="00896FCA" w:rsidRPr="00FF6678">
        <w:rPr>
          <w:b/>
          <w:bCs/>
          <w:lang w:val="es-ES"/>
        </w:rPr>
        <w:t xml:space="preserve">Ninguna administración se ha quejado </w:t>
      </w:r>
      <w:r w:rsidR="000649DD" w:rsidRPr="00FF6678">
        <w:rPr>
          <w:b/>
          <w:bCs/>
          <w:lang w:val="es-ES"/>
        </w:rPr>
        <w:t xml:space="preserve">de </w:t>
      </w:r>
      <w:r w:rsidR="00896FCA" w:rsidRPr="00FF6678">
        <w:rPr>
          <w:b/>
          <w:bCs/>
          <w:lang w:val="es-ES"/>
        </w:rPr>
        <w:t>estas asignaciones</w:t>
      </w:r>
      <w:r w:rsidR="000649DD" w:rsidRPr="00FF6678">
        <w:rPr>
          <w:b/>
          <w:bCs/>
          <w:lang w:val="es-ES"/>
        </w:rPr>
        <w:t xml:space="preserve"> ni las ha puesto en tela de juicio</w:t>
      </w:r>
    </w:p>
    <w:p w14:paraId="26DED100" w14:textId="1D8309CD" w:rsidR="007050BD" w:rsidRPr="00FF6678" w:rsidRDefault="007050BD" w:rsidP="00E744C4">
      <w:pPr>
        <w:pStyle w:val="enumlev1"/>
        <w:rPr>
          <w:lang w:val="es-ES"/>
        </w:rPr>
      </w:pPr>
      <w:r w:rsidRPr="00FF6678">
        <w:rPr>
          <w:lang w:val="es-ES"/>
        </w:rPr>
        <w:tab/>
      </w:r>
      <w:r w:rsidR="00A14B30" w:rsidRPr="00FF6678">
        <w:rPr>
          <w:lang w:val="es-ES"/>
        </w:rPr>
        <w:t>Esta Administración quiere señalar que</w:t>
      </w:r>
      <w:r w:rsidR="00CB0324" w:rsidRPr="00FF6678">
        <w:rPr>
          <w:lang w:val="es-ES"/>
        </w:rPr>
        <w:t xml:space="preserve">, por regla general, </w:t>
      </w:r>
      <w:r w:rsidR="00A14B30" w:rsidRPr="00FF6678">
        <w:rPr>
          <w:lang w:val="es-ES"/>
        </w:rPr>
        <w:t xml:space="preserve">la puesta en servicio de asignaciones se pone en tela de juicio por intervención de otras Administraciones afectadas, a menudo cuando surgen problemas de interferencia o coordinación. Esta Administración no tiene noticia de que otras Administraciones hayan puesto en tela de juicio la validez de la inscripción </w:t>
      </w:r>
      <w:r w:rsidR="00CB0324" w:rsidRPr="00FF6678">
        <w:rPr>
          <w:lang w:val="es-ES"/>
        </w:rPr>
        <w:t xml:space="preserve">de estas notificaciones </w:t>
      </w:r>
      <w:r w:rsidR="00A14B30" w:rsidRPr="00FF6678">
        <w:rPr>
          <w:lang w:val="es-ES"/>
        </w:rPr>
        <w:t>en el Registro Internacional o hayan manifestado tener dificultades de coordinación o interferencia con ellas. Probablemente esto se debe al cumplimiento diligente de</w:t>
      </w:r>
      <w:r w:rsidR="00503454" w:rsidRPr="00FF6678">
        <w:rPr>
          <w:lang w:val="es-ES"/>
        </w:rPr>
        <w:t xml:space="preserve">l objetivo </w:t>
      </w:r>
      <w:r w:rsidR="00A14B30" w:rsidRPr="00FF6678">
        <w:rPr>
          <w:lang w:val="es-ES"/>
        </w:rPr>
        <w:t>y los requisitos del Reglamento de Radiocomunicaciones y el respeto por la integridad de otras redes de satélites, tanto principales como secundarias</w:t>
      </w:r>
      <w:r w:rsidRPr="00FF6678">
        <w:rPr>
          <w:lang w:val="es-ES"/>
        </w:rPr>
        <w:t xml:space="preserve">. </w:t>
      </w:r>
    </w:p>
    <w:p w14:paraId="4D04A173" w14:textId="5177450C" w:rsidR="007050BD" w:rsidRPr="00FF6678" w:rsidRDefault="007050BD" w:rsidP="00E744C4">
      <w:pPr>
        <w:pStyle w:val="enumlev1"/>
        <w:rPr>
          <w:b/>
          <w:bCs/>
          <w:lang w:val="es-ES"/>
        </w:rPr>
      </w:pPr>
      <w:r w:rsidRPr="00FF6678">
        <w:rPr>
          <w:b/>
          <w:bCs/>
          <w:lang w:val="es-ES"/>
        </w:rPr>
        <w:t>c)</w:t>
      </w:r>
      <w:r w:rsidRPr="00FF6678">
        <w:rPr>
          <w:b/>
          <w:bCs/>
          <w:lang w:val="es-ES"/>
        </w:rPr>
        <w:tab/>
      </w:r>
      <w:r w:rsidR="00CA4914" w:rsidRPr="00FF6678">
        <w:rPr>
          <w:b/>
          <w:bCs/>
          <w:lang w:val="es-ES"/>
        </w:rPr>
        <w:t xml:space="preserve">La posición ha estado en uso de forma ininterrumpida desde finales de </w:t>
      </w:r>
      <w:r w:rsidRPr="00FF6678">
        <w:rPr>
          <w:b/>
          <w:bCs/>
          <w:lang w:val="es-ES"/>
        </w:rPr>
        <w:t>1997</w:t>
      </w:r>
    </w:p>
    <w:p w14:paraId="45B29850" w14:textId="627E093C" w:rsidR="007050BD" w:rsidRPr="00FF6678" w:rsidRDefault="007050BD" w:rsidP="00E744C4">
      <w:pPr>
        <w:pStyle w:val="enumlev1"/>
        <w:rPr>
          <w:lang w:val="es-ES"/>
        </w:rPr>
      </w:pPr>
      <w:r w:rsidRPr="00FF6678">
        <w:rPr>
          <w:lang w:val="es-ES"/>
        </w:rPr>
        <w:tab/>
      </w:r>
      <w:r w:rsidR="00870067" w:rsidRPr="00FF6678">
        <w:rPr>
          <w:lang w:val="es-ES"/>
        </w:rPr>
        <w:t>La</w:t>
      </w:r>
      <w:r w:rsidRPr="00FF6678">
        <w:rPr>
          <w:lang w:val="es-ES"/>
        </w:rPr>
        <w:t xml:space="preserve"> </w:t>
      </w:r>
      <w:r w:rsidR="00870067" w:rsidRPr="00FF6678">
        <w:rPr>
          <w:lang w:val="es-ES"/>
        </w:rPr>
        <w:t xml:space="preserve">ranura </w:t>
      </w:r>
      <w:r w:rsidRPr="00FF6678">
        <w:rPr>
          <w:lang w:val="es-ES"/>
        </w:rPr>
        <w:t xml:space="preserve">122° E </w:t>
      </w:r>
      <w:r w:rsidR="00870067" w:rsidRPr="00FF6678">
        <w:rPr>
          <w:lang w:val="es-ES"/>
        </w:rPr>
        <w:t xml:space="preserve">ha estado en uso de forma ininterrumpida desde finales de </w:t>
      </w:r>
      <w:r w:rsidRPr="00FF6678">
        <w:rPr>
          <w:lang w:val="es-ES"/>
        </w:rPr>
        <w:t>1997</w:t>
      </w:r>
      <w:r w:rsidR="00870067" w:rsidRPr="00FF6678">
        <w:rPr>
          <w:lang w:val="es-ES"/>
        </w:rPr>
        <w:t>, cuando</w:t>
      </w:r>
      <w:r w:rsidRPr="00FF6678">
        <w:rPr>
          <w:lang w:val="es-ES"/>
        </w:rPr>
        <w:t xml:space="preserve"> AsiaSat-G (Gorizont) </w:t>
      </w:r>
      <w:r w:rsidR="00870067" w:rsidRPr="00FF6678">
        <w:rPr>
          <w:lang w:val="es-ES"/>
        </w:rPr>
        <w:t>alcanzó la posición</w:t>
      </w:r>
      <w:r w:rsidRPr="00FF6678">
        <w:rPr>
          <w:lang w:val="es-ES"/>
        </w:rPr>
        <w:t xml:space="preserve"> 122° E. </w:t>
      </w:r>
      <w:r w:rsidR="00870067" w:rsidRPr="00FF6678">
        <w:rPr>
          <w:lang w:val="es-ES"/>
        </w:rPr>
        <w:t xml:space="preserve">Desde entonces, la ranura no ha quedado vacante en ningún momento. El cuadro que se muestra más abajo presenta la cronología de los satélites en la posición </w:t>
      </w:r>
      <w:r w:rsidRPr="00FF6678">
        <w:rPr>
          <w:lang w:val="es-ES"/>
        </w:rPr>
        <w:t xml:space="preserve">122° E </w:t>
      </w:r>
      <w:r w:rsidR="00870067" w:rsidRPr="00FF6678">
        <w:rPr>
          <w:lang w:val="es-ES"/>
        </w:rPr>
        <w:t xml:space="preserve">desde </w:t>
      </w:r>
      <w:r w:rsidRPr="00FF6678">
        <w:rPr>
          <w:lang w:val="es-ES"/>
        </w:rPr>
        <w:t>1997</w:t>
      </w:r>
      <w:r w:rsidR="00870067" w:rsidRPr="00FF6678">
        <w:rPr>
          <w:lang w:val="es-ES"/>
        </w:rPr>
        <w:t xml:space="preserve"> y demuestra el compromiso serio de China con el desarrollo de la ranura </w:t>
      </w:r>
      <w:r w:rsidRPr="00FF6678">
        <w:rPr>
          <w:lang w:val="es-ES"/>
        </w:rPr>
        <w:t xml:space="preserve">122° E </w:t>
      </w:r>
      <w:r w:rsidR="00870067" w:rsidRPr="00FF6678">
        <w:rPr>
          <w:lang w:val="es-ES"/>
        </w:rPr>
        <w:t>a lo largo de varios decenios</w:t>
      </w:r>
      <w:r w:rsidRPr="00FF6678">
        <w:rPr>
          <w:lang w:val="es-ES"/>
        </w:rPr>
        <w:t>.</w:t>
      </w:r>
    </w:p>
    <w:p w14:paraId="6F89FF3D" w14:textId="77777777" w:rsidR="007050BD" w:rsidRPr="00FF6678" w:rsidRDefault="007050BD" w:rsidP="00E744C4">
      <w:pPr>
        <w:rPr>
          <w:lang w:val="es-ES"/>
        </w:rPr>
      </w:pP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07"/>
        <w:gridCol w:w="4403"/>
      </w:tblGrid>
      <w:tr w:rsidR="007050BD" w:rsidRPr="00FF6678" w14:paraId="4A9E639B" w14:textId="77777777" w:rsidTr="00B463C4">
        <w:trPr>
          <w:trHeight w:val="360"/>
        </w:trPr>
        <w:tc>
          <w:tcPr>
            <w:tcW w:w="1807" w:type="dxa"/>
            <w:shd w:val="clear" w:color="auto" w:fill="auto"/>
            <w:tcMar>
              <w:top w:w="15" w:type="dxa"/>
              <w:left w:w="108" w:type="dxa"/>
              <w:bottom w:w="0" w:type="dxa"/>
              <w:right w:w="108" w:type="dxa"/>
            </w:tcMar>
            <w:hideMark/>
          </w:tcPr>
          <w:p w14:paraId="1C11C09F" w14:textId="77777777" w:rsidR="007050BD" w:rsidRPr="00FF6678" w:rsidRDefault="007050BD" w:rsidP="00E744C4">
            <w:pPr>
              <w:pStyle w:val="Tablehead"/>
              <w:rPr>
                <w:lang w:val="es-ES"/>
              </w:rPr>
            </w:pPr>
            <w:r w:rsidRPr="00FF6678">
              <w:rPr>
                <w:lang w:val="es-ES"/>
              </w:rPr>
              <w:t>Date</w:t>
            </w:r>
          </w:p>
        </w:tc>
        <w:tc>
          <w:tcPr>
            <w:tcW w:w="4403" w:type="dxa"/>
            <w:shd w:val="clear" w:color="auto" w:fill="auto"/>
            <w:tcMar>
              <w:top w:w="15" w:type="dxa"/>
              <w:left w:w="108" w:type="dxa"/>
              <w:bottom w:w="0" w:type="dxa"/>
              <w:right w:w="108" w:type="dxa"/>
            </w:tcMar>
            <w:hideMark/>
          </w:tcPr>
          <w:p w14:paraId="7017582B" w14:textId="50B53D89" w:rsidR="007050BD" w:rsidRPr="00FF6678" w:rsidRDefault="007050BD" w:rsidP="00E744C4">
            <w:pPr>
              <w:pStyle w:val="Tablehead"/>
              <w:rPr>
                <w:lang w:val="es-ES"/>
              </w:rPr>
            </w:pPr>
            <w:r w:rsidRPr="00FF6678">
              <w:rPr>
                <w:lang w:val="es-ES"/>
              </w:rPr>
              <w:t>Event</w:t>
            </w:r>
            <w:r w:rsidR="00B87899" w:rsidRPr="00FF6678">
              <w:rPr>
                <w:lang w:val="es-ES"/>
              </w:rPr>
              <w:t>o</w:t>
            </w:r>
          </w:p>
        </w:tc>
      </w:tr>
      <w:tr w:rsidR="007050BD" w:rsidRPr="00FF6678" w14:paraId="191D23E5" w14:textId="77777777" w:rsidTr="00B463C4">
        <w:trPr>
          <w:trHeight w:val="317"/>
        </w:trPr>
        <w:tc>
          <w:tcPr>
            <w:tcW w:w="1807" w:type="dxa"/>
            <w:shd w:val="clear" w:color="auto" w:fill="auto"/>
            <w:tcMar>
              <w:top w:w="15" w:type="dxa"/>
              <w:left w:w="108" w:type="dxa"/>
              <w:bottom w:w="0" w:type="dxa"/>
              <w:right w:w="108" w:type="dxa"/>
            </w:tcMar>
            <w:hideMark/>
          </w:tcPr>
          <w:p w14:paraId="3960000F" w14:textId="0C4DB75B" w:rsidR="007050BD" w:rsidRPr="00FF6678" w:rsidRDefault="007050BD" w:rsidP="00E744C4">
            <w:pPr>
              <w:pStyle w:val="Tabletext"/>
              <w:jc w:val="center"/>
              <w:rPr>
                <w:lang w:val="es-ES"/>
              </w:rPr>
            </w:pPr>
            <w:r w:rsidRPr="00FF6678">
              <w:rPr>
                <w:lang w:val="es-ES"/>
              </w:rPr>
              <w:t>29</w:t>
            </w:r>
            <w:r w:rsidR="00CB0324" w:rsidRPr="00FF6678">
              <w:rPr>
                <w:lang w:val="es-ES"/>
              </w:rPr>
              <w:t>/</w:t>
            </w:r>
            <w:r w:rsidRPr="00FF6678">
              <w:rPr>
                <w:lang w:val="es-ES"/>
              </w:rPr>
              <w:t>10</w:t>
            </w:r>
            <w:r w:rsidR="00CB0324" w:rsidRPr="00FF6678">
              <w:rPr>
                <w:lang w:val="es-ES"/>
              </w:rPr>
              <w:t>/</w:t>
            </w:r>
            <w:r w:rsidRPr="00FF6678">
              <w:rPr>
                <w:lang w:val="es-ES"/>
              </w:rPr>
              <w:t>97</w:t>
            </w:r>
          </w:p>
        </w:tc>
        <w:tc>
          <w:tcPr>
            <w:tcW w:w="4403" w:type="dxa"/>
            <w:shd w:val="clear" w:color="auto" w:fill="auto"/>
            <w:tcMar>
              <w:top w:w="15" w:type="dxa"/>
              <w:left w:w="108" w:type="dxa"/>
              <w:bottom w:w="0" w:type="dxa"/>
              <w:right w:w="108" w:type="dxa"/>
            </w:tcMar>
            <w:hideMark/>
          </w:tcPr>
          <w:p w14:paraId="32EF159E" w14:textId="26AE5055" w:rsidR="007050BD" w:rsidRPr="00FF6678" w:rsidRDefault="007050BD" w:rsidP="00AC432B">
            <w:pPr>
              <w:pStyle w:val="Tabletext"/>
              <w:rPr>
                <w:lang w:val="es-ES"/>
              </w:rPr>
            </w:pPr>
            <w:r w:rsidRPr="00FF6678">
              <w:rPr>
                <w:lang w:val="es-ES"/>
              </w:rPr>
              <w:t xml:space="preserve">AsiaSat-G (Gorizont) </w:t>
            </w:r>
            <w:r w:rsidR="00B87899" w:rsidRPr="00FF6678">
              <w:rPr>
                <w:lang w:val="es-ES"/>
              </w:rPr>
              <w:t>alcanza la posición</w:t>
            </w:r>
            <w:r w:rsidRPr="00FF6678">
              <w:rPr>
                <w:lang w:val="es-ES"/>
              </w:rPr>
              <w:t xml:space="preserve"> 122</w:t>
            </w:r>
            <w:r w:rsidRPr="00FF6678">
              <w:rPr>
                <w:lang w:val="es-ES"/>
              </w:rPr>
              <w:sym w:font="Symbol" w:char="F0B0"/>
            </w:r>
            <w:r w:rsidR="0042178E">
              <w:rPr>
                <w:lang w:val="es-ES"/>
              </w:rPr>
              <w:t xml:space="preserve"> </w:t>
            </w:r>
            <w:r w:rsidRPr="00FF6678">
              <w:rPr>
                <w:lang w:val="es-ES"/>
              </w:rPr>
              <w:t>E</w:t>
            </w:r>
          </w:p>
        </w:tc>
      </w:tr>
      <w:tr w:rsidR="007050BD" w:rsidRPr="00FF6678" w14:paraId="622B8108" w14:textId="77777777" w:rsidTr="00B463C4">
        <w:trPr>
          <w:trHeight w:val="317"/>
        </w:trPr>
        <w:tc>
          <w:tcPr>
            <w:tcW w:w="1807" w:type="dxa"/>
            <w:shd w:val="clear" w:color="auto" w:fill="auto"/>
            <w:tcMar>
              <w:top w:w="15" w:type="dxa"/>
              <w:left w:w="108" w:type="dxa"/>
              <w:bottom w:w="0" w:type="dxa"/>
              <w:right w:w="108" w:type="dxa"/>
            </w:tcMar>
            <w:hideMark/>
          </w:tcPr>
          <w:p w14:paraId="0DF6C556" w14:textId="51D8AAB9" w:rsidR="007050BD" w:rsidRPr="00FF6678" w:rsidRDefault="007050BD" w:rsidP="00E744C4">
            <w:pPr>
              <w:pStyle w:val="Tabletext"/>
              <w:jc w:val="center"/>
              <w:rPr>
                <w:lang w:val="es-ES"/>
              </w:rPr>
            </w:pPr>
            <w:r w:rsidRPr="00FF6678">
              <w:rPr>
                <w:lang w:val="es-ES"/>
              </w:rPr>
              <w:t>01</w:t>
            </w:r>
            <w:r w:rsidR="00CB0324" w:rsidRPr="00FF6678">
              <w:rPr>
                <w:lang w:val="es-ES"/>
              </w:rPr>
              <w:t>/</w:t>
            </w:r>
            <w:r w:rsidRPr="00FF6678">
              <w:rPr>
                <w:lang w:val="es-ES"/>
              </w:rPr>
              <w:t>01</w:t>
            </w:r>
            <w:r w:rsidR="00CB0324" w:rsidRPr="00FF6678">
              <w:rPr>
                <w:lang w:val="es-ES"/>
              </w:rPr>
              <w:t>/</w:t>
            </w:r>
            <w:r w:rsidRPr="00FF6678">
              <w:rPr>
                <w:lang w:val="es-ES"/>
              </w:rPr>
              <w:t>98</w:t>
            </w:r>
          </w:p>
        </w:tc>
        <w:tc>
          <w:tcPr>
            <w:tcW w:w="4403" w:type="dxa"/>
            <w:shd w:val="clear" w:color="auto" w:fill="auto"/>
            <w:tcMar>
              <w:top w:w="15" w:type="dxa"/>
              <w:left w:w="108" w:type="dxa"/>
              <w:bottom w:w="0" w:type="dxa"/>
              <w:right w:w="108" w:type="dxa"/>
            </w:tcMar>
            <w:hideMark/>
          </w:tcPr>
          <w:p w14:paraId="4EFD301C" w14:textId="3D9A8EBA" w:rsidR="007050BD" w:rsidRPr="00FF6678" w:rsidRDefault="007050BD" w:rsidP="00AC432B">
            <w:pPr>
              <w:pStyle w:val="Tabletext"/>
              <w:rPr>
                <w:lang w:val="es-ES"/>
              </w:rPr>
            </w:pPr>
            <w:r w:rsidRPr="00FF6678">
              <w:rPr>
                <w:lang w:val="es-ES"/>
              </w:rPr>
              <w:t>AsiaSat-G</w:t>
            </w:r>
            <w:r w:rsidR="00B87899" w:rsidRPr="00FF6678">
              <w:rPr>
                <w:lang w:val="es-ES"/>
              </w:rPr>
              <w:t xml:space="preserve"> entra en servicio con normalidad</w:t>
            </w:r>
          </w:p>
        </w:tc>
      </w:tr>
      <w:tr w:rsidR="007050BD" w:rsidRPr="00FF6678" w14:paraId="715AFD3E" w14:textId="77777777" w:rsidTr="00B463C4">
        <w:trPr>
          <w:trHeight w:val="317"/>
        </w:trPr>
        <w:tc>
          <w:tcPr>
            <w:tcW w:w="1807" w:type="dxa"/>
            <w:shd w:val="clear" w:color="auto" w:fill="auto"/>
            <w:tcMar>
              <w:top w:w="15" w:type="dxa"/>
              <w:left w:w="108" w:type="dxa"/>
              <w:bottom w:w="0" w:type="dxa"/>
              <w:right w:w="108" w:type="dxa"/>
            </w:tcMar>
            <w:hideMark/>
          </w:tcPr>
          <w:p w14:paraId="3A01E819" w14:textId="3472DB28" w:rsidR="007050BD" w:rsidRPr="00FF6678" w:rsidRDefault="00B87899" w:rsidP="00E744C4">
            <w:pPr>
              <w:pStyle w:val="Tabletext"/>
              <w:jc w:val="center"/>
              <w:rPr>
                <w:lang w:val="es-ES"/>
              </w:rPr>
            </w:pPr>
            <w:r w:rsidRPr="00FF6678">
              <w:rPr>
                <w:lang w:val="es-ES"/>
              </w:rPr>
              <w:t>Junio de 19</w:t>
            </w:r>
            <w:r w:rsidR="007050BD" w:rsidRPr="00FF6678">
              <w:rPr>
                <w:lang w:val="es-ES"/>
              </w:rPr>
              <w:t>99</w:t>
            </w:r>
          </w:p>
        </w:tc>
        <w:tc>
          <w:tcPr>
            <w:tcW w:w="4403" w:type="dxa"/>
            <w:shd w:val="clear" w:color="auto" w:fill="auto"/>
            <w:tcMar>
              <w:top w:w="15" w:type="dxa"/>
              <w:left w:w="108" w:type="dxa"/>
              <w:bottom w:w="0" w:type="dxa"/>
              <w:right w:w="108" w:type="dxa"/>
            </w:tcMar>
            <w:hideMark/>
          </w:tcPr>
          <w:p w14:paraId="7631D8E7" w14:textId="1ED034B1" w:rsidR="007050BD" w:rsidRPr="00FF6678" w:rsidRDefault="007050BD" w:rsidP="00AC432B">
            <w:pPr>
              <w:pStyle w:val="Tabletext"/>
              <w:rPr>
                <w:lang w:val="es-ES"/>
              </w:rPr>
            </w:pPr>
            <w:r w:rsidRPr="00FF6678">
              <w:rPr>
                <w:lang w:val="es-ES"/>
              </w:rPr>
              <w:t>AsiaSat-1</w:t>
            </w:r>
            <w:r w:rsidR="00B87899" w:rsidRPr="00FF6678">
              <w:rPr>
                <w:lang w:val="es-ES"/>
              </w:rPr>
              <w:t xml:space="preserve"> entra en servicio con normalidad</w:t>
            </w:r>
          </w:p>
        </w:tc>
      </w:tr>
      <w:tr w:rsidR="007050BD" w:rsidRPr="00FF6678" w14:paraId="0D1B28A7" w14:textId="77777777" w:rsidTr="00B463C4">
        <w:trPr>
          <w:trHeight w:val="317"/>
        </w:trPr>
        <w:tc>
          <w:tcPr>
            <w:tcW w:w="1807" w:type="dxa"/>
            <w:shd w:val="clear" w:color="auto" w:fill="auto"/>
            <w:tcMar>
              <w:top w:w="15" w:type="dxa"/>
              <w:left w:w="108" w:type="dxa"/>
              <w:bottom w:w="0" w:type="dxa"/>
              <w:right w:w="108" w:type="dxa"/>
            </w:tcMar>
            <w:hideMark/>
          </w:tcPr>
          <w:p w14:paraId="4AB21FF2" w14:textId="265B2373" w:rsidR="007050BD" w:rsidRPr="00FF6678" w:rsidRDefault="00B87899" w:rsidP="00E744C4">
            <w:pPr>
              <w:pStyle w:val="Tabletext"/>
              <w:jc w:val="center"/>
              <w:rPr>
                <w:lang w:val="es-ES"/>
              </w:rPr>
            </w:pPr>
            <w:r w:rsidRPr="00FF6678">
              <w:rPr>
                <w:lang w:val="es-ES"/>
              </w:rPr>
              <w:t>Junio de</w:t>
            </w:r>
            <w:r w:rsidR="007050BD" w:rsidRPr="00FF6678">
              <w:rPr>
                <w:lang w:val="es-ES"/>
              </w:rPr>
              <w:t xml:space="preserve"> </w:t>
            </w:r>
            <w:r w:rsidRPr="00FF6678">
              <w:rPr>
                <w:lang w:val="es-ES"/>
              </w:rPr>
              <w:t>19</w:t>
            </w:r>
            <w:r w:rsidR="007050BD" w:rsidRPr="00FF6678">
              <w:rPr>
                <w:lang w:val="es-ES"/>
              </w:rPr>
              <w:t>99</w:t>
            </w:r>
          </w:p>
        </w:tc>
        <w:tc>
          <w:tcPr>
            <w:tcW w:w="4403" w:type="dxa"/>
            <w:shd w:val="clear" w:color="auto" w:fill="auto"/>
            <w:tcMar>
              <w:top w:w="15" w:type="dxa"/>
              <w:left w:w="108" w:type="dxa"/>
              <w:bottom w:w="0" w:type="dxa"/>
              <w:right w:w="108" w:type="dxa"/>
            </w:tcMar>
            <w:hideMark/>
          </w:tcPr>
          <w:p w14:paraId="2E805A76" w14:textId="084CA66C" w:rsidR="007050BD" w:rsidRPr="00FF6678" w:rsidRDefault="007050BD" w:rsidP="00AC432B">
            <w:pPr>
              <w:pStyle w:val="Tabletext"/>
              <w:rPr>
                <w:lang w:val="es-ES"/>
              </w:rPr>
            </w:pPr>
            <w:r w:rsidRPr="00FF6678">
              <w:rPr>
                <w:lang w:val="es-ES"/>
              </w:rPr>
              <w:t xml:space="preserve">AsiaSat-G </w:t>
            </w:r>
            <w:r w:rsidR="00B87899" w:rsidRPr="00FF6678">
              <w:rPr>
                <w:lang w:val="es-ES"/>
              </w:rPr>
              <w:t>abandona la posición</w:t>
            </w:r>
            <w:r w:rsidRPr="00FF6678">
              <w:rPr>
                <w:lang w:val="es-ES"/>
              </w:rPr>
              <w:t xml:space="preserve"> 122</w:t>
            </w:r>
            <w:r w:rsidRPr="00FF6678">
              <w:rPr>
                <w:lang w:val="es-ES"/>
              </w:rPr>
              <w:sym w:font="Symbol" w:char="F0B0"/>
            </w:r>
            <w:r w:rsidR="0042178E">
              <w:rPr>
                <w:lang w:val="es-ES"/>
              </w:rPr>
              <w:t xml:space="preserve"> </w:t>
            </w:r>
            <w:r w:rsidRPr="00FF6678">
              <w:rPr>
                <w:lang w:val="es-ES"/>
              </w:rPr>
              <w:t>E</w:t>
            </w:r>
          </w:p>
        </w:tc>
      </w:tr>
      <w:tr w:rsidR="007050BD" w:rsidRPr="00FF6678" w14:paraId="21EA4845" w14:textId="77777777" w:rsidTr="00B463C4">
        <w:trPr>
          <w:trHeight w:val="317"/>
        </w:trPr>
        <w:tc>
          <w:tcPr>
            <w:tcW w:w="1807" w:type="dxa"/>
            <w:shd w:val="clear" w:color="auto" w:fill="auto"/>
            <w:tcMar>
              <w:top w:w="15" w:type="dxa"/>
              <w:left w:w="108" w:type="dxa"/>
              <w:bottom w:w="0" w:type="dxa"/>
              <w:right w:w="108" w:type="dxa"/>
            </w:tcMar>
            <w:hideMark/>
          </w:tcPr>
          <w:p w14:paraId="65F34297" w14:textId="72E5CEDC" w:rsidR="007050BD" w:rsidRPr="00FF6678" w:rsidRDefault="007050BD" w:rsidP="00E744C4">
            <w:pPr>
              <w:pStyle w:val="Tabletext"/>
              <w:jc w:val="center"/>
              <w:rPr>
                <w:lang w:val="es-ES"/>
              </w:rPr>
            </w:pPr>
            <w:r w:rsidRPr="00FF6678">
              <w:rPr>
                <w:lang w:val="es-ES"/>
              </w:rPr>
              <w:t>Oct</w:t>
            </w:r>
            <w:r w:rsidR="00B87899" w:rsidRPr="00FF6678">
              <w:rPr>
                <w:lang w:val="es-ES"/>
              </w:rPr>
              <w:t>ubre de</w:t>
            </w:r>
            <w:r w:rsidRPr="00FF6678">
              <w:rPr>
                <w:lang w:val="es-ES"/>
              </w:rPr>
              <w:t xml:space="preserve"> </w:t>
            </w:r>
            <w:r w:rsidR="00B87899" w:rsidRPr="00FF6678">
              <w:rPr>
                <w:lang w:val="es-ES"/>
              </w:rPr>
              <w:t>20</w:t>
            </w:r>
            <w:r w:rsidRPr="00FF6678">
              <w:rPr>
                <w:lang w:val="es-ES"/>
              </w:rPr>
              <w:t>00</w:t>
            </w:r>
          </w:p>
        </w:tc>
        <w:tc>
          <w:tcPr>
            <w:tcW w:w="4403" w:type="dxa"/>
            <w:shd w:val="clear" w:color="auto" w:fill="auto"/>
            <w:tcMar>
              <w:top w:w="15" w:type="dxa"/>
              <w:left w:w="108" w:type="dxa"/>
              <w:bottom w:w="0" w:type="dxa"/>
              <w:right w:w="108" w:type="dxa"/>
            </w:tcMar>
            <w:hideMark/>
          </w:tcPr>
          <w:p w14:paraId="404E9656" w14:textId="32E60AE6" w:rsidR="007050BD" w:rsidRPr="00FF6678" w:rsidRDefault="007050BD" w:rsidP="00AC432B">
            <w:pPr>
              <w:pStyle w:val="Tabletext"/>
              <w:rPr>
                <w:lang w:val="es-ES"/>
              </w:rPr>
            </w:pPr>
            <w:r w:rsidRPr="00FF6678">
              <w:rPr>
                <w:lang w:val="es-ES"/>
              </w:rPr>
              <w:t>AsiaSat-Z1 (Optus)</w:t>
            </w:r>
            <w:r w:rsidR="00B87899" w:rsidRPr="00FF6678">
              <w:rPr>
                <w:lang w:val="es-ES"/>
              </w:rPr>
              <w:t xml:space="preserve"> entra en servicio con normalidad</w:t>
            </w:r>
          </w:p>
        </w:tc>
      </w:tr>
      <w:tr w:rsidR="007050BD" w:rsidRPr="00FF6678" w14:paraId="70AEEEB2" w14:textId="77777777" w:rsidTr="00B463C4">
        <w:trPr>
          <w:trHeight w:val="317"/>
        </w:trPr>
        <w:tc>
          <w:tcPr>
            <w:tcW w:w="1807" w:type="dxa"/>
            <w:shd w:val="clear" w:color="auto" w:fill="auto"/>
            <w:tcMar>
              <w:top w:w="15" w:type="dxa"/>
              <w:left w:w="108" w:type="dxa"/>
              <w:bottom w:w="0" w:type="dxa"/>
              <w:right w:w="108" w:type="dxa"/>
            </w:tcMar>
            <w:hideMark/>
          </w:tcPr>
          <w:p w14:paraId="33E34F8A" w14:textId="444E47DC" w:rsidR="007050BD" w:rsidRPr="00FF6678" w:rsidRDefault="007050BD" w:rsidP="00E744C4">
            <w:pPr>
              <w:pStyle w:val="Tabletext"/>
              <w:jc w:val="center"/>
              <w:rPr>
                <w:lang w:val="es-ES"/>
              </w:rPr>
            </w:pPr>
            <w:r w:rsidRPr="00FF6678">
              <w:rPr>
                <w:lang w:val="es-ES"/>
              </w:rPr>
              <w:t>May</w:t>
            </w:r>
            <w:r w:rsidR="00B87899" w:rsidRPr="00FF6678">
              <w:rPr>
                <w:lang w:val="es-ES"/>
              </w:rPr>
              <w:t>o de</w:t>
            </w:r>
            <w:r w:rsidRPr="00FF6678">
              <w:rPr>
                <w:lang w:val="es-ES"/>
              </w:rPr>
              <w:t xml:space="preserve"> </w:t>
            </w:r>
            <w:r w:rsidR="00B87899" w:rsidRPr="00FF6678">
              <w:rPr>
                <w:lang w:val="es-ES"/>
              </w:rPr>
              <w:t>20</w:t>
            </w:r>
            <w:r w:rsidRPr="00FF6678">
              <w:rPr>
                <w:lang w:val="es-ES"/>
              </w:rPr>
              <w:t>01</w:t>
            </w:r>
          </w:p>
        </w:tc>
        <w:tc>
          <w:tcPr>
            <w:tcW w:w="4403" w:type="dxa"/>
            <w:shd w:val="clear" w:color="auto" w:fill="auto"/>
            <w:tcMar>
              <w:top w:w="15" w:type="dxa"/>
              <w:left w:w="108" w:type="dxa"/>
              <w:bottom w:w="0" w:type="dxa"/>
              <w:right w:w="108" w:type="dxa"/>
            </w:tcMar>
            <w:hideMark/>
          </w:tcPr>
          <w:p w14:paraId="326F3E1F" w14:textId="7F993308" w:rsidR="007050BD" w:rsidRPr="00FF6678" w:rsidRDefault="007050BD" w:rsidP="00AC432B">
            <w:pPr>
              <w:pStyle w:val="Tabletext"/>
              <w:rPr>
                <w:lang w:val="es-ES"/>
              </w:rPr>
            </w:pPr>
            <w:r w:rsidRPr="00FF6678">
              <w:rPr>
                <w:lang w:val="es-ES"/>
              </w:rPr>
              <w:t xml:space="preserve">AsiaSat-Z1 </w:t>
            </w:r>
            <w:r w:rsidR="00B87899" w:rsidRPr="00FF6678">
              <w:rPr>
                <w:lang w:val="es-ES"/>
              </w:rPr>
              <w:t>abandona la posición</w:t>
            </w:r>
            <w:r w:rsidRPr="00FF6678">
              <w:rPr>
                <w:lang w:val="es-ES"/>
              </w:rPr>
              <w:t xml:space="preserve"> 122</w:t>
            </w:r>
            <w:r w:rsidRPr="00FF6678">
              <w:rPr>
                <w:lang w:val="es-ES"/>
              </w:rPr>
              <w:sym w:font="Symbol" w:char="F0B0"/>
            </w:r>
            <w:r w:rsidR="0042178E">
              <w:rPr>
                <w:lang w:val="es-ES"/>
              </w:rPr>
              <w:t xml:space="preserve"> </w:t>
            </w:r>
            <w:r w:rsidRPr="00FF6678">
              <w:rPr>
                <w:lang w:val="es-ES"/>
              </w:rPr>
              <w:t>E</w:t>
            </w:r>
          </w:p>
        </w:tc>
      </w:tr>
      <w:tr w:rsidR="007050BD" w:rsidRPr="00FF6678" w14:paraId="57E3D85A" w14:textId="77777777" w:rsidTr="00B463C4">
        <w:trPr>
          <w:trHeight w:val="317"/>
        </w:trPr>
        <w:tc>
          <w:tcPr>
            <w:tcW w:w="1807" w:type="dxa"/>
            <w:shd w:val="clear" w:color="auto" w:fill="auto"/>
            <w:tcMar>
              <w:top w:w="15" w:type="dxa"/>
              <w:left w:w="108" w:type="dxa"/>
              <w:bottom w:w="0" w:type="dxa"/>
              <w:right w:w="108" w:type="dxa"/>
            </w:tcMar>
            <w:hideMark/>
          </w:tcPr>
          <w:p w14:paraId="02080ECA" w14:textId="533126AF" w:rsidR="007050BD" w:rsidRPr="00FF6678" w:rsidRDefault="007050BD" w:rsidP="00E744C4">
            <w:pPr>
              <w:pStyle w:val="Tabletext"/>
              <w:jc w:val="center"/>
              <w:rPr>
                <w:lang w:val="es-ES"/>
              </w:rPr>
            </w:pPr>
            <w:r w:rsidRPr="00FF6678">
              <w:rPr>
                <w:lang w:val="es-ES"/>
              </w:rPr>
              <w:t>24</w:t>
            </w:r>
            <w:r w:rsidR="00CB0324" w:rsidRPr="00FF6678">
              <w:rPr>
                <w:lang w:val="es-ES"/>
              </w:rPr>
              <w:t>/</w:t>
            </w:r>
            <w:r w:rsidRPr="00FF6678">
              <w:rPr>
                <w:lang w:val="es-ES"/>
              </w:rPr>
              <w:t>02</w:t>
            </w:r>
            <w:r w:rsidR="00CB0324" w:rsidRPr="00FF6678">
              <w:rPr>
                <w:lang w:val="es-ES"/>
              </w:rPr>
              <w:t>/</w:t>
            </w:r>
            <w:r w:rsidRPr="00FF6678">
              <w:rPr>
                <w:lang w:val="es-ES"/>
              </w:rPr>
              <w:t>03</w:t>
            </w:r>
          </w:p>
        </w:tc>
        <w:tc>
          <w:tcPr>
            <w:tcW w:w="4403" w:type="dxa"/>
            <w:shd w:val="clear" w:color="auto" w:fill="auto"/>
            <w:tcMar>
              <w:top w:w="15" w:type="dxa"/>
              <w:left w:w="108" w:type="dxa"/>
              <w:bottom w:w="0" w:type="dxa"/>
              <w:right w:w="108" w:type="dxa"/>
            </w:tcMar>
            <w:hideMark/>
          </w:tcPr>
          <w:p w14:paraId="0A2C130F" w14:textId="3E78921B" w:rsidR="007050BD" w:rsidRPr="00FF6678" w:rsidRDefault="007050BD" w:rsidP="00AC432B">
            <w:pPr>
              <w:pStyle w:val="Tabletext"/>
              <w:rPr>
                <w:lang w:val="es-ES"/>
              </w:rPr>
            </w:pPr>
            <w:r w:rsidRPr="00FF6678">
              <w:rPr>
                <w:lang w:val="es-ES"/>
              </w:rPr>
              <w:t xml:space="preserve">AsiaSat-1 </w:t>
            </w:r>
            <w:r w:rsidR="00B87899" w:rsidRPr="00FF6678">
              <w:rPr>
                <w:lang w:val="es-ES"/>
              </w:rPr>
              <w:t>sale de la</w:t>
            </w:r>
            <w:bookmarkStart w:id="7" w:name="_GoBack"/>
            <w:bookmarkEnd w:id="7"/>
            <w:r w:rsidR="00B87899" w:rsidRPr="00FF6678">
              <w:rPr>
                <w:lang w:val="es-ES"/>
              </w:rPr>
              <w:t xml:space="preserve"> órbita</w:t>
            </w:r>
          </w:p>
        </w:tc>
      </w:tr>
      <w:tr w:rsidR="007050BD" w:rsidRPr="00FF6678" w14:paraId="359D2C38" w14:textId="77777777" w:rsidTr="00B463C4">
        <w:trPr>
          <w:trHeight w:val="317"/>
        </w:trPr>
        <w:tc>
          <w:tcPr>
            <w:tcW w:w="1807" w:type="dxa"/>
            <w:shd w:val="clear" w:color="auto" w:fill="auto"/>
            <w:tcMar>
              <w:top w:w="15" w:type="dxa"/>
              <w:left w:w="108" w:type="dxa"/>
              <w:bottom w:w="0" w:type="dxa"/>
              <w:right w:w="108" w:type="dxa"/>
            </w:tcMar>
            <w:hideMark/>
          </w:tcPr>
          <w:p w14:paraId="5AEFE47A" w14:textId="15DB75FE" w:rsidR="007050BD" w:rsidRPr="00FF6678" w:rsidRDefault="007050BD" w:rsidP="00E744C4">
            <w:pPr>
              <w:pStyle w:val="Tabletext"/>
              <w:jc w:val="center"/>
              <w:rPr>
                <w:lang w:val="es-ES"/>
              </w:rPr>
            </w:pPr>
            <w:r w:rsidRPr="00FF6678">
              <w:rPr>
                <w:lang w:val="es-ES"/>
              </w:rPr>
              <w:t>11</w:t>
            </w:r>
            <w:r w:rsidR="00CB0324" w:rsidRPr="00FF6678">
              <w:rPr>
                <w:lang w:val="es-ES"/>
              </w:rPr>
              <w:t>/</w:t>
            </w:r>
            <w:r w:rsidRPr="00FF6678">
              <w:rPr>
                <w:lang w:val="es-ES"/>
              </w:rPr>
              <w:t>04</w:t>
            </w:r>
            <w:r w:rsidR="00CB0324" w:rsidRPr="00FF6678">
              <w:rPr>
                <w:lang w:val="es-ES"/>
              </w:rPr>
              <w:t>/</w:t>
            </w:r>
            <w:r w:rsidRPr="00FF6678">
              <w:rPr>
                <w:lang w:val="es-ES"/>
              </w:rPr>
              <w:t>03</w:t>
            </w:r>
          </w:p>
        </w:tc>
        <w:tc>
          <w:tcPr>
            <w:tcW w:w="4403" w:type="dxa"/>
            <w:shd w:val="clear" w:color="auto" w:fill="auto"/>
            <w:tcMar>
              <w:top w:w="15" w:type="dxa"/>
              <w:left w:w="108" w:type="dxa"/>
              <w:bottom w:w="0" w:type="dxa"/>
              <w:right w:w="108" w:type="dxa"/>
            </w:tcMar>
            <w:hideMark/>
          </w:tcPr>
          <w:p w14:paraId="401D0D8A" w14:textId="7651FB1F" w:rsidR="007050BD" w:rsidRPr="00FF6678" w:rsidRDefault="007050BD" w:rsidP="00AC432B">
            <w:pPr>
              <w:pStyle w:val="Tabletext"/>
              <w:rPr>
                <w:lang w:val="es-ES"/>
              </w:rPr>
            </w:pPr>
            <w:r w:rsidRPr="00FF6678">
              <w:rPr>
                <w:lang w:val="es-ES"/>
              </w:rPr>
              <w:t xml:space="preserve">AsiaSat-4 </w:t>
            </w:r>
            <w:r w:rsidR="00B87899" w:rsidRPr="00FF6678">
              <w:rPr>
                <w:lang w:val="es-ES"/>
              </w:rPr>
              <w:t>es lanzado</w:t>
            </w:r>
          </w:p>
        </w:tc>
      </w:tr>
      <w:tr w:rsidR="007050BD" w:rsidRPr="00FF6678" w14:paraId="64AA404C" w14:textId="77777777" w:rsidTr="00B463C4">
        <w:trPr>
          <w:trHeight w:val="317"/>
        </w:trPr>
        <w:tc>
          <w:tcPr>
            <w:tcW w:w="1807" w:type="dxa"/>
            <w:shd w:val="clear" w:color="auto" w:fill="auto"/>
            <w:tcMar>
              <w:top w:w="15" w:type="dxa"/>
              <w:left w:w="108" w:type="dxa"/>
              <w:bottom w:w="0" w:type="dxa"/>
              <w:right w:w="108" w:type="dxa"/>
            </w:tcMar>
            <w:hideMark/>
          </w:tcPr>
          <w:p w14:paraId="69B625F3" w14:textId="2A6FA393" w:rsidR="007050BD" w:rsidRPr="00FF6678" w:rsidRDefault="007050BD" w:rsidP="00E744C4">
            <w:pPr>
              <w:pStyle w:val="Tabletext"/>
              <w:jc w:val="center"/>
              <w:rPr>
                <w:lang w:val="es-ES"/>
              </w:rPr>
            </w:pPr>
            <w:r w:rsidRPr="00FF6678">
              <w:rPr>
                <w:lang w:val="es-ES"/>
              </w:rPr>
              <w:t>27</w:t>
            </w:r>
            <w:r w:rsidR="00CB0324" w:rsidRPr="00FF6678">
              <w:rPr>
                <w:lang w:val="es-ES"/>
              </w:rPr>
              <w:t>/</w:t>
            </w:r>
            <w:r w:rsidRPr="00FF6678">
              <w:rPr>
                <w:lang w:val="es-ES"/>
              </w:rPr>
              <w:t>04</w:t>
            </w:r>
            <w:r w:rsidR="00CB0324" w:rsidRPr="00FF6678">
              <w:rPr>
                <w:lang w:val="es-ES"/>
              </w:rPr>
              <w:t>/</w:t>
            </w:r>
            <w:r w:rsidRPr="00FF6678">
              <w:rPr>
                <w:lang w:val="es-ES"/>
              </w:rPr>
              <w:t>03</w:t>
            </w:r>
          </w:p>
        </w:tc>
        <w:tc>
          <w:tcPr>
            <w:tcW w:w="4403" w:type="dxa"/>
            <w:shd w:val="clear" w:color="auto" w:fill="auto"/>
            <w:tcMar>
              <w:top w:w="15" w:type="dxa"/>
              <w:left w:w="108" w:type="dxa"/>
              <w:bottom w:w="0" w:type="dxa"/>
              <w:right w:w="108" w:type="dxa"/>
            </w:tcMar>
            <w:hideMark/>
          </w:tcPr>
          <w:p w14:paraId="0BDAD1AB" w14:textId="3281DF40" w:rsidR="007050BD" w:rsidRPr="00FF6678" w:rsidRDefault="007050BD" w:rsidP="00AC432B">
            <w:pPr>
              <w:pStyle w:val="Tabletext"/>
              <w:rPr>
                <w:lang w:val="es-ES"/>
              </w:rPr>
            </w:pPr>
            <w:r w:rsidRPr="00FF6678">
              <w:rPr>
                <w:lang w:val="es-ES"/>
              </w:rPr>
              <w:t xml:space="preserve">AsiaSat-4 </w:t>
            </w:r>
            <w:r w:rsidR="00B87899" w:rsidRPr="00FF6678">
              <w:rPr>
                <w:lang w:val="es-ES"/>
              </w:rPr>
              <w:t>entra en servicio con normalidad</w:t>
            </w:r>
          </w:p>
        </w:tc>
      </w:tr>
      <w:tr w:rsidR="007050BD" w:rsidRPr="00FF6678" w14:paraId="2CE1C5DB" w14:textId="77777777" w:rsidTr="00B463C4">
        <w:trPr>
          <w:trHeight w:val="317"/>
        </w:trPr>
        <w:tc>
          <w:tcPr>
            <w:tcW w:w="1807" w:type="dxa"/>
            <w:shd w:val="clear" w:color="auto" w:fill="auto"/>
            <w:tcMar>
              <w:top w:w="15" w:type="dxa"/>
              <w:left w:w="108" w:type="dxa"/>
              <w:bottom w:w="0" w:type="dxa"/>
              <w:right w:w="108" w:type="dxa"/>
            </w:tcMar>
            <w:hideMark/>
          </w:tcPr>
          <w:p w14:paraId="72717FC5" w14:textId="64614202" w:rsidR="007050BD" w:rsidRPr="00FF6678" w:rsidRDefault="007050BD" w:rsidP="00E744C4">
            <w:pPr>
              <w:pStyle w:val="Tabletext"/>
              <w:jc w:val="center"/>
              <w:rPr>
                <w:lang w:val="es-ES"/>
              </w:rPr>
            </w:pPr>
            <w:r w:rsidRPr="00FF6678">
              <w:rPr>
                <w:lang w:val="es-ES"/>
              </w:rPr>
              <w:t>28</w:t>
            </w:r>
            <w:r w:rsidR="00CB0324" w:rsidRPr="00FF6678">
              <w:rPr>
                <w:lang w:val="es-ES"/>
              </w:rPr>
              <w:t>/</w:t>
            </w:r>
            <w:r w:rsidRPr="00FF6678">
              <w:rPr>
                <w:lang w:val="es-ES"/>
              </w:rPr>
              <w:t>09</w:t>
            </w:r>
            <w:r w:rsidR="00CB0324" w:rsidRPr="00FF6678">
              <w:rPr>
                <w:lang w:val="es-ES"/>
              </w:rPr>
              <w:t>/</w:t>
            </w:r>
            <w:r w:rsidRPr="00FF6678">
              <w:rPr>
                <w:lang w:val="es-ES"/>
              </w:rPr>
              <w:t>17</w:t>
            </w:r>
          </w:p>
        </w:tc>
        <w:tc>
          <w:tcPr>
            <w:tcW w:w="4403" w:type="dxa"/>
            <w:shd w:val="clear" w:color="auto" w:fill="auto"/>
            <w:tcMar>
              <w:top w:w="15" w:type="dxa"/>
              <w:left w:w="108" w:type="dxa"/>
              <w:bottom w:w="0" w:type="dxa"/>
              <w:right w:w="108" w:type="dxa"/>
            </w:tcMar>
            <w:hideMark/>
          </w:tcPr>
          <w:p w14:paraId="073F9272" w14:textId="2F46E78F" w:rsidR="007050BD" w:rsidRPr="00FF6678" w:rsidRDefault="007050BD" w:rsidP="00AC432B">
            <w:pPr>
              <w:pStyle w:val="Tabletext"/>
              <w:rPr>
                <w:lang w:val="es-ES"/>
              </w:rPr>
            </w:pPr>
            <w:r w:rsidRPr="00FF6678">
              <w:rPr>
                <w:lang w:val="es-ES"/>
              </w:rPr>
              <w:t xml:space="preserve">AsiaSat-9 </w:t>
            </w:r>
            <w:r w:rsidR="00B87899" w:rsidRPr="00FF6678">
              <w:rPr>
                <w:lang w:val="es-ES"/>
              </w:rPr>
              <w:t>es lanzado</w:t>
            </w:r>
          </w:p>
        </w:tc>
      </w:tr>
      <w:tr w:rsidR="007050BD" w:rsidRPr="00FF6678" w14:paraId="6765F6D8" w14:textId="77777777" w:rsidTr="00B463C4">
        <w:trPr>
          <w:trHeight w:val="317"/>
        </w:trPr>
        <w:tc>
          <w:tcPr>
            <w:tcW w:w="1807" w:type="dxa"/>
            <w:shd w:val="clear" w:color="auto" w:fill="auto"/>
            <w:tcMar>
              <w:top w:w="15" w:type="dxa"/>
              <w:left w:w="108" w:type="dxa"/>
              <w:bottom w:w="0" w:type="dxa"/>
              <w:right w:w="108" w:type="dxa"/>
            </w:tcMar>
            <w:hideMark/>
          </w:tcPr>
          <w:p w14:paraId="6C701D00" w14:textId="0C715C4C" w:rsidR="007050BD" w:rsidRPr="00FF6678" w:rsidRDefault="007050BD" w:rsidP="00E744C4">
            <w:pPr>
              <w:pStyle w:val="Tabletext"/>
              <w:jc w:val="center"/>
              <w:rPr>
                <w:lang w:val="es-ES"/>
              </w:rPr>
            </w:pPr>
            <w:r w:rsidRPr="00FF6678">
              <w:rPr>
                <w:lang w:val="es-ES"/>
              </w:rPr>
              <w:t>09</w:t>
            </w:r>
            <w:r w:rsidR="00CB0324" w:rsidRPr="00FF6678">
              <w:rPr>
                <w:lang w:val="es-ES"/>
              </w:rPr>
              <w:t>/</w:t>
            </w:r>
            <w:r w:rsidRPr="00FF6678">
              <w:rPr>
                <w:lang w:val="es-ES"/>
              </w:rPr>
              <w:t>10</w:t>
            </w:r>
            <w:r w:rsidR="00CB0324" w:rsidRPr="00FF6678">
              <w:rPr>
                <w:lang w:val="es-ES"/>
              </w:rPr>
              <w:t>/</w:t>
            </w:r>
            <w:r w:rsidRPr="00FF6678">
              <w:rPr>
                <w:lang w:val="es-ES"/>
              </w:rPr>
              <w:t>17</w:t>
            </w:r>
          </w:p>
        </w:tc>
        <w:tc>
          <w:tcPr>
            <w:tcW w:w="4403" w:type="dxa"/>
            <w:shd w:val="clear" w:color="auto" w:fill="auto"/>
            <w:tcMar>
              <w:top w:w="15" w:type="dxa"/>
              <w:left w:w="108" w:type="dxa"/>
              <w:bottom w:w="0" w:type="dxa"/>
              <w:right w:w="108" w:type="dxa"/>
            </w:tcMar>
            <w:hideMark/>
          </w:tcPr>
          <w:p w14:paraId="24157CEB" w14:textId="3EE619B1" w:rsidR="007050BD" w:rsidRPr="00FF6678" w:rsidRDefault="007050BD" w:rsidP="00AC432B">
            <w:pPr>
              <w:pStyle w:val="Tabletext"/>
              <w:rPr>
                <w:lang w:val="es-ES"/>
              </w:rPr>
            </w:pPr>
            <w:r w:rsidRPr="00FF6678">
              <w:rPr>
                <w:lang w:val="es-ES"/>
              </w:rPr>
              <w:t xml:space="preserve">AsiaSat-9 </w:t>
            </w:r>
            <w:r w:rsidR="00B87899" w:rsidRPr="00FF6678">
              <w:rPr>
                <w:lang w:val="es-ES"/>
              </w:rPr>
              <w:t>entra en servicio con normalidad</w:t>
            </w:r>
          </w:p>
        </w:tc>
      </w:tr>
      <w:tr w:rsidR="007050BD" w:rsidRPr="00FF6678" w14:paraId="24DF95D7" w14:textId="77777777" w:rsidTr="00B463C4">
        <w:trPr>
          <w:trHeight w:val="317"/>
        </w:trPr>
        <w:tc>
          <w:tcPr>
            <w:tcW w:w="1807" w:type="dxa"/>
            <w:shd w:val="clear" w:color="auto" w:fill="auto"/>
            <w:tcMar>
              <w:top w:w="15" w:type="dxa"/>
              <w:left w:w="108" w:type="dxa"/>
              <w:bottom w:w="0" w:type="dxa"/>
              <w:right w:w="108" w:type="dxa"/>
            </w:tcMar>
            <w:hideMark/>
          </w:tcPr>
          <w:p w14:paraId="4DBBB481" w14:textId="57C12ECF" w:rsidR="007050BD" w:rsidRPr="00FF6678" w:rsidRDefault="007050BD" w:rsidP="00E744C4">
            <w:pPr>
              <w:pStyle w:val="Tabletext"/>
              <w:jc w:val="center"/>
              <w:rPr>
                <w:lang w:val="es-ES"/>
              </w:rPr>
            </w:pPr>
            <w:r w:rsidRPr="00FF6678">
              <w:rPr>
                <w:lang w:val="es-ES"/>
              </w:rPr>
              <w:t>Nov</w:t>
            </w:r>
            <w:r w:rsidR="00B87899" w:rsidRPr="00FF6678">
              <w:rPr>
                <w:lang w:val="es-ES"/>
              </w:rPr>
              <w:t>iembre de</w:t>
            </w:r>
            <w:r w:rsidRPr="00FF6678">
              <w:rPr>
                <w:lang w:val="es-ES"/>
              </w:rPr>
              <w:t xml:space="preserve"> </w:t>
            </w:r>
            <w:r w:rsidR="00B87899" w:rsidRPr="00FF6678">
              <w:rPr>
                <w:lang w:val="es-ES"/>
              </w:rPr>
              <w:t>20</w:t>
            </w:r>
            <w:r w:rsidRPr="00FF6678">
              <w:rPr>
                <w:lang w:val="es-ES"/>
              </w:rPr>
              <w:t>17</w:t>
            </w:r>
          </w:p>
        </w:tc>
        <w:tc>
          <w:tcPr>
            <w:tcW w:w="4403" w:type="dxa"/>
            <w:shd w:val="clear" w:color="auto" w:fill="auto"/>
            <w:tcMar>
              <w:top w:w="15" w:type="dxa"/>
              <w:left w:w="108" w:type="dxa"/>
              <w:bottom w:w="0" w:type="dxa"/>
              <w:right w:w="108" w:type="dxa"/>
            </w:tcMar>
            <w:hideMark/>
          </w:tcPr>
          <w:p w14:paraId="35089241" w14:textId="3347A3C8" w:rsidR="007050BD" w:rsidRPr="00FF6678" w:rsidRDefault="007050BD" w:rsidP="00AC432B">
            <w:pPr>
              <w:pStyle w:val="Tabletext"/>
              <w:rPr>
                <w:lang w:val="es-ES"/>
              </w:rPr>
            </w:pPr>
            <w:r w:rsidRPr="00FF6678">
              <w:rPr>
                <w:lang w:val="es-ES"/>
              </w:rPr>
              <w:t xml:space="preserve">AsiaSat-4 </w:t>
            </w:r>
            <w:r w:rsidR="00B87899" w:rsidRPr="00FF6678">
              <w:rPr>
                <w:lang w:val="es-ES"/>
              </w:rPr>
              <w:t>abandona la posición</w:t>
            </w:r>
            <w:r w:rsidRPr="00FF6678">
              <w:rPr>
                <w:lang w:val="es-ES"/>
              </w:rPr>
              <w:t xml:space="preserve"> 122</w:t>
            </w:r>
            <w:r w:rsidRPr="00FF6678">
              <w:rPr>
                <w:lang w:val="es-ES"/>
              </w:rPr>
              <w:sym w:font="Symbol" w:char="F0B0"/>
            </w:r>
            <w:r w:rsidR="0042178E">
              <w:rPr>
                <w:lang w:val="es-ES"/>
              </w:rPr>
              <w:t xml:space="preserve"> </w:t>
            </w:r>
            <w:r w:rsidRPr="00FF6678">
              <w:rPr>
                <w:lang w:val="es-ES"/>
              </w:rPr>
              <w:t>E</w:t>
            </w:r>
          </w:p>
        </w:tc>
      </w:tr>
    </w:tbl>
    <w:p w14:paraId="308424DC" w14:textId="77777777" w:rsidR="007050BD" w:rsidRPr="00FF6678" w:rsidRDefault="007050BD" w:rsidP="00E744C4">
      <w:pPr>
        <w:rPr>
          <w:lang w:val="es-ES"/>
        </w:rPr>
      </w:pPr>
    </w:p>
    <w:p w14:paraId="5886D7E6" w14:textId="02F2E60E" w:rsidR="007050BD" w:rsidRPr="00FF6678" w:rsidRDefault="007050BD" w:rsidP="00E744C4">
      <w:pPr>
        <w:pStyle w:val="enumlev1"/>
        <w:rPr>
          <w:lang w:val="es-ES"/>
        </w:rPr>
      </w:pPr>
      <w:r w:rsidRPr="00FF6678">
        <w:rPr>
          <w:b/>
          <w:bCs/>
          <w:lang w:val="es-ES"/>
        </w:rPr>
        <w:t>d)</w:t>
      </w:r>
      <w:r w:rsidRPr="00FF6678">
        <w:rPr>
          <w:b/>
          <w:bCs/>
          <w:lang w:val="es-ES"/>
        </w:rPr>
        <w:tab/>
      </w:r>
      <w:r w:rsidR="00896FCA" w:rsidRPr="00FF6678">
        <w:rPr>
          <w:b/>
          <w:bCs/>
          <w:lang w:val="es-ES"/>
        </w:rPr>
        <w:t>La planificación de AsiaSat 9 se inició en 2012 (hace 7 años) y ha estado operativo en 122° E desde 2017, inmediatamente después de su lanzamiento retrasado, y seguirá funcionando en 122° E</w:t>
      </w:r>
    </w:p>
    <w:p w14:paraId="35ACA52E" w14:textId="25B8928D" w:rsidR="00896FCA" w:rsidRPr="00FF6678" w:rsidRDefault="007050BD" w:rsidP="00E744C4">
      <w:pPr>
        <w:pStyle w:val="enumlev1"/>
        <w:rPr>
          <w:lang w:val="es-ES"/>
        </w:rPr>
      </w:pPr>
      <w:r w:rsidRPr="00FF6678">
        <w:rPr>
          <w:lang w:val="es-ES"/>
        </w:rPr>
        <w:tab/>
        <w:t xml:space="preserve">AsiaSat 9 </w:t>
      </w:r>
      <w:r w:rsidR="00D70924" w:rsidRPr="00FF6678">
        <w:rPr>
          <w:lang w:val="es-ES"/>
        </w:rPr>
        <w:t xml:space="preserve">se ha diseñado y construido específicamente para la posición </w:t>
      </w:r>
      <w:r w:rsidRPr="00FF6678">
        <w:rPr>
          <w:lang w:val="es-ES"/>
        </w:rPr>
        <w:t xml:space="preserve">122° E. </w:t>
      </w:r>
      <w:r w:rsidR="00896FCA" w:rsidRPr="00FF6678">
        <w:rPr>
          <w:lang w:val="es-ES"/>
        </w:rPr>
        <w:t>La planificación de</w:t>
      </w:r>
      <w:r w:rsidR="00C92408" w:rsidRPr="00FF6678">
        <w:rPr>
          <w:lang w:val="es-ES"/>
        </w:rPr>
        <w:t xml:space="preserve">l satélite </w:t>
      </w:r>
      <w:r w:rsidR="00896FCA" w:rsidRPr="00FF6678">
        <w:rPr>
          <w:lang w:val="es-ES"/>
        </w:rPr>
        <w:t xml:space="preserve">se inició en 2012 (hace </w:t>
      </w:r>
      <w:r w:rsidR="00C92408" w:rsidRPr="00FF6678">
        <w:rPr>
          <w:lang w:val="es-ES"/>
        </w:rPr>
        <w:t>siete</w:t>
      </w:r>
      <w:r w:rsidR="00896FCA" w:rsidRPr="00FF6678">
        <w:rPr>
          <w:lang w:val="es-ES"/>
        </w:rPr>
        <w:t xml:space="preserve"> años) y la solicitud de propuesta </w:t>
      </w:r>
      <w:r w:rsidR="00896FCA" w:rsidRPr="00FF6678">
        <w:rPr>
          <w:lang w:val="es-ES"/>
        </w:rPr>
        <w:lastRenderedPageBreak/>
        <w:t xml:space="preserve">se publicó en abril de 2013. En 2013 se anunció que AsiaSat 9 se ubicaría en 122° E en sustitución de AsiaSat 4 y su lanzamiento estaba </w:t>
      </w:r>
      <w:r w:rsidR="00C92408" w:rsidRPr="00FF6678">
        <w:rPr>
          <w:lang w:val="es-ES"/>
        </w:rPr>
        <w:t xml:space="preserve">previsto para </w:t>
      </w:r>
      <w:r w:rsidR="00896FCA" w:rsidRPr="00FF6678">
        <w:rPr>
          <w:lang w:val="es-ES"/>
        </w:rPr>
        <w:t>2016</w:t>
      </w:r>
      <w:r w:rsidR="00C92408" w:rsidRPr="00FF6678">
        <w:rPr>
          <w:lang w:val="es-ES"/>
        </w:rPr>
        <w:t>.</w:t>
      </w:r>
    </w:p>
    <w:p w14:paraId="3B49B03A" w14:textId="35FF609D" w:rsidR="00896FCA" w:rsidRPr="00FF6678" w:rsidRDefault="00896FCA" w:rsidP="00E744C4">
      <w:pPr>
        <w:pStyle w:val="enumlev1"/>
        <w:rPr>
          <w:lang w:val="es-ES"/>
        </w:rPr>
      </w:pPr>
      <w:r w:rsidRPr="00FF6678">
        <w:rPr>
          <w:lang w:val="es-ES"/>
        </w:rPr>
        <w:tab/>
        <w:t>La fabricación de AsiaSat 9 sufrió una serie de retrasos a los que siguió un retraso masivo del lanzamiento</w:t>
      </w:r>
      <w:r w:rsidR="00C92408" w:rsidRPr="00FF6678">
        <w:rPr>
          <w:lang w:val="es-ES"/>
        </w:rPr>
        <w:t>:</w:t>
      </w:r>
      <w:r w:rsidRPr="00FF6678">
        <w:rPr>
          <w:lang w:val="es-ES"/>
        </w:rPr>
        <w:t xml:space="preserve"> a principios de 2017, como es amplia y públicamente sabido, Proton anunció una retirada masiva de los motores de las fases dos y tres, lo que efectivamente paralizó todos los lanzamientos planificados. Este retraso sin precedentes en la historia del lanzador era completamente imprevisible y escapaba al control de esta Administración, de AsiaSat</w:t>
      </w:r>
      <w:r w:rsidR="00C92408" w:rsidRPr="00FF6678">
        <w:rPr>
          <w:lang w:val="es-ES"/>
        </w:rPr>
        <w:t xml:space="preserve">, de SSL (la empresa fabricante de satélites) </w:t>
      </w:r>
      <w:r w:rsidRPr="00FF6678">
        <w:rPr>
          <w:lang w:val="es-ES"/>
        </w:rPr>
        <w:t>y de ILS</w:t>
      </w:r>
      <w:r w:rsidR="00C92408" w:rsidRPr="00FF6678">
        <w:rPr>
          <w:lang w:val="es-ES"/>
        </w:rPr>
        <w:t xml:space="preserve"> (el proveedor de servicios de lanzamiento</w:t>
      </w:r>
      <w:r w:rsidRPr="00FF6678">
        <w:rPr>
          <w:lang w:val="es-ES"/>
        </w:rPr>
        <w:t>).</w:t>
      </w:r>
    </w:p>
    <w:p w14:paraId="14FA64BC" w14:textId="0FA68F02" w:rsidR="00896FCA" w:rsidRPr="00FF6678" w:rsidRDefault="00896FCA" w:rsidP="00E744C4">
      <w:pPr>
        <w:pStyle w:val="enumlev1"/>
        <w:rPr>
          <w:lang w:val="es-ES"/>
        </w:rPr>
      </w:pPr>
      <w:r w:rsidRPr="00FF6678">
        <w:rPr>
          <w:lang w:val="es-ES"/>
        </w:rPr>
        <w:tab/>
        <w:t xml:space="preserve">Tras ser informada del retraso masivo, esta Administración hizo todo lo posible por </w:t>
      </w:r>
      <w:r w:rsidR="00C92408" w:rsidRPr="00FF6678">
        <w:rPr>
          <w:lang w:val="es-ES"/>
        </w:rPr>
        <w:t xml:space="preserve">minimizar el retraso y </w:t>
      </w:r>
      <w:r w:rsidRPr="00FF6678">
        <w:rPr>
          <w:lang w:val="es-ES"/>
        </w:rPr>
        <w:t>lanzar AsiaSat 9 lo antes posible</w:t>
      </w:r>
      <w:r w:rsidR="00C92408" w:rsidRPr="00FF6678">
        <w:rPr>
          <w:lang w:val="es-ES"/>
        </w:rPr>
        <w:t>. Gracias a estos esfuerzos,</w:t>
      </w:r>
      <w:r w:rsidRPr="00FF6678">
        <w:rPr>
          <w:lang w:val="es-ES"/>
        </w:rPr>
        <w:t xml:space="preserve"> </w:t>
      </w:r>
      <w:r w:rsidR="00C92408" w:rsidRPr="00FF6678">
        <w:rPr>
          <w:lang w:val="es-ES"/>
        </w:rPr>
        <w:t xml:space="preserve">se consiguió lanzar </w:t>
      </w:r>
      <w:r w:rsidRPr="00FF6678">
        <w:rPr>
          <w:lang w:val="es-ES"/>
        </w:rPr>
        <w:t xml:space="preserve">AsiaSat 9 con éxito el 28 de septiembre de 2017, </w:t>
      </w:r>
      <w:r w:rsidR="00C92408" w:rsidRPr="00FF6678">
        <w:rPr>
          <w:lang w:val="es-ES"/>
        </w:rPr>
        <w:t xml:space="preserve">y el satélite alcanzó </w:t>
      </w:r>
      <w:r w:rsidRPr="00FF6678">
        <w:rPr>
          <w:lang w:val="es-ES"/>
        </w:rPr>
        <w:t>la posición 122° E el 9 de octubre de 2017. Desde entonces el satélite está en funcionamiento continuo y seguirá en servicio en la posición 122° E.</w:t>
      </w:r>
    </w:p>
    <w:p w14:paraId="448BB4B5" w14:textId="200AD062" w:rsidR="007050BD" w:rsidRPr="00FF6678" w:rsidRDefault="007050BD" w:rsidP="00E744C4">
      <w:pPr>
        <w:pStyle w:val="enumlev1"/>
        <w:rPr>
          <w:lang w:val="es-ES"/>
        </w:rPr>
      </w:pPr>
      <w:r w:rsidRPr="00FF6678">
        <w:rPr>
          <w:b/>
          <w:bCs/>
          <w:lang w:val="es-ES"/>
        </w:rPr>
        <w:t>e)</w:t>
      </w:r>
      <w:r w:rsidRPr="00FF6678">
        <w:rPr>
          <w:b/>
          <w:bCs/>
          <w:lang w:val="es-ES"/>
        </w:rPr>
        <w:tab/>
      </w:r>
      <w:r w:rsidR="00896FCA" w:rsidRPr="00FF6678">
        <w:rPr>
          <w:b/>
          <w:bCs/>
          <w:lang w:val="es-ES"/>
        </w:rPr>
        <w:t>Al igual que otras redes inscritas en el Registro Internacional, la puesta en servicio de las notificaciones de ASIASAT-AK, ASIASAT-AK1 y ASIASAT-AKX se ajustó a los requisitos del Reglamento de Radiocomunicaciones y fue conforme con los procedimientos de la época</w:t>
      </w:r>
    </w:p>
    <w:p w14:paraId="3EA064B6" w14:textId="1479D2A4" w:rsidR="007050BD" w:rsidRPr="00FF6678" w:rsidRDefault="007050BD" w:rsidP="00E744C4">
      <w:pPr>
        <w:pStyle w:val="enumlev1"/>
        <w:rPr>
          <w:highlight w:val="cyan"/>
          <w:lang w:val="es-ES"/>
        </w:rPr>
      </w:pPr>
      <w:r w:rsidRPr="00FF6678">
        <w:rPr>
          <w:lang w:val="es-ES"/>
        </w:rPr>
        <w:tab/>
      </w:r>
      <w:r w:rsidR="00896FCA" w:rsidRPr="00FF6678">
        <w:rPr>
          <w:lang w:val="es-ES"/>
        </w:rPr>
        <w:t xml:space="preserve">Cuando se pusieron en servicio las redes de satélites ASIASAT-AK, </w:t>
      </w:r>
      <w:r w:rsidR="002478E3" w:rsidRPr="00FF6678">
        <w:rPr>
          <w:lang w:val="es-ES"/>
        </w:rPr>
        <w:t>SIASAT-</w:t>
      </w:r>
      <w:r w:rsidR="00896FCA" w:rsidRPr="00FF6678">
        <w:rPr>
          <w:lang w:val="es-ES"/>
        </w:rPr>
        <w:t>AK1 y ASIASAT-AKX, esta Administración se ajustó a los requisitos del Reglamento de Radiocomunicaciones y respetó los procedimientos de la época. Las asignaciones a las redes de satélites ASIASAT-AK, AK1 y ASIASAT-AKX en cuestión se inscribieron legítimamente en el Registro Internacional</w:t>
      </w:r>
      <w:r w:rsidR="003B4E42" w:rsidRPr="00FF6678">
        <w:rPr>
          <w:lang w:val="es-ES"/>
        </w:rPr>
        <w:t xml:space="preserve"> los días </w:t>
      </w:r>
      <w:r w:rsidR="00896FCA" w:rsidRPr="00FF6678">
        <w:rPr>
          <w:lang w:val="es-ES"/>
        </w:rPr>
        <w:t>1 de octubre de 1999, 4 de diciembre de 2000 y 19 de agosto de 2004 respectivamente, y hasta el inicio de la investigación de la Oficina el 8 de noviembre de 2017, entre 13 y 18 años después, nadie había puesto en tela de juicio la validez de esas inscripciones</w:t>
      </w:r>
      <w:r w:rsidR="003B4E42" w:rsidRPr="00FF6678">
        <w:rPr>
          <w:lang w:val="es-ES"/>
        </w:rPr>
        <w:t xml:space="preserve"> ni se había informado de dificultades como consecuencia de estas asignaciones</w:t>
      </w:r>
      <w:r w:rsidR="00896FCA" w:rsidRPr="00FF6678">
        <w:rPr>
          <w:lang w:val="es-ES"/>
        </w:rPr>
        <w:t>.</w:t>
      </w:r>
    </w:p>
    <w:p w14:paraId="2A44759B" w14:textId="2DFA1A0E" w:rsidR="007050BD" w:rsidRPr="00FF6678" w:rsidRDefault="007050BD" w:rsidP="00E744C4">
      <w:pPr>
        <w:pStyle w:val="enumlev1"/>
        <w:rPr>
          <w:b/>
          <w:bCs/>
          <w:lang w:val="es-ES"/>
        </w:rPr>
      </w:pPr>
      <w:r w:rsidRPr="00FF6678">
        <w:rPr>
          <w:b/>
          <w:bCs/>
          <w:lang w:val="es-ES"/>
        </w:rPr>
        <w:t>f)</w:t>
      </w:r>
      <w:r w:rsidRPr="00FF6678">
        <w:rPr>
          <w:b/>
          <w:bCs/>
          <w:lang w:val="es-ES"/>
        </w:rPr>
        <w:tab/>
      </w:r>
      <w:r w:rsidR="00FD377F" w:rsidRPr="00FF6678">
        <w:rPr>
          <w:b/>
          <w:bCs/>
          <w:lang w:val="es-ES"/>
        </w:rPr>
        <w:t xml:space="preserve">La cancelación de las asignaciones a </w:t>
      </w:r>
      <w:r w:rsidRPr="00FF6678">
        <w:rPr>
          <w:b/>
          <w:bCs/>
          <w:lang w:val="es-ES"/>
        </w:rPr>
        <w:t xml:space="preserve">ASIASAT-AK, ASIASAT-AK1 </w:t>
      </w:r>
      <w:r w:rsidR="00FD377F" w:rsidRPr="00FF6678">
        <w:rPr>
          <w:b/>
          <w:bCs/>
          <w:lang w:val="es-ES"/>
        </w:rPr>
        <w:t xml:space="preserve">y </w:t>
      </w:r>
      <w:r w:rsidRPr="00FF6678">
        <w:rPr>
          <w:b/>
          <w:bCs/>
          <w:lang w:val="es-ES"/>
        </w:rPr>
        <w:t xml:space="preserve">ASIASAT-AKX </w:t>
      </w:r>
      <w:r w:rsidR="00FD377F" w:rsidRPr="00FF6678">
        <w:rPr>
          <w:b/>
          <w:bCs/>
          <w:lang w:val="es-ES"/>
        </w:rPr>
        <w:t xml:space="preserve">en cuestión repercutiría negativamente en los servicios existentes prestados por el satélite </w:t>
      </w:r>
      <w:r w:rsidRPr="00FF6678">
        <w:rPr>
          <w:b/>
          <w:bCs/>
          <w:lang w:val="es-ES"/>
        </w:rPr>
        <w:t>AsiaSat 9</w:t>
      </w:r>
    </w:p>
    <w:p w14:paraId="1F608CD5" w14:textId="1E0F2EFD" w:rsidR="007050BD" w:rsidRPr="00FF6678" w:rsidRDefault="007050BD" w:rsidP="00E744C4">
      <w:pPr>
        <w:pStyle w:val="enumlev1"/>
        <w:rPr>
          <w:lang w:val="es-ES"/>
        </w:rPr>
      </w:pPr>
      <w:r w:rsidRPr="00FF6678">
        <w:rPr>
          <w:lang w:val="es-ES"/>
        </w:rPr>
        <w:tab/>
      </w:r>
      <w:r w:rsidR="00896FCA" w:rsidRPr="00FF6678">
        <w:rPr>
          <w:lang w:val="es-ES"/>
        </w:rPr>
        <w:t>AsiaSat 9 utiliza</w:t>
      </w:r>
      <w:r w:rsidR="00BF3C99" w:rsidRPr="00FF6678">
        <w:rPr>
          <w:lang w:val="es-ES"/>
        </w:rPr>
        <w:t xml:space="preserve"> actualmente</w:t>
      </w:r>
      <w:r w:rsidR="00896FCA" w:rsidRPr="00FF6678">
        <w:rPr>
          <w:lang w:val="es-ES"/>
        </w:rPr>
        <w:t xml:space="preserve"> las asignaciones en cuestión para prestar servicios, algunos de ellos de importancia crítica, como son, por ejemplo, los servicios prestados a las redes de comunicaciones gubernamentales, marítimas, de la banca y las finanzas y de las industrias petroleras y de gas. AsiaSat 9 también se utiliza para desplegar redes de banda ancha de alta velocidad en un país en desarrollo, que conectan cientos de emplazamientos remotos de todo el país. </w:t>
      </w:r>
      <w:r w:rsidR="00B74DE4" w:rsidRPr="00FF6678">
        <w:rPr>
          <w:lang w:val="es-ES"/>
        </w:rPr>
        <w:t xml:space="preserve">Cabe destacar también que, dado que esta Administración se ha abstenido en buena fe de notificar las asignaciones que se superponen en la red de satélites </w:t>
      </w:r>
      <w:r w:rsidRPr="00FF6678">
        <w:rPr>
          <w:lang w:val="es-ES"/>
        </w:rPr>
        <w:t>ASIASAT-AAA</w:t>
      </w:r>
      <w:r w:rsidR="00B74DE4" w:rsidRPr="00FF6678">
        <w:rPr>
          <w:lang w:val="es-ES"/>
        </w:rPr>
        <w:t xml:space="preserve">, las cuales han expirado posteriormente, la cancelación de las asignaciones en cuestión repercutiría negativamente en China y en los servicios críticos que presta </w:t>
      </w:r>
      <w:r w:rsidRPr="00FF6678">
        <w:rPr>
          <w:lang w:val="es-ES"/>
        </w:rPr>
        <w:t>AsiaSat 9</w:t>
      </w:r>
      <w:r w:rsidR="00B74DE4" w:rsidRPr="00FF6678">
        <w:rPr>
          <w:lang w:val="es-ES"/>
        </w:rPr>
        <w:t xml:space="preserve"> hoy en día</w:t>
      </w:r>
      <w:r w:rsidRPr="00FF6678">
        <w:rPr>
          <w:lang w:val="es-ES"/>
        </w:rPr>
        <w:t xml:space="preserve">. </w:t>
      </w:r>
    </w:p>
    <w:p w14:paraId="560792D5" w14:textId="43203EDA" w:rsidR="007050BD" w:rsidRPr="00FF6678" w:rsidRDefault="007050BD" w:rsidP="00E744C4">
      <w:pPr>
        <w:pStyle w:val="enumlev1"/>
        <w:rPr>
          <w:b/>
          <w:bCs/>
          <w:lang w:val="es-ES"/>
        </w:rPr>
      </w:pPr>
      <w:r w:rsidRPr="00FF6678">
        <w:rPr>
          <w:b/>
          <w:bCs/>
          <w:lang w:val="es-ES"/>
        </w:rPr>
        <w:t>g)</w:t>
      </w:r>
      <w:r w:rsidRPr="00FF6678">
        <w:rPr>
          <w:b/>
          <w:bCs/>
          <w:lang w:val="es-ES"/>
        </w:rPr>
        <w:tab/>
      </w:r>
      <w:r w:rsidR="00B74DE4" w:rsidRPr="00FF6678">
        <w:rPr>
          <w:b/>
          <w:bCs/>
          <w:lang w:val="es-ES"/>
        </w:rPr>
        <w:t>Implicaciones reglamentarias</w:t>
      </w:r>
    </w:p>
    <w:p w14:paraId="7B98CBD8" w14:textId="1CF3FFEB" w:rsidR="007050BD" w:rsidRPr="00FF6678" w:rsidRDefault="007050BD" w:rsidP="00E744C4">
      <w:pPr>
        <w:pStyle w:val="enumlev2"/>
        <w:rPr>
          <w:b/>
          <w:bCs/>
          <w:lang w:val="es-ES"/>
        </w:rPr>
      </w:pPr>
      <w:r w:rsidRPr="00FF6678">
        <w:rPr>
          <w:lang w:val="es-ES"/>
        </w:rPr>
        <w:t>i</w:t>
      </w:r>
      <w:r w:rsidRPr="00FF6678">
        <w:rPr>
          <w:lang w:val="es-ES"/>
        </w:rPr>
        <w:tab/>
      </w:r>
      <w:r w:rsidR="00B74DE4" w:rsidRPr="00FF6678">
        <w:rPr>
          <w:b/>
          <w:bCs/>
          <w:lang w:val="es-ES"/>
        </w:rPr>
        <w:t>Las asignaciones</w:t>
      </w:r>
      <w:r w:rsidR="00B74DE4" w:rsidRPr="00FF6678">
        <w:rPr>
          <w:lang w:val="es-ES"/>
        </w:rPr>
        <w:t xml:space="preserve"> </w:t>
      </w:r>
      <w:r w:rsidR="00B74DE4" w:rsidRPr="00FF6678">
        <w:rPr>
          <w:b/>
          <w:bCs/>
          <w:lang w:val="es-ES"/>
        </w:rPr>
        <w:t xml:space="preserve">a </w:t>
      </w:r>
      <w:r w:rsidRPr="00FF6678">
        <w:rPr>
          <w:b/>
          <w:bCs/>
          <w:lang w:val="es-ES"/>
        </w:rPr>
        <w:t xml:space="preserve">ASIASAT-AK, </w:t>
      </w:r>
      <w:r w:rsidR="00B74DE4" w:rsidRPr="00FF6678">
        <w:rPr>
          <w:b/>
          <w:bCs/>
          <w:lang w:val="es-ES"/>
        </w:rPr>
        <w:t>ASIASAT-</w:t>
      </w:r>
      <w:r w:rsidRPr="00FF6678">
        <w:rPr>
          <w:b/>
          <w:bCs/>
          <w:lang w:val="es-ES"/>
        </w:rPr>
        <w:t xml:space="preserve">AK1 </w:t>
      </w:r>
      <w:r w:rsidR="00B74DE4" w:rsidRPr="00FF6678">
        <w:rPr>
          <w:b/>
          <w:bCs/>
          <w:lang w:val="es-ES"/>
        </w:rPr>
        <w:t xml:space="preserve">y </w:t>
      </w:r>
      <w:r w:rsidRPr="00FF6678">
        <w:rPr>
          <w:b/>
          <w:bCs/>
          <w:lang w:val="es-ES"/>
        </w:rPr>
        <w:t xml:space="preserve">ASIASAT-AKX </w:t>
      </w:r>
      <w:r w:rsidR="00B74DE4" w:rsidRPr="00FF6678">
        <w:rPr>
          <w:b/>
          <w:bCs/>
          <w:lang w:val="es-ES"/>
        </w:rPr>
        <w:t xml:space="preserve">en cuestión estaban plenamente operativas antes de que la Oficina iniciara la investigación con arreglo al número </w:t>
      </w:r>
      <w:r w:rsidRPr="00FF6678">
        <w:rPr>
          <w:b/>
          <w:bCs/>
          <w:lang w:val="es-ES"/>
        </w:rPr>
        <w:t xml:space="preserve">13.6 </w:t>
      </w:r>
      <w:r w:rsidR="00B74DE4" w:rsidRPr="00FF6678">
        <w:rPr>
          <w:b/>
          <w:bCs/>
          <w:lang w:val="es-ES"/>
        </w:rPr>
        <w:t xml:space="preserve">en noviembre de </w:t>
      </w:r>
      <w:r w:rsidRPr="00FF6678">
        <w:rPr>
          <w:b/>
          <w:bCs/>
          <w:lang w:val="es-ES"/>
        </w:rPr>
        <w:t>2017</w:t>
      </w:r>
    </w:p>
    <w:p w14:paraId="2FD10ED6" w14:textId="73EE80C2" w:rsidR="007050BD" w:rsidRPr="00FF6678" w:rsidRDefault="007050BD" w:rsidP="00E744C4">
      <w:pPr>
        <w:pStyle w:val="enumlev2"/>
        <w:rPr>
          <w:lang w:val="es-ES"/>
        </w:rPr>
      </w:pPr>
      <w:r w:rsidRPr="00FF6678">
        <w:rPr>
          <w:lang w:val="es-ES"/>
        </w:rPr>
        <w:tab/>
      </w:r>
      <w:r w:rsidR="008C470E" w:rsidRPr="00FF6678">
        <w:rPr>
          <w:lang w:val="es-ES"/>
        </w:rPr>
        <w:t xml:space="preserve">Como han demostrado las pruebas proporcionadas relativas a </w:t>
      </w:r>
      <w:r w:rsidRPr="00FF6678">
        <w:rPr>
          <w:lang w:val="es-ES"/>
        </w:rPr>
        <w:t xml:space="preserve">AsiaSat 9, </w:t>
      </w:r>
      <w:r w:rsidR="008C470E" w:rsidRPr="00FF6678">
        <w:rPr>
          <w:lang w:val="es-ES"/>
        </w:rPr>
        <w:t xml:space="preserve">las asignaciones a </w:t>
      </w:r>
      <w:r w:rsidRPr="00FF6678">
        <w:rPr>
          <w:lang w:val="es-ES"/>
        </w:rPr>
        <w:t xml:space="preserve">ASIASAT-AK, </w:t>
      </w:r>
      <w:r w:rsidR="008C470E" w:rsidRPr="00FF6678">
        <w:rPr>
          <w:lang w:val="es-ES"/>
        </w:rPr>
        <w:t>ASIASAT</w:t>
      </w:r>
      <w:r w:rsidRPr="00FF6678">
        <w:rPr>
          <w:lang w:val="es-ES"/>
        </w:rPr>
        <w:t xml:space="preserve">-AK1 </w:t>
      </w:r>
      <w:r w:rsidR="008C470E" w:rsidRPr="00FF6678">
        <w:rPr>
          <w:lang w:val="es-ES"/>
        </w:rPr>
        <w:t xml:space="preserve">y </w:t>
      </w:r>
      <w:r w:rsidRPr="00FF6678">
        <w:rPr>
          <w:lang w:val="es-ES"/>
        </w:rPr>
        <w:t xml:space="preserve">ASIASAT-AKX </w:t>
      </w:r>
      <w:r w:rsidR="008C470E" w:rsidRPr="00FF6678">
        <w:rPr>
          <w:lang w:val="es-ES"/>
        </w:rPr>
        <w:t xml:space="preserve">en cuestión estaban plenamente operativas antes de que se iniciara la investigación con </w:t>
      </w:r>
      <w:r w:rsidR="008C470E" w:rsidRPr="00FF6678">
        <w:rPr>
          <w:lang w:val="es-ES"/>
        </w:rPr>
        <w:lastRenderedPageBreak/>
        <w:t xml:space="preserve">arreglo al número </w:t>
      </w:r>
      <w:r w:rsidRPr="00FF6678">
        <w:rPr>
          <w:b/>
          <w:lang w:val="es-ES"/>
        </w:rPr>
        <w:t>13.6</w:t>
      </w:r>
      <w:r w:rsidRPr="00FF6678">
        <w:rPr>
          <w:lang w:val="es-ES"/>
        </w:rPr>
        <w:t xml:space="preserve"> </w:t>
      </w:r>
      <w:r w:rsidR="008C470E" w:rsidRPr="00FF6678">
        <w:rPr>
          <w:lang w:val="es-ES"/>
        </w:rPr>
        <w:t xml:space="preserve">del RR en noviembre de </w:t>
      </w:r>
      <w:r w:rsidRPr="00FF6678">
        <w:rPr>
          <w:lang w:val="es-ES"/>
        </w:rPr>
        <w:t xml:space="preserve">2017. AsiaSat 9 </w:t>
      </w:r>
      <w:r w:rsidR="008C470E" w:rsidRPr="00FF6678">
        <w:rPr>
          <w:lang w:val="es-ES"/>
        </w:rPr>
        <w:t xml:space="preserve">ha estado en uso desde </w:t>
      </w:r>
      <w:r w:rsidRPr="00FF6678">
        <w:rPr>
          <w:lang w:val="es-ES"/>
        </w:rPr>
        <w:t xml:space="preserve">2017 </w:t>
      </w:r>
      <w:r w:rsidR="008C470E" w:rsidRPr="00FF6678">
        <w:rPr>
          <w:lang w:val="es-ES"/>
        </w:rPr>
        <w:t>y seguirá en funcionamiento durante muchos años</w:t>
      </w:r>
      <w:r w:rsidRPr="00FF6678">
        <w:rPr>
          <w:lang w:val="es-ES"/>
        </w:rPr>
        <w:t>.</w:t>
      </w:r>
    </w:p>
    <w:p w14:paraId="0232FAD7" w14:textId="45D28361" w:rsidR="007050BD" w:rsidRPr="00FF6678" w:rsidRDefault="007050BD" w:rsidP="00E744C4">
      <w:pPr>
        <w:pStyle w:val="enumlev2"/>
        <w:rPr>
          <w:b/>
          <w:bCs/>
          <w:lang w:val="es-ES"/>
        </w:rPr>
      </w:pPr>
      <w:r w:rsidRPr="00FF6678">
        <w:rPr>
          <w:lang w:val="es-ES"/>
        </w:rPr>
        <w:t>ii</w:t>
      </w:r>
      <w:r w:rsidRPr="00FF6678">
        <w:rPr>
          <w:lang w:val="es-ES"/>
        </w:rPr>
        <w:tab/>
      </w:r>
      <w:r w:rsidR="008C470E" w:rsidRPr="00FF6678">
        <w:rPr>
          <w:b/>
          <w:bCs/>
          <w:lang w:val="es-ES"/>
        </w:rPr>
        <w:t xml:space="preserve">Los procedimientos nuevos </w:t>
      </w:r>
      <w:r w:rsidR="00EC2655" w:rsidRPr="00FF6678">
        <w:rPr>
          <w:b/>
          <w:bCs/>
          <w:lang w:val="es-ES"/>
        </w:rPr>
        <w:t>para la</w:t>
      </w:r>
      <w:r w:rsidR="008C470E" w:rsidRPr="00FF6678">
        <w:rPr>
          <w:b/>
          <w:bCs/>
          <w:lang w:val="es-ES"/>
        </w:rPr>
        <w:t xml:space="preserve"> aplicación del Reglamento de Radiocomunicaciones no se deberían ejecutar retroactivamente</w:t>
      </w:r>
    </w:p>
    <w:p w14:paraId="78CDCE70" w14:textId="12EC290A" w:rsidR="007050BD" w:rsidRPr="00FF6678" w:rsidRDefault="007050BD" w:rsidP="00E744C4">
      <w:pPr>
        <w:pStyle w:val="enumlev2"/>
        <w:rPr>
          <w:lang w:val="es-ES"/>
        </w:rPr>
      </w:pPr>
      <w:r w:rsidRPr="00FF6678">
        <w:rPr>
          <w:lang w:val="es-ES"/>
        </w:rPr>
        <w:tab/>
      </w:r>
      <w:r w:rsidR="00EC2655" w:rsidRPr="00FF6678">
        <w:rPr>
          <w:lang w:val="es-ES"/>
        </w:rPr>
        <w:t xml:space="preserve">Es un principio arraigado que los procedimientos nuevos para la aplicación del Reglamento de Radiocomunicaciones se deberían publicar y dar a conocer a las Administraciones de antemano, y no deberían aplicarse retroactivamente a casos planteados antes de </w:t>
      </w:r>
      <w:r w:rsidR="00CB0324" w:rsidRPr="00FF6678">
        <w:rPr>
          <w:lang w:val="es-ES"/>
        </w:rPr>
        <w:t>su</w:t>
      </w:r>
      <w:r w:rsidR="00EC2655" w:rsidRPr="00FF6678">
        <w:rPr>
          <w:lang w:val="es-ES"/>
        </w:rPr>
        <w:t xml:space="preserve"> publicación. Cuando se consider</w:t>
      </w:r>
      <w:r w:rsidR="00CB0324" w:rsidRPr="00FF6678">
        <w:rPr>
          <w:lang w:val="es-ES"/>
        </w:rPr>
        <w:t>ó</w:t>
      </w:r>
      <w:r w:rsidR="00EC2655" w:rsidRPr="00FF6678">
        <w:rPr>
          <w:lang w:val="es-ES"/>
        </w:rPr>
        <w:t xml:space="preserve"> el caso de </w:t>
      </w:r>
      <w:r w:rsidRPr="00FF6678">
        <w:rPr>
          <w:lang w:val="es-ES"/>
        </w:rPr>
        <w:t xml:space="preserve">ASIASAT-AK, </w:t>
      </w:r>
      <w:r w:rsidR="00EC2655" w:rsidRPr="00FF6678">
        <w:rPr>
          <w:lang w:val="es-ES"/>
        </w:rPr>
        <w:t>ASIASAT-</w:t>
      </w:r>
      <w:r w:rsidRPr="00FF6678">
        <w:rPr>
          <w:lang w:val="es-ES"/>
        </w:rPr>
        <w:t>AK1</w:t>
      </w:r>
      <w:r w:rsidR="00EC2655" w:rsidRPr="00FF6678">
        <w:rPr>
          <w:lang w:val="es-ES"/>
        </w:rPr>
        <w:t xml:space="preserve"> y ASIASAT-</w:t>
      </w:r>
      <w:r w:rsidRPr="00FF6678">
        <w:rPr>
          <w:lang w:val="es-ES"/>
        </w:rPr>
        <w:t>AKX</w:t>
      </w:r>
      <w:r w:rsidR="00EC2655" w:rsidRPr="00FF6678">
        <w:rPr>
          <w:lang w:val="es-ES"/>
        </w:rPr>
        <w:t xml:space="preserve">, no se habían anunciado principios o procedimientos nuevos diferentes de los establecidos en </w:t>
      </w:r>
      <w:r w:rsidRPr="00FF6678">
        <w:rPr>
          <w:lang w:val="es-ES"/>
        </w:rPr>
        <w:t xml:space="preserve">CR/436 </w:t>
      </w:r>
      <w:r w:rsidR="00EC2655" w:rsidRPr="00FF6678">
        <w:rPr>
          <w:lang w:val="es-ES"/>
        </w:rPr>
        <w:t xml:space="preserve">y en </w:t>
      </w:r>
      <w:r w:rsidR="00CB0324" w:rsidRPr="00FF6678">
        <w:rPr>
          <w:lang w:val="es-ES"/>
        </w:rPr>
        <w:t xml:space="preserve">el </w:t>
      </w:r>
      <w:r w:rsidR="00EC2655" w:rsidRPr="00FF6678">
        <w:rPr>
          <w:lang w:val="es-ES"/>
        </w:rPr>
        <w:t xml:space="preserve">Informe de la </w:t>
      </w:r>
      <w:r w:rsidRPr="00FF6678">
        <w:rPr>
          <w:lang w:val="es-ES"/>
        </w:rPr>
        <w:t>RRB</w:t>
      </w:r>
      <w:r w:rsidR="00EC2655" w:rsidRPr="00FF6678">
        <w:rPr>
          <w:lang w:val="es-ES"/>
        </w:rPr>
        <w:t xml:space="preserve"> a la CMR</w:t>
      </w:r>
      <w:r w:rsidRPr="00FF6678">
        <w:rPr>
          <w:lang w:val="es-ES"/>
        </w:rPr>
        <w:t>-15.</w:t>
      </w:r>
    </w:p>
    <w:p w14:paraId="0A7591B5" w14:textId="435C48BA" w:rsidR="007050BD" w:rsidRPr="00FF6678" w:rsidRDefault="007050BD" w:rsidP="00E744C4">
      <w:pPr>
        <w:pStyle w:val="enumlev2"/>
        <w:rPr>
          <w:b/>
          <w:bCs/>
          <w:lang w:val="es-ES"/>
        </w:rPr>
      </w:pPr>
      <w:r w:rsidRPr="00FF6678">
        <w:rPr>
          <w:lang w:val="es-ES"/>
        </w:rPr>
        <w:t>iii</w:t>
      </w:r>
      <w:r w:rsidRPr="00FF6678">
        <w:rPr>
          <w:lang w:val="es-ES"/>
        </w:rPr>
        <w:tab/>
      </w:r>
      <w:r w:rsidR="000815AF" w:rsidRPr="00FF6678">
        <w:rPr>
          <w:b/>
          <w:bCs/>
          <w:lang w:val="es-ES"/>
        </w:rPr>
        <w:t>La creación</w:t>
      </w:r>
      <w:r w:rsidR="000815AF" w:rsidRPr="00FF6678">
        <w:rPr>
          <w:lang w:val="es-ES"/>
        </w:rPr>
        <w:t xml:space="preserve"> </w:t>
      </w:r>
      <w:r w:rsidR="000815AF" w:rsidRPr="00FF6678">
        <w:rPr>
          <w:b/>
          <w:bCs/>
          <w:lang w:val="es-ES"/>
        </w:rPr>
        <w:t xml:space="preserve">de una discrepancia en el Registro Internacional de Frecuencias contraviene el objetivo del número </w:t>
      </w:r>
      <w:r w:rsidRPr="00FF6678">
        <w:rPr>
          <w:b/>
          <w:bCs/>
          <w:lang w:val="es-ES"/>
        </w:rPr>
        <w:t>13.6</w:t>
      </w:r>
      <w:r w:rsidR="000815AF" w:rsidRPr="00FF6678">
        <w:rPr>
          <w:b/>
          <w:bCs/>
          <w:lang w:val="es-ES"/>
        </w:rPr>
        <w:t xml:space="preserve"> del RR</w:t>
      </w:r>
    </w:p>
    <w:p w14:paraId="5B639043" w14:textId="0D7C4261" w:rsidR="007050BD" w:rsidRPr="00FF6678" w:rsidRDefault="007050BD" w:rsidP="00E744C4">
      <w:pPr>
        <w:pStyle w:val="enumlev2"/>
        <w:rPr>
          <w:lang w:val="es-ES"/>
        </w:rPr>
      </w:pPr>
      <w:r w:rsidRPr="00FF6678">
        <w:rPr>
          <w:lang w:val="es-ES"/>
        </w:rPr>
        <w:tab/>
      </w:r>
      <w:r w:rsidR="0083746A" w:rsidRPr="00FF6678">
        <w:rPr>
          <w:lang w:val="es-ES"/>
        </w:rPr>
        <w:t xml:space="preserve">El número </w:t>
      </w:r>
      <w:r w:rsidRPr="00FF6678">
        <w:rPr>
          <w:b/>
          <w:lang w:val="es-ES"/>
        </w:rPr>
        <w:t>13.6</w:t>
      </w:r>
      <w:r w:rsidRPr="00FF6678">
        <w:rPr>
          <w:lang w:val="es-ES"/>
        </w:rPr>
        <w:t xml:space="preserve"> </w:t>
      </w:r>
      <w:r w:rsidR="0083746A" w:rsidRPr="00FF6678">
        <w:rPr>
          <w:lang w:val="es-ES"/>
        </w:rPr>
        <w:t xml:space="preserve">del RR se inscribe en el Artículo 13, </w:t>
      </w:r>
      <w:r w:rsidR="00896FCA" w:rsidRPr="00FF6678">
        <w:rPr>
          <w:lang w:val="es-ES"/>
        </w:rPr>
        <w:t>Sección II</w:t>
      </w:r>
      <w:r w:rsidR="0083746A" w:rsidRPr="00FF6678">
        <w:rPr>
          <w:lang w:val="es-ES"/>
        </w:rPr>
        <w:t xml:space="preserve">, </w:t>
      </w:r>
      <w:r w:rsidR="000649DD" w:rsidRPr="00FF6678">
        <w:rPr>
          <w:lang w:val="es-ES"/>
        </w:rPr>
        <w:t>«</w:t>
      </w:r>
      <w:r w:rsidR="00896FCA" w:rsidRPr="00FF6678">
        <w:rPr>
          <w:lang w:val="es-ES"/>
        </w:rPr>
        <w:t>Mantenimiento del Registro y de los planes mundiales por la Oficina</w:t>
      </w:r>
      <w:r w:rsidR="000649DD" w:rsidRPr="00FF6678">
        <w:rPr>
          <w:lang w:val="es-ES"/>
        </w:rPr>
        <w:t>»</w:t>
      </w:r>
      <w:r w:rsidRPr="00FF6678">
        <w:rPr>
          <w:lang w:val="es-ES"/>
        </w:rPr>
        <w:t xml:space="preserve"> </w:t>
      </w:r>
      <w:r w:rsidR="0083746A" w:rsidRPr="00FF6678">
        <w:rPr>
          <w:lang w:val="es-ES"/>
        </w:rPr>
        <w:t xml:space="preserve">del Reglamento de Radiocomunicaciones. El objetivo del número </w:t>
      </w:r>
      <w:r w:rsidRPr="00FF6678">
        <w:rPr>
          <w:b/>
          <w:lang w:val="es-ES"/>
        </w:rPr>
        <w:t>13.6</w:t>
      </w:r>
      <w:r w:rsidRPr="00FF6678">
        <w:rPr>
          <w:lang w:val="es-ES"/>
        </w:rPr>
        <w:t xml:space="preserve"> </w:t>
      </w:r>
      <w:r w:rsidR="0083746A" w:rsidRPr="00FF6678">
        <w:rPr>
          <w:lang w:val="es-ES"/>
        </w:rPr>
        <w:t>del RR es garantizar que el registro maestro refleja la utilización real.</w:t>
      </w:r>
    </w:p>
    <w:p w14:paraId="15A24D6F" w14:textId="2EF19247" w:rsidR="007050BD" w:rsidRPr="00FF6678" w:rsidRDefault="007050BD" w:rsidP="00E744C4">
      <w:pPr>
        <w:pStyle w:val="enumlev2"/>
        <w:rPr>
          <w:lang w:val="es-ES"/>
        </w:rPr>
      </w:pPr>
      <w:r w:rsidRPr="00FF6678">
        <w:rPr>
          <w:lang w:val="es-ES"/>
        </w:rPr>
        <w:tab/>
      </w:r>
      <w:r w:rsidR="0083746A" w:rsidRPr="00FF6678">
        <w:rPr>
          <w:lang w:val="es-ES"/>
        </w:rPr>
        <w:t xml:space="preserve">La cancelación de las asignaciones en cuestión, que se ha demostrado que ya estaban en funcionamiento y que continuarán operativas, generaría una discrepancia entre el uso real y el Registro Internacional, lo que contravendría el objetivo del número </w:t>
      </w:r>
      <w:r w:rsidRPr="00FF6678">
        <w:rPr>
          <w:b/>
          <w:lang w:val="es-ES"/>
        </w:rPr>
        <w:t>13.6</w:t>
      </w:r>
      <w:r w:rsidR="0083746A" w:rsidRPr="00FF6678">
        <w:rPr>
          <w:b/>
          <w:lang w:val="es-ES"/>
        </w:rPr>
        <w:t xml:space="preserve"> </w:t>
      </w:r>
      <w:r w:rsidR="0083746A" w:rsidRPr="00FF6678">
        <w:rPr>
          <w:bCs/>
          <w:lang w:val="es-ES"/>
        </w:rPr>
        <w:t>del RR</w:t>
      </w:r>
      <w:r w:rsidRPr="00FF6678">
        <w:rPr>
          <w:lang w:val="es-ES"/>
        </w:rPr>
        <w:t>.</w:t>
      </w:r>
    </w:p>
    <w:p w14:paraId="0E814ECE" w14:textId="28E141E5" w:rsidR="007050BD" w:rsidRPr="00FF6678" w:rsidRDefault="007050BD" w:rsidP="00E744C4">
      <w:pPr>
        <w:pStyle w:val="enumlev2"/>
        <w:rPr>
          <w:lang w:val="es-ES"/>
        </w:rPr>
      </w:pPr>
      <w:r w:rsidRPr="00FF6678">
        <w:rPr>
          <w:lang w:val="es-ES"/>
        </w:rPr>
        <w:tab/>
      </w:r>
      <w:r w:rsidR="00177277" w:rsidRPr="00FF6678">
        <w:rPr>
          <w:lang w:val="es-ES"/>
        </w:rPr>
        <w:t xml:space="preserve">Si se cancelan las asignaciones del Registro Internacional, el satélite permanecerá en órbita. Sin embargo, ninguna asignación del Registro describiría el funcionamiento real. Cuando no se refleja en el Registro un satélite real, que está en funcionamiento en posición orbital, otras Administraciones encuentran dificultades para aplicar los Artículos </w:t>
      </w:r>
      <w:r w:rsidRPr="00FF6678">
        <w:rPr>
          <w:lang w:val="es-ES"/>
        </w:rPr>
        <w:t xml:space="preserve">9 </w:t>
      </w:r>
      <w:r w:rsidR="00177277" w:rsidRPr="00FF6678">
        <w:rPr>
          <w:lang w:val="es-ES"/>
        </w:rPr>
        <w:t xml:space="preserve">y </w:t>
      </w:r>
      <w:r w:rsidRPr="00FF6678">
        <w:rPr>
          <w:lang w:val="es-ES"/>
        </w:rPr>
        <w:t>11</w:t>
      </w:r>
      <w:r w:rsidR="00177277" w:rsidRPr="00FF6678">
        <w:rPr>
          <w:lang w:val="es-ES"/>
        </w:rPr>
        <w:t xml:space="preserve">(procedimientos de coordinación y comunicación) en sus redes nuevas, lo que contravendría el objetivo del número </w:t>
      </w:r>
      <w:r w:rsidRPr="00FF6678">
        <w:rPr>
          <w:b/>
          <w:lang w:val="es-ES"/>
        </w:rPr>
        <w:t>13.6</w:t>
      </w:r>
      <w:r w:rsidR="00177277" w:rsidRPr="00FF6678">
        <w:rPr>
          <w:b/>
          <w:lang w:val="es-ES"/>
        </w:rPr>
        <w:t xml:space="preserve"> </w:t>
      </w:r>
      <w:r w:rsidR="00177277" w:rsidRPr="00FF6678">
        <w:rPr>
          <w:bCs/>
          <w:lang w:val="es-ES"/>
        </w:rPr>
        <w:t>del RR</w:t>
      </w:r>
      <w:r w:rsidRPr="00FF6678">
        <w:rPr>
          <w:lang w:val="es-ES"/>
        </w:rPr>
        <w:t>.</w:t>
      </w:r>
    </w:p>
    <w:p w14:paraId="11B8E026" w14:textId="78D30FA7" w:rsidR="007050BD" w:rsidRPr="00FF6678" w:rsidRDefault="007050BD" w:rsidP="00E744C4">
      <w:pPr>
        <w:pStyle w:val="Heading1"/>
        <w:rPr>
          <w:lang w:val="es-ES"/>
        </w:rPr>
      </w:pPr>
      <w:r w:rsidRPr="00FF6678">
        <w:rPr>
          <w:lang w:val="es-ES"/>
        </w:rPr>
        <w:t>9</w:t>
      </w:r>
      <w:r w:rsidRPr="00FF6678">
        <w:rPr>
          <w:lang w:val="es-ES"/>
        </w:rPr>
        <w:tab/>
      </w:r>
      <w:r w:rsidR="00FB3FEF" w:rsidRPr="00FF6678">
        <w:rPr>
          <w:lang w:val="es-ES"/>
        </w:rPr>
        <w:t>Solicitud dirigida a la CMR-19 para que se mantengan las asignaciones en cuestión en el Registro Internacional de Frecuencias</w:t>
      </w:r>
    </w:p>
    <w:p w14:paraId="7C7BC4D4" w14:textId="77167751" w:rsidR="007050BD" w:rsidRPr="00FF6678" w:rsidRDefault="00FB3FEF" w:rsidP="00E744C4">
      <w:pPr>
        <w:rPr>
          <w:lang w:val="es-ES"/>
        </w:rPr>
      </w:pPr>
      <w:r w:rsidRPr="00FF6678">
        <w:rPr>
          <w:lang w:val="es-ES"/>
        </w:rPr>
        <w:t xml:space="preserve">Se ha demostrado que las asignaciones a </w:t>
      </w:r>
      <w:r w:rsidR="007050BD" w:rsidRPr="00FF6678">
        <w:rPr>
          <w:lang w:val="es-ES"/>
        </w:rPr>
        <w:t xml:space="preserve">ASIASAT-AK, </w:t>
      </w:r>
      <w:r w:rsidRPr="00FF6678">
        <w:rPr>
          <w:lang w:val="es-ES"/>
        </w:rPr>
        <w:t>ASIASAT</w:t>
      </w:r>
      <w:r w:rsidR="007050BD" w:rsidRPr="00FF6678">
        <w:rPr>
          <w:lang w:val="es-ES"/>
        </w:rPr>
        <w:t xml:space="preserve">-AK1 </w:t>
      </w:r>
      <w:r w:rsidRPr="00FF6678">
        <w:rPr>
          <w:lang w:val="es-ES"/>
        </w:rPr>
        <w:t>y ASIASAT</w:t>
      </w:r>
      <w:r w:rsidR="007050BD" w:rsidRPr="00FF6678">
        <w:rPr>
          <w:lang w:val="es-ES"/>
        </w:rPr>
        <w:t xml:space="preserve">-AKX </w:t>
      </w:r>
      <w:r w:rsidRPr="00FF6678">
        <w:rPr>
          <w:lang w:val="es-ES"/>
        </w:rPr>
        <w:t xml:space="preserve">que se pusieron en servicio hace </w:t>
      </w:r>
      <w:r w:rsidR="007050BD" w:rsidRPr="00FF6678">
        <w:rPr>
          <w:lang w:val="es-ES"/>
        </w:rPr>
        <w:t xml:space="preserve">18-21 </w:t>
      </w:r>
      <w:r w:rsidRPr="00FF6678">
        <w:rPr>
          <w:lang w:val="es-ES"/>
        </w:rPr>
        <w:t xml:space="preserve">años están plenamente operativas </w:t>
      </w:r>
      <w:r w:rsidR="00FF6678" w:rsidRPr="00FF6678">
        <w:rPr>
          <w:lang w:val="es-ES"/>
        </w:rPr>
        <w:t>hoy en día</w:t>
      </w:r>
      <w:r w:rsidRPr="00FF6678">
        <w:rPr>
          <w:lang w:val="es-ES"/>
        </w:rPr>
        <w:t xml:space="preserve">. Además, estas redes han completado todas las acciones de coordinación de frecuencias requeridas y han sido inscritas en el Registro Internacional de Coordinación sin requisitos de coordinación pendientes. Durante los 18 a 21 años transcurridos desde su puesta en servicio, </w:t>
      </w:r>
      <w:r w:rsidR="000649DD" w:rsidRPr="00FF6678">
        <w:rPr>
          <w:lang w:val="es-ES"/>
        </w:rPr>
        <w:t>ninguna administración se ha quejado de estas asignaciones ni las ha puesto en tela de juicio</w:t>
      </w:r>
      <w:r w:rsidR="007050BD" w:rsidRPr="00FF6678">
        <w:rPr>
          <w:lang w:val="es-ES"/>
        </w:rPr>
        <w:t>.</w:t>
      </w:r>
    </w:p>
    <w:p w14:paraId="333AED9B" w14:textId="6ABF2375" w:rsidR="007050BD" w:rsidRPr="00FF6678" w:rsidRDefault="00FB3FEF" w:rsidP="00E744C4">
      <w:pPr>
        <w:rPr>
          <w:lang w:val="es-ES"/>
        </w:rPr>
      </w:pPr>
      <w:r w:rsidRPr="00FF6678">
        <w:rPr>
          <w:lang w:val="es-ES"/>
        </w:rPr>
        <w:t xml:space="preserve">Esta Administración solicita respetuosamente a la CMR-19 que considere los puntos argumentados en este documento y que encargue a la Oficina que mantenga las asignaciones a </w:t>
      </w:r>
      <w:r w:rsidR="007050BD" w:rsidRPr="00FF6678">
        <w:rPr>
          <w:lang w:val="es-ES"/>
        </w:rPr>
        <w:t>ASIASAT-AK,</w:t>
      </w:r>
      <w:r w:rsidRPr="00FF6678">
        <w:rPr>
          <w:lang w:val="es-ES"/>
        </w:rPr>
        <w:t xml:space="preserve"> ASIASAT</w:t>
      </w:r>
      <w:r w:rsidR="007050BD" w:rsidRPr="00FF6678">
        <w:rPr>
          <w:lang w:val="es-ES"/>
        </w:rPr>
        <w:t xml:space="preserve">-AK1 </w:t>
      </w:r>
      <w:r w:rsidRPr="00FF6678">
        <w:rPr>
          <w:lang w:val="es-ES"/>
        </w:rPr>
        <w:t>y ASIASAT</w:t>
      </w:r>
      <w:r w:rsidR="007050BD" w:rsidRPr="00FF6678">
        <w:rPr>
          <w:lang w:val="es-ES"/>
        </w:rPr>
        <w:t xml:space="preserve">-AKX </w:t>
      </w:r>
      <w:r w:rsidRPr="00FF6678">
        <w:rPr>
          <w:lang w:val="es-ES"/>
        </w:rPr>
        <w:t>en cuestión en el Registro Internacional de Frecuencias</w:t>
      </w:r>
      <w:r w:rsidR="007050BD" w:rsidRPr="00FF6678">
        <w:rPr>
          <w:lang w:val="es-ES"/>
        </w:rPr>
        <w:t>.</w:t>
      </w:r>
    </w:p>
    <w:p w14:paraId="3BB8F3E1" w14:textId="77777777" w:rsidR="003C419A" w:rsidRDefault="003C419A" w:rsidP="00411C49">
      <w:pPr>
        <w:pStyle w:val="Reasons"/>
      </w:pPr>
    </w:p>
    <w:p w14:paraId="4170CC24" w14:textId="77777777" w:rsidR="003C419A" w:rsidRDefault="003C419A">
      <w:pPr>
        <w:jc w:val="center"/>
      </w:pPr>
      <w:r>
        <w:t>______________</w:t>
      </w:r>
    </w:p>
    <w:sectPr w:rsidR="003C419A">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97CD0" w14:textId="77777777" w:rsidR="001302BD" w:rsidRDefault="001302BD">
      <w:r>
        <w:separator/>
      </w:r>
    </w:p>
  </w:endnote>
  <w:endnote w:type="continuationSeparator" w:id="0">
    <w:p w14:paraId="2D9B0FB7" w14:textId="77777777" w:rsidR="001302BD" w:rsidRDefault="0013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2304" w14:textId="77777777" w:rsidR="001302BD" w:rsidRDefault="001302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D92DBC" w14:textId="43E8A9CA" w:rsidR="001302BD" w:rsidRPr="004325A5" w:rsidRDefault="001302BD">
    <w:pPr>
      <w:ind w:right="360"/>
    </w:pPr>
    <w:r>
      <w:fldChar w:fldCharType="begin"/>
    </w:r>
    <w:r w:rsidRPr="004325A5">
      <w:instrText xml:space="preserve"> FILENAME \p  \* MERGEFORMAT </w:instrText>
    </w:r>
    <w:r>
      <w:fldChar w:fldCharType="separate"/>
    </w:r>
    <w:r w:rsidR="004325A5">
      <w:rPr>
        <w:noProof/>
      </w:rPr>
      <w:t>P:\ESP\ITU-R\CONF-R\CMR19\000\028ADD22S.docx</w:t>
    </w:r>
    <w:r>
      <w:fldChar w:fldCharType="end"/>
    </w:r>
    <w:r w:rsidRPr="004325A5">
      <w:tab/>
    </w:r>
    <w:r>
      <w:fldChar w:fldCharType="begin"/>
    </w:r>
    <w:r>
      <w:instrText xml:space="preserve"> SAVEDATE \@ DD.MM.YY </w:instrText>
    </w:r>
    <w:r>
      <w:fldChar w:fldCharType="separate"/>
    </w:r>
    <w:r w:rsidR="004325A5">
      <w:rPr>
        <w:noProof/>
      </w:rPr>
      <w:t>23.10.19</w:t>
    </w:r>
    <w:r>
      <w:fldChar w:fldCharType="end"/>
    </w:r>
    <w:r w:rsidRPr="004325A5">
      <w:tab/>
    </w:r>
    <w:r>
      <w:fldChar w:fldCharType="begin"/>
    </w:r>
    <w:r>
      <w:instrText xml:space="preserve"> PRINTDATE \@ DD.MM.YY </w:instrText>
    </w:r>
    <w:r>
      <w:fldChar w:fldCharType="separate"/>
    </w:r>
    <w:r w:rsidR="004325A5">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C27BB" w14:textId="0E7D885D" w:rsidR="001302BD" w:rsidRDefault="001302BD" w:rsidP="00FC2CD1">
    <w:pPr>
      <w:pStyle w:val="Footer"/>
      <w:rPr>
        <w:lang w:val="en-GB"/>
      </w:rPr>
    </w:pPr>
    <w:r>
      <w:fldChar w:fldCharType="begin"/>
    </w:r>
    <w:r w:rsidRPr="00FC2CD1">
      <w:rPr>
        <w:lang w:val="en-GB"/>
      </w:rPr>
      <w:instrText xml:space="preserve"> FILENAME \p  \* MERGEFORMAT </w:instrText>
    </w:r>
    <w:r>
      <w:fldChar w:fldCharType="separate"/>
    </w:r>
    <w:r w:rsidR="004325A5">
      <w:rPr>
        <w:lang w:val="en-GB"/>
      </w:rPr>
      <w:t>P:\ESP\ITU-R\CONF-R\CMR19\000\028ADD22S.docx</w:t>
    </w:r>
    <w:r>
      <w:fldChar w:fldCharType="end"/>
    </w:r>
    <w:r w:rsidRPr="00FC2CD1">
      <w:rPr>
        <w:lang w:val="en-GB"/>
      </w:rPr>
      <w:t xml:space="preserve"> (</w:t>
    </w:r>
    <w:r>
      <w:rPr>
        <w:lang w:val="en-GB"/>
      </w:rPr>
      <w:t>461540</w:t>
    </w:r>
    <w:r w:rsidRPr="00FC2CD1">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299AC" w14:textId="6FD0C548" w:rsidR="001302BD" w:rsidRDefault="001302BD" w:rsidP="00FC2CD1">
    <w:pPr>
      <w:pStyle w:val="Footer"/>
      <w:rPr>
        <w:lang w:val="en-GB"/>
      </w:rPr>
    </w:pPr>
    <w:r>
      <w:fldChar w:fldCharType="begin"/>
    </w:r>
    <w:r w:rsidRPr="00FC2CD1">
      <w:rPr>
        <w:lang w:val="en-GB"/>
      </w:rPr>
      <w:instrText xml:space="preserve"> FILENAME \p  \* MERGEFORMAT </w:instrText>
    </w:r>
    <w:r>
      <w:fldChar w:fldCharType="separate"/>
    </w:r>
    <w:r w:rsidR="004325A5">
      <w:rPr>
        <w:lang w:val="en-GB"/>
      </w:rPr>
      <w:t>P:\ESP\ITU-R\CONF-R\CMR19\000\028ADD22S.docx</w:t>
    </w:r>
    <w:r>
      <w:fldChar w:fldCharType="end"/>
    </w:r>
    <w:r w:rsidRPr="00FC2CD1">
      <w:rPr>
        <w:lang w:val="en-GB"/>
      </w:rPr>
      <w:t xml:space="preserve"> (</w:t>
    </w:r>
    <w:r>
      <w:rPr>
        <w:lang w:val="en-GB"/>
      </w:rPr>
      <w:t>461540</w:t>
    </w:r>
    <w:r w:rsidRPr="00FC2CD1">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500D7" w14:textId="77777777" w:rsidR="001302BD" w:rsidRDefault="001302BD">
      <w:r>
        <w:rPr>
          <w:b/>
        </w:rPr>
        <w:t>_______________</w:t>
      </w:r>
    </w:p>
  </w:footnote>
  <w:footnote w:type="continuationSeparator" w:id="0">
    <w:p w14:paraId="1FAA8805" w14:textId="77777777" w:rsidR="001302BD" w:rsidRDefault="00130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795E4" w14:textId="77777777" w:rsidR="001302BD" w:rsidRDefault="001302B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BE38D9" w14:textId="77777777" w:rsidR="001302BD" w:rsidRDefault="001302BD" w:rsidP="00C44E9E">
    <w:pPr>
      <w:pStyle w:val="Header"/>
      <w:rPr>
        <w:lang w:val="en-US"/>
      </w:rPr>
    </w:pPr>
    <w:r>
      <w:rPr>
        <w:lang w:val="en-US"/>
      </w:rPr>
      <w:t>CMR19/</w:t>
    </w:r>
    <w:r>
      <w:t>28(Add.22)-</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151D"/>
    <w:rsid w:val="0002785D"/>
    <w:rsid w:val="000538B3"/>
    <w:rsid w:val="000649DD"/>
    <w:rsid w:val="000708AF"/>
    <w:rsid w:val="0007675A"/>
    <w:rsid w:val="000815AF"/>
    <w:rsid w:val="00087AE8"/>
    <w:rsid w:val="000920EE"/>
    <w:rsid w:val="000A5B9A"/>
    <w:rsid w:val="000B20A2"/>
    <w:rsid w:val="000E5BF9"/>
    <w:rsid w:val="000E77D4"/>
    <w:rsid w:val="000F0E6D"/>
    <w:rsid w:val="000F5137"/>
    <w:rsid w:val="001071AA"/>
    <w:rsid w:val="00121170"/>
    <w:rsid w:val="00123CC5"/>
    <w:rsid w:val="001302BD"/>
    <w:rsid w:val="00147906"/>
    <w:rsid w:val="0015142D"/>
    <w:rsid w:val="001616DC"/>
    <w:rsid w:val="00163962"/>
    <w:rsid w:val="001712AE"/>
    <w:rsid w:val="00177277"/>
    <w:rsid w:val="00183B3C"/>
    <w:rsid w:val="00191A97"/>
    <w:rsid w:val="0019729C"/>
    <w:rsid w:val="001A083F"/>
    <w:rsid w:val="001C41FA"/>
    <w:rsid w:val="001C48D4"/>
    <w:rsid w:val="001C7274"/>
    <w:rsid w:val="001C758B"/>
    <w:rsid w:val="001E2B52"/>
    <w:rsid w:val="001E3F27"/>
    <w:rsid w:val="001E7D42"/>
    <w:rsid w:val="001F6967"/>
    <w:rsid w:val="001F6F8A"/>
    <w:rsid w:val="00214E07"/>
    <w:rsid w:val="00223563"/>
    <w:rsid w:val="0023659C"/>
    <w:rsid w:val="00236D2A"/>
    <w:rsid w:val="00241A8D"/>
    <w:rsid w:val="0024569E"/>
    <w:rsid w:val="002478E3"/>
    <w:rsid w:val="002528D3"/>
    <w:rsid w:val="00255F12"/>
    <w:rsid w:val="00262C09"/>
    <w:rsid w:val="002A072F"/>
    <w:rsid w:val="002A454D"/>
    <w:rsid w:val="002A791F"/>
    <w:rsid w:val="002C1A52"/>
    <w:rsid w:val="002C1B26"/>
    <w:rsid w:val="002C5D6C"/>
    <w:rsid w:val="002D25F6"/>
    <w:rsid w:val="002E701F"/>
    <w:rsid w:val="003223F5"/>
    <w:rsid w:val="00324454"/>
    <w:rsid w:val="003248A9"/>
    <w:rsid w:val="00324FFA"/>
    <w:rsid w:val="0032680B"/>
    <w:rsid w:val="0034385E"/>
    <w:rsid w:val="00357685"/>
    <w:rsid w:val="00363A65"/>
    <w:rsid w:val="003A4AFF"/>
    <w:rsid w:val="003B1E8C"/>
    <w:rsid w:val="003B4278"/>
    <w:rsid w:val="003B4E42"/>
    <w:rsid w:val="003B5291"/>
    <w:rsid w:val="003C0613"/>
    <w:rsid w:val="003C2508"/>
    <w:rsid w:val="003C419A"/>
    <w:rsid w:val="003D0AA3"/>
    <w:rsid w:val="003D2657"/>
    <w:rsid w:val="003D5F62"/>
    <w:rsid w:val="003E2086"/>
    <w:rsid w:val="003F6F8B"/>
    <w:rsid w:val="003F7F66"/>
    <w:rsid w:val="0042178E"/>
    <w:rsid w:val="004225A8"/>
    <w:rsid w:val="004325A5"/>
    <w:rsid w:val="004333C9"/>
    <w:rsid w:val="00440B3A"/>
    <w:rsid w:val="0044375A"/>
    <w:rsid w:val="0045384C"/>
    <w:rsid w:val="00454553"/>
    <w:rsid w:val="00472A86"/>
    <w:rsid w:val="00475E94"/>
    <w:rsid w:val="004A7635"/>
    <w:rsid w:val="004B124A"/>
    <w:rsid w:val="004B3095"/>
    <w:rsid w:val="004C540B"/>
    <w:rsid w:val="004D2C7C"/>
    <w:rsid w:val="00503454"/>
    <w:rsid w:val="005133B5"/>
    <w:rsid w:val="00524392"/>
    <w:rsid w:val="00532097"/>
    <w:rsid w:val="00566928"/>
    <w:rsid w:val="005757BF"/>
    <w:rsid w:val="0058350F"/>
    <w:rsid w:val="00583C7E"/>
    <w:rsid w:val="0059098E"/>
    <w:rsid w:val="005B569C"/>
    <w:rsid w:val="005C0866"/>
    <w:rsid w:val="005D46FB"/>
    <w:rsid w:val="005F2605"/>
    <w:rsid w:val="005F3B0E"/>
    <w:rsid w:val="005F3DB8"/>
    <w:rsid w:val="005F559C"/>
    <w:rsid w:val="00602857"/>
    <w:rsid w:val="006124AD"/>
    <w:rsid w:val="00624009"/>
    <w:rsid w:val="006257AE"/>
    <w:rsid w:val="0064056D"/>
    <w:rsid w:val="00652C74"/>
    <w:rsid w:val="00662BA0"/>
    <w:rsid w:val="0067298F"/>
    <w:rsid w:val="0067344B"/>
    <w:rsid w:val="006740A3"/>
    <w:rsid w:val="00681FC3"/>
    <w:rsid w:val="00684A94"/>
    <w:rsid w:val="00690050"/>
    <w:rsid w:val="00692AAE"/>
    <w:rsid w:val="006C0E38"/>
    <w:rsid w:val="006C2DF6"/>
    <w:rsid w:val="006C6B45"/>
    <w:rsid w:val="006D6E67"/>
    <w:rsid w:val="006E1229"/>
    <w:rsid w:val="006E1A13"/>
    <w:rsid w:val="006E2FE4"/>
    <w:rsid w:val="007002CD"/>
    <w:rsid w:val="00701C20"/>
    <w:rsid w:val="00702F3D"/>
    <w:rsid w:val="007050BD"/>
    <w:rsid w:val="0070518E"/>
    <w:rsid w:val="00726B50"/>
    <w:rsid w:val="007354E9"/>
    <w:rsid w:val="00735651"/>
    <w:rsid w:val="007424E8"/>
    <w:rsid w:val="0074579D"/>
    <w:rsid w:val="00765578"/>
    <w:rsid w:val="00766333"/>
    <w:rsid w:val="0077084A"/>
    <w:rsid w:val="00773598"/>
    <w:rsid w:val="00794CF9"/>
    <w:rsid w:val="007952C7"/>
    <w:rsid w:val="007964E4"/>
    <w:rsid w:val="007A6AEF"/>
    <w:rsid w:val="007C0B95"/>
    <w:rsid w:val="007C2317"/>
    <w:rsid w:val="007C4C68"/>
    <w:rsid w:val="007D330A"/>
    <w:rsid w:val="007F2EB5"/>
    <w:rsid w:val="008004C3"/>
    <w:rsid w:val="0083746A"/>
    <w:rsid w:val="00843F80"/>
    <w:rsid w:val="00856EA1"/>
    <w:rsid w:val="008633B9"/>
    <w:rsid w:val="00866AE6"/>
    <w:rsid w:val="00867769"/>
    <w:rsid w:val="00870067"/>
    <w:rsid w:val="008724A4"/>
    <w:rsid w:val="008750A8"/>
    <w:rsid w:val="00896FCA"/>
    <w:rsid w:val="00897383"/>
    <w:rsid w:val="008C470E"/>
    <w:rsid w:val="008D2DCF"/>
    <w:rsid w:val="008D3316"/>
    <w:rsid w:val="008E5AF2"/>
    <w:rsid w:val="0090121B"/>
    <w:rsid w:val="009144C9"/>
    <w:rsid w:val="0093623F"/>
    <w:rsid w:val="0094091F"/>
    <w:rsid w:val="00960196"/>
    <w:rsid w:val="00962171"/>
    <w:rsid w:val="00963B29"/>
    <w:rsid w:val="00973754"/>
    <w:rsid w:val="00986BAE"/>
    <w:rsid w:val="00990C3B"/>
    <w:rsid w:val="009B49FC"/>
    <w:rsid w:val="009C0BED"/>
    <w:rsid w:val="009E11EC"/>
    <w:rsid w:val="00A021CC"/>
    <w:rsid w:val="00A118DB"/>
    <w:rsid w:val="00A14B30"/>
    <w:rsid w:val="00A4450C"/>
    <w:rsid w:val="00A75070"/>
    <w:rsid w:val="00A82E64"/>
    <w:rsid w:val="00AA5E6C"/>
    <w:rsid w:val="00AC432B"/>
    <w:rsid w:val="00AD583E"/>
    <w:rsid w:val="00AD6D2E"/>
    <w:rsid w:val="00AE5677"/>
    <w:rsid w:val="00AE658F"/>
    <w:rsid w:val="00AF2F78"/>
    <w:rsid w:val="00AF3962"/>
    <w:rsid w:val="00B12CB8"/>
    <w:rsid w:val="00B239FA"/>
    <w:rsid w:val="00B342F9"/>
    <w:rsid w:val="00B372AB"/>
    <w:rsid w:val="00B463C4"/>
    <w:rsid w:val="00B47331"/>
    <w:rsid w:val="00B4749A"/>
    <w:rsid w:val="00B52D55"/>
    <w:rsid w:val="00B67D55"/>
    <w:rsid w:val="00B717FA"/>
    <w:rsid w:val="00B74DE4"/>
    <w:rsid w:val="00B8245C"/>
    <w:rsid w:val="00B8288C"/>
    <w:rsid w:val="00B86034"/>
    <w:rsid w:val="00B87899"/>
    <w:rsid w:val="00BA0C59"/>
    <w:rsid w:val="00BB148F"/>
    <w:rsid w:val="00BB1F0B"/>
    <w:rsid w:val="00BC147E"/>
    <w:rsid w:val="00BE2E80"/>
    <w:rsid w:val="00BE5EDD"/>
    <w:rsid w:val="00BE6A1F"/>
    <w:rsid w:val="00BF363D"/>
    <w:rsid w:val="00BF3C99"/>
    <w:rsid w:val="00C04B4E"/>
    <w:rsid w:val="00C072FC"/>
    <w:rsid w:val="00C11818"/>
    <w:rsid w:val="00C126C4"/>
    <w:rsid w:val="00C21B3C"/>
    <w:rsid w:val="00C44E9E"/>
    <w:rsid w:val="00C63EB5"/>
    <w:rsid w:val="00C73AE1"/>
    <w:rsid w:val="00C7701F"/>
    <w:rsid w:val="00C842D3"/>
    <w:rsid w:val="00C87DA7"/>
    <w:rsid w:val="00C92408"/>
    <w:rsid w:val="00CA4914"/>
    <w:rsid w:val="00CB0324"/>
    <w:rsid w:val="00CC01E0"/>
    <w:rsid w:val="00CC2829"/>
    <w:rsid w:val="00CD5FEE"/>
    <w:rsid w:val="00CE26BB"/>
    <w:rsid w:val="00CE3A6B"/>
    <w:rsid w:val="00CE60D2"/>
    <w:rsid w:val="00CE7431"/>
    <w:rsid w:val="00D00CA8"/>
    <w:rsid w:val="00D0288A"/>
    <w:rsid w:val="00D16B8B"/>
    <w:rsid w:val="00D26027"/>
    <w:rsid w:val="00D51600"/>
    <w:rsid w:val="00D67729"/>
    <w:rsid w:val="00D67935"/>
    <w:rsid w:val="00D70924"/>
    <w:rsid w:val="00D72A5D"/>
    <w:rsid w:val="00D953F9"/>
    <w:rsid w:val="00DA71A3"/>
    <w:rsid w:val="00DC20DD"/>
    <w:rsid w:val="00DC629B"/>
    <w:rsid w:val="00DE1C31"/>
    <w:rsid w:val="00DE52D7"/>
    <w:rsid w:val="00E05BFF"/>
    <w:rsid w:val="00E07B75"/>
    <w:rsid w:val="00E262F1"/>
    <w:rsid w:val="00E3176A"/>
    <w:rsid w:val="00E36CE4"/>
    <w:rsid w:val="00E54754"/>
    <w:rsid w:val="00E56BD3"/>
    <w:rsid w:val="00E71D14"/>
    <w:rsid w:val="00E744C4"/>
    <w:rsid w:val="00E759B2"/>
    <w:rsid w:val="00E77872"/>
    <w:rsid w:val="00E8006B"/>
    <w:rsid w:val="00E91EF7"/>
    <w:rsid w:val="00E97D4A"/>
    <w:rsid w:val="00EA77F0"/>
    <w:rsid w:val="00EA79F6"/>
    <w:rsid w:val="00EC259A"/>
    <w:rsid w:val="00EC2655"/>
    <w:rsid w:val="00ED6041"/>
    <w:rsid w:val="00F17679"/>
    <w:rsid w:val="00F32316"/>
    <w:rsid w:val="00F66597"/>
    <w:rsid w:val="00F675D0"/>
    <w:rsid w:val="00F76986"/>
    <w:rsid w:val="00F8150C"/>
    <w:rsid w:val="00FB3FEF"/>
    <w:rsid w:val="00FC2CD1"/>
    <w:rsid w:val="00FD03C4"/>
    <w:rsid w:val="00FD377F"/>
    <w:rsid w:val="00FE4574"/>
    <w:rsid w:val="00FF66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9CD2E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styleId="BalloonText">
    <w:name w:val="Balloon Text"/>
    <w:basedOn w:val="Normal"/>
    <w:link w:val="BalloonTextChar"/>
    <w:semiHidden/>
    <w:unhideWhenUsed/>
    <w:rsid w:val="007050B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50BD"/>
    <w:rPr>
      <w:rFonts w:ascii="Segoe UI" w:hAnsi="Segoe UI" w:cs="Segoe UI"/>
      <w:sz w:val="18"/>
      <w:szCs w:val="18"/>
      <w:lang w:val="es-ES_tradnl" w:eastAsia="en-US"/>
    </w:rPr>
  </w:style>
  <w:style w:type="character" w:styleId="Hyperlink">
    <w:name w:val="Hyperlink"/>
    <w:basedOn w:val="DefaultParagraphFont"/>
    <w:unhideWhenUsed/>
    <w:rsid w:val="007050BD"/>
    <w:rPr>
      <w:color w:val="0000FF" w:themeColor="hyperlink"/>
      <w:u w:val="single"/>
    </w:rPr>
  </w:style>
  <w:style w:type="character" w:styleId="UnresolvedMention">
    <w:name w:val="Unresolved Mention"/>
    <w:basedOn w:val="DefaultParagraphFont"/>
    <w:uiPriority w:val="99"/>
    <w:semiHidden/>
    <w:unhideWhenUsed/>
    <w:rsid w:val="007050BD"/>
    <w:rPr>
      <w:color w:val="605E5C"/>
      <w:shd w:val="clear" w:color="auto" w:fill="E1DFDD"/>
    </w:rPr>
  </w:style>
  <w:style w:type="character" w:styleId="FollowedHyperlink">
    <w:name w:val="FollowedHyperlink"/>
    <w:basedOn w:val="DefaultParagraphFont"/>
    <w:semiHidden/>
    <w:unhideWhenUsed/>
    <w:rsid w:val="007050BD"/>
    <w:rPr>
      <w:color w:val="800080" w:themeColor="followedHyperlink"/>
      <w:u w:val="single"/>
    </w:rPr>
  </w:style>
  <w:style w:type="character" w:styleId="PlaceholderText">
    <w:name w:val="Placeholder Text"/>
    <w:basedOn w:val="DefaultParagraphFont"/>
    <w:uiPriority w:val="99"/>
    <w:semiHidden/>
    <w:rsid w:val="000649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6-WRC19-C-0004/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R16-WRC19-C-0004/en"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6-WRC19-C-001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8DBE4-C7D3-4571-8E22-66EFB39AEEC9}">
  <ds:schemaRefs>
    <ds:schemaRef ds:uri="http://purl.org/dc/terms/"/>
    <ds:schemaRef ds:uri="http://purl.org/dc/elements/1.1/"/>
    <ds:schemaRef ds:uri="996b2e75-67fd-4955-a3b0-5ab9934cb50b"/>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32a1a8c5-2265-4ebc-b7a0-2071e2c5c9bb"/>
    <ds:schemaRef ds:uri="http://purl.org/dc/dcmityp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6C804A-FCF4-4440-86C0-7EF78214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5183</Words>
  <Characters>27901</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R16-WRC19-C-0028!A22!MSW-S</vt:lpstr>
    </vt:vector>
  </TitlesOfParts>
  <Manager>Secretaría General - Pool</Manager>
  <Company>Unión Internacional de Telecomunicaciones (UIT)</Company>
  <LinksUpToDate>false</LinksUpToDate>
  <CharactersWithSpaces>33018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R16-WRC19-C-0028!A22!MSW-S</dc:title>
  <dc:subject>Conferencia Mundial de Radiocomunicaciones - 2019</dc:subject>
  <dc:creator>Documents Proposals Manager (DPM)</dc:creator>
  <cp:keywords>DPM_v2019.10.15.2_prod</cp:keywords>
  <dc:description/>
  <cp:lastModifiedBy>Spanish</cp:lastModifiedBy>
  <cp:revision>25</cp:revision>
  <cp:lastPrinted>2019-10-23T08:15:00Z</cp:lastPrinted>
  <dcterms:created xsi:type="dcterms:W3CDTF">2019-10-23T08:09:00Z</dcterms:created>
  <dcterms:modified xsi:type="dcterms:W3CDTF">2019-10-23T09:00:00Z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